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AFF4B29" w14:textId="63A59C05" w:rsidR="00F35C20" w:rsidRDefault="005B292F" w:rsidP="00F35C20">
      <w:pPr>
        <w:spacing w:line="259" w:lineRule="auto"/>
        <w:jc w:val="center"/>
        <w:rPr>
          <w:rFonts w:cs="Times New Roman"/>
          <w:b/>
          <w:sz w:val="44"/>
          <w:szCs w:val="44"/>
        </w:rPr>
      </w:pPr>
      <w:r>
        <w:rPr>
          <w:rFonts w:cs="Times New Roman"/>
          <w:b/>
          <w:sz w:val="44"/>
          <w:szCs w:val="44"/>
        </w:rPr>
        <w:t xml:space="preserve"> </w:t>
      </w:r>
    </w:p>
    <w:p w14:paraId="35C4D956" w14:textId="77777777" w:rsidR="00F35C20" w:rsidRDefault="00F35C20" w:rsidP="00F35C20">
      <w:pPr>
        <w:spacing w:line="259" w:lineRule="auto"/>
        <w:jc w:val="center"/>
        <w:rPr>
          <w:rFonts w:cs="Times New Roman"/>
          <w:b/>
          <w:sz w:val="44"/>
          <w:szCs w:val="44"/>
        </w:rPr>
      </w:pPr>
    </w:p>
    <w:p w14:paraId="5BD289C3" w14:textId="77777777" w:rsidR="00F35C20" w:rsidRDefault="00F35C20" w:rsidP="00F35C20">
      <w:pPr>
        <w:spacing w:line="259" w:lineRule="auto"/>
        <w:jc w:val="center"/>
        <w:rPr>
          <w:rFonts w:cs="Times New Roman"/>
          <w:b/>
          <w:sz w:val="44"/>
          <w:szCs w:val="44"/>
        </w:rPr>
      </w:pPr>
    </w:p>
    <w:p w14:paraId="1A21E268" w14:textId="4DEF896A" w:rsidR="00F35C20" w:rsidRPr="00F35C20" w:rsidRDefault="00D11FA9" w:rsidP="00F35C20">
      <w:pPr>
        <w:spacing w:line="259" w:lineRule="auto"/>
        <w:jc w:val="center"/>
        <w:rPr>
          <w:rFonts w:cs="Times New Roman"/>
          <w:b/>
          <w:sz w:val="44"/>
          <w:szCs w:val="44"/>
        </w:rPr>
      </w:pPr>
      <w:r w:rsidRPr="00F35C20">
        <w:rPr>
          <w:rFonts w:cs="Times New Roman"/>
          <w:b/>
          <w:sz w:val="44"/>
          <w:szCs w:val="44"/>
        </w:rPr>
        <w:t>Black Gold and Grey Areas:</w:t>
      </w:r>
    </w:p>
    <w:p w14:paraId="34199AB5" w14:textId="20F76522" w:rsidR="00D11FA9" w:rsidRPr="00F35C20" w:rsidRDefault="00D11FA9" w:rsidP="00F35C20">
      <w:pPr>
        <w:spacing w:line="259" w:lineRule="auto"/>
        <w:jc w:val="center"/>
        <w:rPr>
          <w:rFonts w:cs="Times New Roman"/>
          <w:b/>
          <w:sz w:val="44"/>
          <w:szCs w:val="44"/>
        </w:rPr>
      </w:pPr>
      <w:r w:rsidRPr="00F35C20">
        <w:rPr>
          <w:rFonts w:cs="Times New Roman"/>
          <w:b/>
          <w:sz w:val="44"/>
          <w:szCs w:val="44"/>
        </w:rPr>
        <w:t>Examining the impacts of regulations on the geopolitical-ecology of caviar trade in the European Union</w:t>
      </w:r>
    </w:p>
    <w:p w14:paraId="7A6790F5" w14:textId="77777777" w:rsidR="00F35C20" w:rsidRDefault="00F35C20" w:rsidP="00F35C20">
      <w:pPr>
        <w:spacing w:line="259" w:lineRule="auto"/>
        <w:rPr>
          <w:rFonts w:cs="Times New Roman"/>
          <w:b/>
          <w:sz w:val="44"/>
          <w:szCs w:val="44"/>
        </w:rPr>
      </w:pPr>
    </w:p>
    <w:p w14:paraId="6D5D6713" w14:textId="77777777" w:rsidR="0058271B" w:rsidRDefault="0058271B" w:rsidP="00F35C20">
      <w:pPr>
        <w:spacing w:line="259" w:lineRule="auto"/>
        <w:rPr>
          <w:rFonts w:cs="Times New Roman"/>
        </w:rPr>
      </w:pPr>
    </w:p>
    <w:p w14:paraId="445D6F88" w14:textId="2EAA5280" w:rsidR="00E66EA6" w:rsidRPr="00E66EA6" w:rsidRDefault="00E66EA6" w:rsidP="00F35C20">
      <w:pPr>
        <w:spacing w:line="259" w:lineRule="auto"/>
        <w:jc w:val="center"/>
        <w:rPr>
          <w:rFonts w:cs="Times New Roman"/>
          <w:sz w:val="36"/>
          <w:szCs w:val="36"/>
        </w:rPr>
      </w:pPr>
      <w:r w:rsidRPr="00E66EA6">
        <w:rPr>
          <w:rFonts w:cs="Times New Roman"/>
          <w:sz w:val="36"/>
          <w:szCs w:val="36"/>
        </w:rPr>
        <w:t xml:space="preserve">Hannah Grace </w:t>
      </w:r>
      <w:r w:rsidR="00D11FA9" w:rsidRPr="00E66EA6">
        <w:rPr>
          <w:rFonts w:cs="Times New Roman"/>
          <w:sz w:val="36"/>
          <w:szCs w:val="36"/>
        </w:rPr>
        <w:t>Dickinson</w:t>
      </w:r>
    </w:p>
    <w:p w14:paraId="454A139D" w14:textId="05FC7623" w:rsidR="00E66EA6" w:rsidRPr="00E66EA6" w:rsidRDefault="00E66EA6" w:rsidP="00D11FA9">
      <w:pPr>
        <w:spacing w:line="259" w:lineRule="auto"/>
        <w:jc w:val="center"/>
        <w:rPr>
          <w:rFonts w:cs="Times New Roman"/>
          <w:sz w:val="28"/>
          <w:szCs w:val="28"/>
        </w:rPr>
      </w:pPr>
      <w:r w:rsidRPr="00E66EA6">
        <w:rPr>
          <w:rFonts w:cs="Times New Roman"/>
          <w:sz w:val="28"/>
          <w:szCs w:val="28"/>
        </w:rPr>
        <w:t>A thesis submitted in partial fulfilment of the requirements for the degree of</w:t>
      </w:r>
    </w:p>
    <w:p w14:paraId="2D2BD7A4" w14:textId="414CE219" w:rsidR="00E66EA6" w:rsidRPr="00E66EA6" w:rsidRDefault="00E66EA6" w:rsidP="00D11FA9">
      <w:pPr>
        <w:spacing w:line="259" w:lineRule="auto"/>
        <w:jc w:val="center"/>
        <w:rPr>
          <w:rFonts w:cs="Times New Roman"/>
          <w:sz w:val="28"/>
          <w:szCs w:val="28"/>
        </w:rPr>
      </w:pPr>
      <w:r w:rsidRPr="00E66EA6">
        <w:rPr>
          <w:rFonts w:cs="Times New Roman"/>
          <w:sz w:val="28"/>
          <w:szCs w:val="28"/>
        </w:rPr>
        <w:t>Doctor of Philosophy</w:t>
      </w:r>
    </w:p>
    <w:p w14:paraId="76E8B584" w14:textId="77777777" w:rsidR="00F35C20" w:rsidRDefault="00F35C20" w:rsidP="00F35C20">
      <w:pPr>
        <w:spacing w:line="259" w:lineRule="auto"/>
        <w:rPr>
          <w:rFonts w:cs="Times New Roman"/>
          <w:szCs w:val="24"/>
        </w:rPr>
      </w:pPr>
    </w:p>
    <w:p w14:paraId="5888760C" w14:textId="77777777" w:rsidR="00F35C20" w:rsidRDefault="00F35C20" w:rsidP="00D11FA9">
      <w:pPr>
        <w:spacing w:line="259" w:lineRule="auto"/>
        <w:jc w:val="center"/>
        <w:rPr>
          <w:rFonts w:cs="Times New Roman"/>
          <w:szCs w:val="24"/>
        </w:rPr>
      </w:pPr>
    </w:p>
    <w:p w14:paraId="0625962F" w14:textId="77777777" w:rsidR="00F35C20" w:rsidRPr="00E66EA6" w:rsidRDefault="00F35C20" w:rsidP="00D11FA9">
      <w:pPr>
        <w:spacing w:line="259" w:lineRule="auto"/>
        <w:jc w:val="center"/>
        <w:rPr>
          <w:rFonts w:cs="Times New Roman"/>
          <w:szCs w:val="24"/>
        </w:rPr>
      </w:pPr>
    </w:p>
    <w:p w14:paraId="0E240C38" w14:textId="3E970EE4" w:rsidR="00E66EA6" w:rsidRPr="00E66EA6" w:rsidRDefault="00E66EA6" w:rsidP="00D11FA9">
      <w:pPr>
        <w:spacing w:line="259" w:lineRule="auto"/>
        <w:jc w:val="center"/>
        <w:rPr>
          <w:rFonts w:cs="Times New Roman"/>
          <w:szCs w:val="24"/>
        </w:rPr>
      </w:pPr>
      <w:r w:rsidRPr="00E66EA6">
        <w:rPr>
          <w:rFonts w:cs="Times New Roman"/>
          <w:szCs w:val="24"/>
        </w:rPr>
        <w:t>The University of Sheffield</w:t>
      </w:r>
    </w:p>
    <w:p w14:paraId="17F57505" w14:textId="44232502" w:rsidR="00E66EA6" w:rsidRPr="00E66EA6" w:rsidRDefault="00E66EA6" w:rsidP="00D11FA9">
      <w:pPr>
        <w:spacing w:line="259" w:lineRule="auto"/>
        <w:jc w:val="center"/>
        <w:rPr>
          <w:rFonts w:cs="Times New Roman"/>
          <w:szCs w:val="24"/>
        </w:rPr>
      </w:pPr>
      <w:r w:rsidRPr="00E66EA6">
        <w:rPr>
          <w:rFonts w:cs="Times New Roman"/>
          <w:szCs w:val="24"/>
        </w:rPr>
        <w:t>Faculty of Social Sciences</w:t>
      </w:r>
    </w:p>
    <w:p w14:paraId="0B37A710" w14:textId="2E40DA49" w:rsidR="00E66EA6" w:rsidRPr="00E66EA6" w:rsidRDefault="00E66EA6" w:rsidP="00D11FA9">
      <w:pPr>
        <w:spacing w:line="259" w:lineRule="auto"/>
        <w:jc w:val="center"/>
        <w:rPr>
          <w:rFonts w:cs="Times New Roman"/>
          <w:szCs w:val="24"/>
        </w:rPr>
      </w:pPr>
      <w:r w:rsidRPr="00E66EA6">
        <w:rPr>
          <w:rFonts w:cs="Times New Roman"/>
          <w:szCs w:val="24"/>
        </w:rPr>
        <w:t xml:space="preserve">Department of Politics and International Relations </w:t>
      </w:r>
    </w:p>
    <w:p w14:paraId="2782DBF6" w14:textId="5EF345AD" w:rsidR="007F476C" w:rsidRDefault="00E66EA6" w:rsidP="00F35C20">
      <w:pPr>
        <w:spacing w:line="259" w:lineRule="auto"/>
        <w:jc w:val="center"/>
        <w:rPr>
          <w:rFonts w:cs="Times New Roman"/>
          <w:szCs w:val="24"/>
        </w:rPr>
      </w:pPr>
      <w:r w:rsidRPr="00E66EA6">
        <w:rPr>
          <w:rFonts w:cs="Times New Roman"/>
          <w:szCs w:val="24"/>
        </w:rPr>
        <w:t>June 2020</w:t>
      </w:r>
    </w:p>
    <w:p w14:paraId="1DA33407" w14:textId="4BF0FDBF" w:rsidR="007F476C" w:rsidRDefault="00F35C20" w:rsidP="00D11FA9">
      <w:pPr>
        <w:spacing w:line="259" w:lineRule="auto"/>
        <w:jc w:val="center"/>
        <w:rPr>
          <w:rFonts w:cs="Times New Roman"/>
          <w:szCs w:val="24"/>
        </w:rPr>
        <w:sectPr w:rsidR="007F476C" w:rsidSect="005F6E3A">
          <w:footerReference w:type="even" r:id="rId9"/>
          <w:footerReference w:type="default" r:id="rId10"/>
          <w:pgSz w:w="11906" w:h="16838"/>
          <w:pgMar w:top="1440" w:right="1440" w:bottom="1440" w:left="1440" w:header="708" w:footer="708" w:gutter="0"/>
          <w:cols w:space="708"/>
          <w:titlePg/>
          <w:docGrid w:linePitch="360"/>
        </w:sectPr>
      </w:pPr>
      <w:r w:rsidRPr="00E66EA6">
        <w:rPr>
          <w:rFonts w:cs="Times New Roman"/>
          <w:b/>
          <w:noProof/>
          <w:sz w:val="48"/>
          <w:szCs w:val="48"/>
          <w:lang w:val="en-US" w:eastAsia="en-US"/>
        </w:rPr>
        <w:drawing>
          <wp:inline distT="0" distB="0" distL="0" distR="0" wp14:anchorId="77437388" wp14:editId="71B41EDD">
            <wp:extent cx="3585341" cy="144827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OS_PRIMARY_LOGO_FULL COLOUR + KEYLINE.jpg"/>
                    <pic:cNvPicPr/>
                  </pic:nvPicPr>
                  <pic:blipFill>
                    <a:blip r:embed="rId11">
                      <a:extLst>
                        <a:ext uri="{28A0092B-C50C-407E-A947-70E740481C1C}">
                          <a14:useLocalDpi xmlns:a14="http://schemas.microsoft.com/office/drawing/2010/main" val="0"/>
                        </a:ext>
                      </a:extLst>
                    </a:blip>
                    <a:stretch>
                      <a:fillRect/>
                    </a:stretch>
                  </pic:blipFill>
                  <pic:spPr>
                    <a:xfrm>
                      <a:off x="0" y="0"/>
                      <a:ext cx="3586741" cy="1448844"/>
                    </a:xfrm>
                    <a:prstGeom prst="rect">
                      <a:avLst/>
                    </a:prstGeom>
                  </pic:spPr>
                </pic:pic>
              </a:graphicData>
            </a:graphic>
          </wp:inline>
        </w:drawing>
      </w:r>
    </w:p>
    <w:p w14:paraId="623D4707" w14:textId="1E2F74DE" w:rsidR="007F476C" w:rsidRDefault="007F476C" w:rsidP="00D11FA9">
      <w:pPr>
        <w:spacing w:line="259" w:lineRule="auto"/>
        <w:jc w:val="center"/>
        <w:rPr>
          <w:rFonts w:cs="Times New Roman"/>
          <w:szCs w:val="24"/>
        </w:rPr>
      </w:pPr>
    </w:p>
    <w:p w14:paraId="09E457C1" w14:textId="77777777" w:rsidR="003E71F8" w:rsidRDefault="003E71F8">
      <w:pPr>
        <w:spacing w:line="259" w:lineRule="auto"/>
        <w:jc w:val="left"/>
        <w:rPr>
          <w:rFonts w:cs="Times New Roman"/>
          <w:szCs w:val="24"/>
        </w:rPr>
      </w:pPr>
      <w:r>
        <w:rPr>
          <w:rFonts w:cs="Times New Roman"/>
          <w:szCs w:val="24"/>
        </w:rPr>
        <w:br w:type="page"/>
      </w:r>
    </w:p>
    <w:p w14:paraId="6CEDFF60" w14:textId="77777777" w:rsidR="005F6E3A" w:rsidRDefault="005F6E3A" w:rsidP="007F476C">
      <w:pPr>
        <w:pStyle w:val="Heading3"/>
        <w:sectPr w:rsidR="005F6E3A" w:rsidSect="005F6E3A">
          <w:footerReference w:type="default" r:id="rId12"/>
          <w:pgSz w:w="11906" w:h="16838"/>
          <w:pgMar w:top="1440" w:right="1440" w:bottom="1440" w:left="1440" w:header="708" w:footer="708" w:gutter="0"/>
          <w:pgNumType w:fmt="lowerRoman" w:start="1"/>
          <w:cols w:space="708"/>
          <w:titlePg/>
          <w:docGrid w:linePitch="360"/>
        </w:sectPr>
      </w:pPr>
    </w:p>
    <w:p w14:paraId="3F1C3514" w14:textId="31F6B605" w:rsidR="00417ACE" w:rsidRPr="00417ACE" w:rsidRDefault="003E71F8" w:rsidP="00417ACE">
      <w:pPr>
        <w:pStyle w:val="Heading3"/>
      </w:pPr>
      <w:bookmarkStart w:id="0" w:name="_Toc453224175"/>
      <w:r>
        <w:lastRenderedPageBreak/>
        <w:t>Abstrac</w:t>
      </w:r>
      <w:r w:rsidR="007F476C">
        <w:t>t</w:t>
      </w:r>
      <w:bookmarkEnd w:id="0"/>
      <w:r w:rsidR="00417ACE">
        <w:br/>
      </w:r>
    </w:p>
    <w:p w14:paraId="27CEC197" w14:textId="77777777" w:rsidR="00417ACE" w:rsidRPr="00417ACE" w:rsidRDefault="00417ACE" w:rsidP="00417ACE">
      <w:pPr>
        <w:spacing w:after="0"/>
        <w:rPr>
          <w:rFonts w:eastAsiaTheme="minorHAnsi" w:cs="Times New Roman"/>
          <w:color w:val="000000"/>
          <w:sz w:val="20"/>
          <w:szCs w:val="20"/>
          <w:lang w:eastAsia="en-US"/>
        </w:rPr>
      </w:pPr>
      <w:r w:rsidRPr="00417ACE">
        <w:rPr>
          <w:rFonts w:eastAsiaTheme="minorHAnsi" w:cs="Times New Roman"/>
          <w:color w:val="000000"/>
          <w:sz w:val="22"/>
          <w:lang w:eastAsia="en-US"/>
        </w:rPr>
        <w:t>This thesis examines the process of regulating caviar trade in the European Union. EU caviar trade regulations seek to curb overexploitation of critically endangered wild sturgeon and prevent illegal caviar trade. The broad impacts of these regulations are largely overlooked and not understood. This research produces necessary empirical insights by undertaking an in-depth qualitative analysis of the EU caviar trade regulations, and asks: what are the geopolitical-ecological implications of regulating the caviar trade in the European Union?</w:t>
      </w:r>
    </w:p>
    <w:p w14:paraId="41E595F9" w14:textId="77777777" w:rsidR="00417ACE" w:rsidRPr="00417ACE" w:rsidRDefault="00417ACE" w:rsidP="00417ACE">
      <w:pPr>
        <w:spacing w:after="0"/>
        <w:rPr>
          <w:rFonts w:eastAsiaTheme="minorHAnsi" w:cs="Times New Roman"/>
          <w:color w:val="000000"/>
          <w:sz w:val="20"/>
          <w:szCs w:val="20"/>
          <w:lang w:eastAsia="en-US"/>
        </w:rPr>
      </w:pPr>
      <w:r w:rsidRPr="00417ACE">
        <w:rPr>
          <w:rFonts w:eastAsiaTheme="minorHAnsi" w:cs="Times New Roman"/>
          <w:color w:val="000000"/>
          <w:sz w:val="22"/>
          <w:lang w:eastAsia="en-US"/>
        </w:rPr>
        <w:t>Geopolitical-ecology refers to how environmental discourses and interventions are mediated through foreign policy agendas, and subsequently shape ecologies with multi-scalar geopolitical effects.</w:t>
      </w:r>
    </w:p>
    <w:p w14:paraId="1FB73C50" w14:textId="77777777" w:rsidR="00417ACE" w:rsidRPr="00417ACE" w:rsidRDefault="00417ACE" w:rsidP="00417ACE">
      <w:pPr>
        <w:spacing w:after="0"/>
        <w:rPr>
          <w:rFonts w:eastAsiaTheme="minorHAnsi" w:cs="Times New Roman"/>
          <w:color w:val="000000"/>
          <w:sz w:val="20"/>
          <w:szCs w:val="20"/>
          <w:lang w:eastAsia="en-US"/>
        </w:rPr>
      </w:pPr>
      <w:r w:rsidRPr="00417ACE">
        <w:rPr>
          <w:rFonts w:eastAsiaTheme="minorHAnsi" w:cs="Times New Roman"/>
          <w:color w:val="000000"/>
          <w:sz w:val="22"/>
          <w:lang w:eastAsia="en-US"/>
        </w:rPr>
        <w:t>This study draws upon environmental geopolitics, geopolitical ecology, and more-than-human scholarship to develop a framework for more-than-human geopolitical ecology. I deploy this theoretical framework alongside a follow-the-policy methodology, which traces: how caviar trade policies variably materialise in the EU; with what effects; and how these effects are unequally distributed amongst human and nonhuman actors.</w:t>
      </w:r>
    </w:p>
    <w:p w14:paraId="53918E25" w14:textId="77777777" w:rsidR="00417ACE" w:rsidRPr="00417ACE" w:rsidRDefault="00417ACE" w:rsidP="00417ACE">
      <w:pPr>
        <w:spacing w:after="0"/>
        <w:rPr>
          <w:rFonts w:eastAsiaTheme="minorHAnsi" w:cs="Times New Roman"/>
          <w:color w:val="000000"/>
          <w:sz w:val="20"/>
          <w:szCs w:val="20"/>
          <w:lang w:eastAsia="en-US"/>
        </w:rPr>
      </w:pPr>
      <w:r w:rsidRPr="00417ACE">
        <w:rPr>
          <w:rFonts w:eastAsiaTheme="minorHAnsi" w:cs="Times New Roman"/>
          <w:color w:val="000000"/>
          <w:sz w:val="22"/>
          <w:lang w:eastAsia="en-US"/>
        </w:rPr>
        <w:t>In analysing the implications of the EU caviar trade policies, I develop a twofold argument. First, I argue that the regulatory frameworks exhibit a number of gaps and grey areas. These include gaps in content; gaps in enforcement; and gaps in the policy narratives that sustain the regulatory frameworks. Such legislative omissions and ambiguities produce unintended geopolitical-ecological consequences that extend beyond the illegal caviar trade. Indeed, there are broader implications for EU security, geopolitics, and political ecologies. </w:t>
      </w:r>
    </w:p>
    <w:p w14:paraId="12070D6B" w14:textId="77777777" w:rsidR="00417ACE" w:rsidRPr="00417ACE" w:rsidRDefault="00417ACE" w:rsidP="00417ACE">
      <w:pPr>
        <w:spacing w:after="0"/>
        <w:rPr>
          <w:rFonts w:eastAsiaTheme="minorHAnsi" w:cs="Times New Roman"/>
          <w:color w:val="000000"/>
          <w:sz w:val="20"/>
          <w:szCs w:val="20"/>
          <w:lang w:eastAsia="en-US"/>
        </w:rPr>
      </w:pPr>
      <w:r w:rsidRPr="00417ACE">
        <w:rPr>
          <w:rFonts w:eastAsiaTheme="minorHAnsi" w:cs="Times New Roman"/>
          <w:color w:val="000000"/>
          <w:sz w:val="22"/>
          <w:lang w:eastAsia="en-US"/>
        </w:rPr>
        <w:t>Second, I argue that caviar and sturgeon are unlikely geopolitical actors. The geopolitical nature of these nonhuman actors is brought to light through the ways in which they reveal inconsistencies in the regulatory frameworks, and thereby co-produce resulting EU geopolitical-ecological configurations. </w:t>
      </w:r>
    </w:p>
    <w:p w14:paraId="339A6B88" w14:textId="77777777" w:rsidR="00417ACE" w:rsidRPr="00417ACE" w:rsidRDefault="00417ACE" w:rsidP="00417ACE">
      <w:pPr>
        <w:spacing w:after="0"/>
        <w:rPr>
          <w:rFonts w:eastAsiaTheme="minorHAnsi" w:cs="Times New Roman"/>
          <w:color w:val="000000"/>
          <w:sz w:val="20"/>
          <w:szCs w:val="20"/>
          <w:lang w:eastAsia="en-US"/>
        </w:rPr>
      </w:pPr>
      <w:r w:rsidRPr="00417ACE">
        <w:rPr>
          <w:rFonts w:eastAsiaTheme="minorHAnsi" w:cs="Times New Roman"/>
          <w:color w:val="000000"/>
          <w:sz w:val="22"/>
          <w:lang w:eastAsia="en-US"/>
        </w:rPr>
        <w:t xml:space="preserve">While developing burgeoning conversations about illegal wildlife trade and the EU, these insights also demonstrate the important role of nonhumans in co-producing geopolitical-ecologies within the region and more broadly. </w:t>
      </w:r>
    </w:p>
    <w:p w14:paraId="461C19F2" w14:textId="77777777" w:rsidR="00417ACE" w:rsidRPr="00417ACE" w:rsidRDefault="00417ACE" w:rsidP="00417ACE">
      <w:pPr>
        <w:spacing w:after="240" w:line="240" w:lineRule="auto"/>
        <w:jc w:val="left"/>
        <w:rPr>
          <w:rFonts w:eastAsia="Times New Roman" w:cs="Times New Roman"/>
          <w:sz w:val="20"/>
          <w:szCs w:val="20"/>
          <w:lang w:eastAsia="en-US"/>
        </w:rPr>
      </w:pPr>
    </w:p>
    <w:p w14:paraId="31EFF5A0" w14:textId="77777777" w:rsidR="007F476C" w:rsidRDefault="007F476C" w:rsidP="007F476C"/>
    <w:p w14:paraId="5DAED69C" w14:textId="77777777" w:rsidR="007F476C" w:rsidRDefault="007F476C" w:rsidP="007F476C"/>
    <w:p w14:paraId="176C168F" w14:textId="77777777" w:rsidR="007F476C" w:rsidRPr="007F476C" w:rsidRDefault="007F476C" w:rsidP="007F476C">
      <w:pPr>
        <w:sectPr w:rsidR="007F476C" w:rsidRPr="007F476C" w:rsidSect="00BE1811">
          <w:pgSz w:w="11906" w:h="16838"/>
          <w:pgMar w:top="1440" w:right="1440" w:bottom="1440" w:left="1440" w:header="708" w:footer="708" w:gutter="0"/>
          <w:pgNumType w:fmt="lowerRoman" w:start="1"/>
          <w:cols w:space="708"/>
          <w:docGrid w:linePitch="360"/>
        </w:sectPr>
      </w:pPr>
    </w:p>
    <w:p w14:paraId="0A5033F3" w14:textId="32438FB1" w:rsidR="005F6E3A" w:rsidRDefault="003E71F8" w:rsidP="005F6E3A">
      <w:pPr>
        <w:pStyle w:val="Heading3"/>
        <w:ind w:left="0"/>
      </w:pPr>
      <w:bookmarkStart w:id="1" w:name="_Toc453224176"/>
      <w:r>
        <w:lastRenderedPageBreak/>
        <w:t>Acknowledgement</w:t>
      </w:r>
      <w:r w:rsidR="007F476C">
        <w:t>s</w:t>
      </w:r>
      <w:bookmarkEnd w:id="1"/>
    </w:p>
    <w:p w14:paraId="6BAB34EC" w14:textId="1F601EA9" w:rsidR="00B37DD0" w:rsidRPr="00B37DD0" w:rsidRDefault="00B37DD0" w:rsidP="00B37DD0">
      <w:pPr>
        <w:spacing w:after="0" w:line="240" w:lineRule="auto"/>
        <w:rPr>
          <w:rFonts w:eastAsiaTheme="minorHAnsi" w:cs="Times New Roman"/>
          <w:color w:val="000000"/>
          <w:sz w:val="22"/>
          <w:lang w:eastAsia="en-US"/>
        </w:rPr>
      </w:pPr>
      <w:r w:rsidRPr="00B37DD0">
        <w:rPr>
          <w:rFonts w:eastAsiaTheme="minorHAnsi" w:cs="Times New Roman"/>
          <w:color w:val="000000"/>
          <w:sz w:val="22"/>
          <w:lang w:eastAsia="en-US"/>
        </w:rPr>
        <w:t>They say undertaking a PhD can be a very isolating experience. Luckily for me, although the journey had its ups and downs, I hardly ever felt</w:t>
      </w:r>
      <w:r>
        <w:rPr>
          <w:rFonts w:eastAsiaTheme="minorHAnsi" w:cs="Times New Roman"/>
          <w:color w:val="000000"/>
          <w:sz w:val="22"/>
          <w:lang w:eastAsia="en-US"/>
        </w:rPr>
        <w:t xml:space="preserve"> isolated. This is thanks to all the</w:t>
      </w:r>
      <w:r w:rsidRPr="00B37DD0">
        <w:rPr>
          <w:rFonts w:eastAsiaTheme="minorHAnsi" w:cs="Times New Roman"/>
          <w:color w:val="000000"/>
          <w:sz w:val="22"/>
          <w:lang w:eastAsia="en-US"/>
        </w:rPr>
        <w:t xml:space="preserve"> amazing individuals who supported me from th</w:t>
      </w:r>
      <w:r>
        <w:rPr>
          <w:rFonts w:eastAsiaTheme="minorHAnsi" w:cs="Times New Roman"/>
          <w:color w:val="000000"/>
          <w:sz w:val="22"/>
          <w:lang w:eastAsia="en-US"/>
        </w:rPr>
        <w:t>e outset, and those I met during</w:t>
      </w:r>
      <w:r w:rsidRPr="00B37DD0">
        <w:rPr>
          <w:rFonts w:eastAsiaTheme="minorHAnsi" w:cs="Times New Roman"/>
          <w:color w:val="000000"/>
          <w:sz w:val="22"/>
          <w:lang w:eastAsia="en-US"/>
        </w:rPr>
        <w:t xml:space="preserve"> the journey. I will now try my best to express my wholehearted gratitude for the support you’ve all given me along the way in making this thesis a reality. </w:t>
      </w:r>
    </w:p>
    <w:p w14:paraId="221A3068" w14:textId="77777777" w:rsidR="00B37DD0" w:rsidRPr="00B37DD0" w:rsidRDefault="00B37DD0" w:rsidP="00B37DD0">
      <w:pPr>
        <w:spacing w:after="0" w:line="240" w:lineRule="auto"/>
        <w:jc w:val="left"/>
        <w:rPr>
          <w:rFonts w:eastAsia="Times New Roman" w:cs="Times New Roman"/>
          <w:color w:val="000000"/>
          <w:sz w:val="22"/>
          <w:lang w:eastAsia="en-US"/>
        </w:rPr>
      </w:pPr>
    </w:p>
    <w:p w14:paraId="61BFC432" w14:textId="77777777" w:rsidR="00B37DD0" w:rsidRPr="00B37DD0" w:rsidRDefault="00B37DD0" w:rsidP="00B37DD0">
      <w:pPr>
        <w:spacing w:after="0" w:line="240" w:lineRule="auto"/>
        <w:rPr>
          <w:rFonts w:eastAsiaTheme="minorHAnsi" w:cs="Times New Roman"/>
          <w:color w:val="000000"/>
          <w:sz w:val="22"/>
          <w:lang w:eastAsia="en-US"/>
        </w:rPr>
      </w:pPr>
      <w:r w:rsidRPr="00B37DD0">
        <w:rPr>
          <w:rFonts w:eastAsiaTheme="minorHAnsi" w:cs="Times New Roman"/>
          <w:color w:val="000000"/>
          <w:sz w:val="22"/>
          <w:lang w:eastAsia="en-US"/>
        </w:rPr>
        <w:t>Firstly, my sincere thanks to all of those who agreed to be part of my research. It literally could not have happened without you. For the sake of anonymity I cannot extend thanks to individuals. Instead I will just say, thank you to each and every one of you for being generous with your time, knowledge, stories, and experiences. Thank you for being patient with me when there was a language barrier, or I got confused about the workings of a particular legislation, or asked something contentious. Sometimes these moments of friction yielded the most rewarding outcomes. I truly cherished every opportunity to speak to you all about your experiences in the crazy world of caviar and sturgeon. I would jump at the chance to do it all over again. </w:t>
      </w:r>
    </w:p>
    <w:p w14:paraId="14D697C5" w14:textId="77777777" w:rsidR="00B37DD0" w:rsidRPr="00B37DD0" w:rsidRDefault="00B37DD0" w:rsidP="00B37DD0">
      <w:pPr>
        <w:spacing w:after="0" w:line="240" w:lineRule="auto"/>
        <w:jc w:val="left"/>
        <w:rPr>
          <w:rFonts w:eastAsia="Times New Roman" w:cs="Times New Roman"/>
          <w:color w:val="000000"/>
          <w:sz w:val="22"/>
          <w:lang w:eastAsia="en-US"/>
        </w:rPr>
      </w:pPr>
    </w:p>
    <w:p w14:paraId="07891FBC" w14:textId="7C21EAA3" w:rsidR="00B37DD0" w:rsidRPr="00B37DD0" w:rsidRDefault="00B37DD0" w:rsidP="00B37DD0">
      <w:pPr>
        <w:spacing w:after="0" w:line="240" w:lineRule="auto"/>
        <w:rPr>
          <w:rFonts w:eastAsiaTheme="minorHAnsi" w:cs="Times New Roman"/>
          <w:color w:val="000000"/>
          <w:sz w:val="22"/>
          <w:lang w:eastAsia="en-US"/>
        </w:rPr>
      </w:pPr>
      <w:r w:rsidRPr="00B37DD0">
        <w:rPr>
          <w:rFonts w:eastAsiaTheme="minorHAnsi" w:cs="Times New Roman"/>
          <w:color w:val="000000"/>
          <w:sz w:val="22"/>
          <w:lang w:eastAsia="en-US"/>
        </w:rPr>
        <w:t xml:space="preserve">I owe an enormous amount of gratitude to my supervisors, Prof. Rosaleen Duffy and Prof. Dan Brockington. Thank you for challenging me to be a better scholar. </w:t>
      </w:r>
      <w:r>
        <w:rPr>
          <w:rFonts w:eastAsiaTheme="minorHAnsi" w:cs="Times New Roman"/>
          <w:color w:val="000000"/>
          <w:sz w:val="22"/>
          <w:lang w:eastAsia="en-US"/>
        </w:rPr>
        <w:t xml:space="preserve">Your </w:t>
      </w:r>
      <w:r w:rsidR="00F20B6A">
        <w:rPr>
          <w:rFonts w:eastAsiaTheme="minorHAnsi" w:cs="Times New Roman"/>
          <w:color w:val="000000"/>
          <w:sz w:val="22"/>
          <w:lang w:eastAsia="en-US"/>
        </w:rPr>
        <w:t>guidance was inspiring, and I t</w:t>
      </w:r>
      <w:r w:rsidRPr="00B37DD0">
        <w:rPr>
          <w:rFonts w:eastAsiaTheme="minorHAnsi" w:cs="Times New Roman"/>
          <w:color w:val="000000"/>
          <w:sz w:val="22"/>
          <w:lang w:eastAsia="en-US"/>
        </w:rPr>
        <w:t xml:space="preserve">hank you for </w:t>
      </w:r>
      <w:r w:rsidR="00F20B6A">
        <w:rPr>
          <w:rFonts w:eastAsiaTheme="minorHAnsi" w:cs="Times New Roman"/>
          <w:color w:val="000000"/>
          <w:sz w:val="22"/>
          <w:lang w:eastAsia="en-US"/>
        </w:rPr>
        <w:t xml:space="preserve">both for </w:t>
      </w:r>
      <w:r w:rsidRPr="00B37DD0">
        <w:rPr>
          <w:rFonts w:eastAsiaTheme="minorHAnsi" w:cs="Times New Roman"/>
          <w:color w:val="000000"/>
          <w:sz w:val="22"/>
          <w:lang w:eastAsia="en-US"/>
        </w:rPr>
        <w:t>your thoughtful engagements with my work, and for giving me confidence boosts when I needed them most. </w:t>
      </w:r>
    </w:p>
    <w:p w14:paraId="3293277F" w14:textId="77777777" w:rsidR="00B37DD0" w:rsidRPr="00B37DD0" w:rsidRDefault="00B37DD0" w:rsidP="00B37DD0">
      <w:pPr>
        <w:spacing w:after="0" w:line="240" w:lineRule="auto"/>
        <w:jc w:val="left"/>
        <w:rPr>
          <w:rFonts w:eastAsia="Times New Roman" w:cs="Times New Roman"/>
          <w:color w:val="000000"/>
          <w:sz w:val="22"/>
          <w:lang w:eastAsia="en-US"/>
        </w:rPr>
      </w:pPr>
    </w:p>
    <w:p w14:paraId="525EEF74" w14:textId="20A770A3" w:rsidR="00B37DD0" w:rsidRPr="00B37DD0" w:rsidRDefault="00B37DD0" w:rsidP="00B37DD0">
      <w:pPr>
        <w:spacing w:after="0" w:line="240" w:lineRule="auto"/>
        <w:rPr>
          <w:rFonts w:eastAsiaTheme="minorHAnsi" w:cs="Times New Roman"/>
          <w:color w:val="000000"/>
          <w:sz w:val="22"/>
          <w:lang w:eastAsia="en-US"/>
        </w:rPr>
      </w:pPr>
      <w:r w:rsidRPr="00B37DD0">
        <w:rPr>
          <w:rFonts w:eastAsiaTheme="minorHAnsi" w:cs="Times New Roman"/>
          <w:color w:val="000000"/>
          <w:sz w:val="22"/>
          <w:lang w:eastAsia="en-US"/>
        </w:rPr>
        <w:t xml:space="preserve">To the BIOSEC team. I </w:t>
      </w:r>
      <w:r w:rsidR="00765797">
        <w:rPr>
          <w:rFonts w:eastAsiaTheme="minorHAnsi" w:cs="Times New Roman"/>
          <w:color w:val="000000"/>
          <w:sz w:val="22"/>
          <w:lang w:eastAsia="en-US"/>
        </w:rPr>
        <w:t xml:space="preserve">am </w:t>
      </w:r>
      <w:r w:rsidR="00F20B6A">
        <w:rPr>
          <w:rFonts w:eastAsiaTheme="minorHAnsi" w:cs="Times New Roman"/>
          <w:color w:val="000000"/>
          <w:sz w:val="22"/>
          <w:lang w:eastAsia="en-US"/>
        </w:rPr>
        <w:t xml:space="preserve">so unbelievably fortunate </w:t>
      </w:r>
      <w:r w:rsidRPr="00B37DD0">
        <w:rPr>
          <w:rFonts w:eastAsiaTheme="minorHAnsi" w:cs="Times New Roman"/>
          <w:color w:val="000000"/>
          <w:sz w:val="22"/>
          <w:lang w:eastAsia="en-US"/>
        </w:rPr>
        <w:t xml:space="preserve">to be part of such an inspiring, talented and hilarious </w:t>
      </w:r>
      <w:r w:rsidR="00F20B6A">
        <w:rPr>
          <w:rFonts w:eastAsiaTheme="minorHAnsi" w:cs="Times New Roman"/>
          <w:color w:val="000000"/>
          <w:sz w:val="22"/>
          <w:lang w:eastAsia="en-US"/>
        </w:rPr>
        <w:t>research group</w:t>
      </w:r>
      <w:r w:rsidRPr="00B37DD0">
        <w:rPr>
          <w:rFonts w:eastAsiaTheme="minorHAnsi" w:cs="Times New Roman"/>
          <w:color w:val="000000"/>
          <w:sz w:val="22"/>
          <w:lang w:eastAsia="en-US"/>
        </w:rPr>
        <w:t>. I count my lucky stars every day. Each one of you has helped me grow as a researcher and an individual, and for that I am incredibly thankful. A special thank you to Laure Joanny and Dr. Teresa Lappe-Ost</w:t>
      </w:r>
      <w:r w:rsidR="00F20B6A">
        <w:rPr>
          <w:rFonts w:eastAsiaTheme="minorHAnsi" w:cs="Times New Roman"/>
          <w:color w:val="000000"/>
          <w:sz w:val="22"/>
          <w:lang w:eastAsia="en-US"/>
        </w:rPr>
        <w:t>heg</w:t>
      </w:r>
      <w:r w:rsidRPr="00B37DD0">
        <w:rPr>
          <w:rFonts w:eastAsiaTheme="minorHAnsi" w:cs="Times New Roman"/>
          <w:color w:val="000000"/>
          <w:sz w:val="22"/>
          <w:lang w:eastAsia="en-US"/>
        </w:rPr>
        <w:t xml:space="preserve">e for your unwavering support, particularly in the final weeks before submitting. To Dr George </w:t>
      </w:r>
      <w:r w:rsidR="00F20B6A" w:rsidRPr="00F20B6A">
        <w:rPr>
          <w:rFonts w:eastAsiaTheme="minorHAnsi" w:cs="Times New Roman"/>
          <w:color w:val="000000"/>
          <w:sz w:val="22"/>
          <w:lang w:eastAsia="en-US"/>
        </w:rPr>
        <w:t xml:space="preserve">Iordachescu </w:t>
      </w:r>
      <w:r w:rsidRPr="00B37DD0">
        <w:rPr>
          <w:rFonts w:eastAsiaTheme="minorHAnsi" w:cs="Times New Roman"/>
          <w:color w:val="000000"/>
          <w:sz w:val="22"/>
          <w:lang w:eastAsia="en-US"/>
        </w:rPr>
        <w:t xml:space="preserve">and Dr Anh Vhu, thank you for your words of encouragement, wisdom, and re-invigorating presence in the office. Dr Francis </w:t>
      </w:r>
      <w:r w:rsidR="00F20B6A" w:rsidRPr="00EC7F7E">
        <w:rPr>
          <w:noProof/>
          <w:sz w:val="22"/>
        </w:rPr>
        <w:t>Massé</w:t>
      </w:r>
      <w:r w:rsidR="00F20B6A" w:rsidRPr="00B37DD0">
        <w:rPr>
          <w:rFonts w:eastAsiaTheme="minorHAnsi" w:cs="Times New Roman"/>
          <w:color w:val="000000"/>
          <w:sz w:val="22"/>
          <w:lang w:eastAsia="en-US"/>
        </w:rPr>
        <w:t xml:space="preserve"> </w:t>
      </w:r>
      <w:r w:rsidRPr="00B37DD0">
        <w:rPr>
          <w:rFonts w:eastAsiaTheme="minorHAnsi" w:cs="Times New Roman"/>
          <w:color w:val="000000"/>
          <w:sz w:val="22"/>
          <w:lang w:eastAsia="en-US"/>
        </w:rPr>
        <w:t>and Dr Jared Margulies, I loved working with you both. Thank you for</w:t>
      </w:r>
      <w:r w:rsidR="00F20B6A">
        <w:rPr>
          <w:rFonts w:eastAsiaTheme="minorHAnsi" w:cs="Times New Roman"/>
          <w:color w:val="000000"/>
          <w:sz w:val="22"/>
          <w:lang w:eastAsia="en-US"/>
        </w:rPr>
        <w:t xml:space="preserve"> all your help and advice on </w:t>
      </w:r>
      <w:r w:rsidRPr="00B37DD0">
        <w:rPr>
          <w:rFonts w:eastAsiaTheme="minorHAnsi" w:cs="Times New Roman"/>
          <w:color w:val="000000"/>
          <w:sz w:val="22"/>
          <w:lang w:eastAsia="en-US"/>
        </w:rPr>
        <w:t>writing and navigating the PhD generally. Special thanks to Francis for your support in the days running up to submission.</w:t>
      </w:r>
      <w:r w:rsidR="00F20B6A">
        <w:rPr>
          <w:rFonts w:eastAsiaTheme="minorHAnsi" w:cs="Times New Roman"/>
          <w:color w:val="000000"/>
          <w:sz w:val="22"/>
          <w:lang w:eastAsia="en-US"/>
        </w:rPr>
        <w:t xml:space="preserve"> To Ruth Wilson and Lucy Dunning: y</w:t>
      </w:r>
      <w:r w:rsidRPr="00B37DD0">
        <w:rPr>
          <w:rFonts w:eastAsiaTheme="minorHAnsi" w:cs="Times New Roman"/>
          <w:color w:val="000000"/>
          <w:sz w:val="22"/>
          <w:lang w:eastAsia="en-US"/>
        </w:rPr>
        <w:t>our project management skills are awe-inspiring, and I am so thankful for your guidance on all things practical. You helped bring my fieldwork dreams to reality. </w:t>
      </w:r>
      <w:r w:rsidR="00F20B6A">
        <w:rPr>
          <w:rFonts w:eastAsiaTheme="minorHAnsi" w:cs="Times New Roman"/>
          <w:color w:val="000000"/>
          <w:sz w:val="22"/>
          <w:lang w:eastAsia="en-US"/>
        </w:rPr>
        <w:t xml:space="preserve">Thanks also to the BIOSEC advisory board and BIOSEC Fellows who provided helpful feedback on my research. </w:t>
      </w:r>
    </w:p>
    <w:p w14:paraId="1F151773" w14:textId="77777777" w:rsidR="00B37DD0" w:rsidRPr="00B37DD0" w:rsidRDefault="00B37DD0" w:rsidP="00B37DD0">
      <w:pPr>
        <w:spacing w:after="0" w:line="240" w:lineRule="auto"/>
        <w:jc w:val="left"/>
        <w:rPr>
          <w:rFonts w:eastAsia="Times New Roman" w:cs="Times New Roman"/>
          <w:color w:val="000000"/>
          <w:sz w:val="22"/>
          <w:lang w:eastAsia="en-US"/>
        </w:rPr>
      </w:pPr>
    </w:p>
    <w:p w14:paraId="0731563F" w14:textId="77777777" w:rsidR="00B37DD0" w:rsidRPr="00B37DD0" w:rsidRDefault="00B37DD0" w:rsidP="00B37DD0">
      <w:pPr>
        <w:spacing w:after="0" w:line="240" w:lineRule="auto"/>
        <w:rPr>
          <w:rFonts w:eastAsiaTheme="minorHAnsi" w:cs="Times New Roman"/>
          <w:color w:val="000000"/>
          <w:sz w:val="22"/>
          <w:lang w:eastAsia="en-US"/>
        </w:rPr>
      </w:pPr>
      <w:r w:rsidRPr="00B37DD0">
        <w:rPr>
          <w:rFonts w:eastAsiaTheme="minorHAnsi" w:cs="Times New Roman"/>
          <w:color w:val="000000"/>
          <w:sz w:val="22"/>
          <w:lang w:eastAsia="en-US"/>
        </w:rPr>
        <w:t>To the European Research Council (ERC), for funding the BIOSEC project and my PhD research. Thank you for recognising the importance of the critical and timely research that BIOSEC proposed to undertake. </w:t>
      </w:r>
    </w:p>
    <w:p w14:paraId="0AC65C99" w14:textId="77777777" w:rsidR="00B37DD0" w:rsidRPr="00B37DD0" w:rsidRDefault="00B37DD0" w:rsidP="00B37DD0">
      <w:pPr>
        <w:spacing w:after="0" w:line="240" w:lineRule="auto"/>
        <w:jc w:val="left"/>
        <w:rPr>
          <w:rFonts w:eastAsia="Times New Roman" w:cs="Times New Roman"/>
          <w:color w:val="000000"/>
          <w:sz w:val="22"/>
          <w:lang w:eastAsia="en-US"/>
        </w:rPr>
      </w:pPr>
    </w:p>
    <w:p w14:paraId="76DB0569" w14:textId="71123311" w:rsidR="00B37DD0" w:rsidRPr="00B37DD0" w:rsidRDefault="00765797" w:rsidP="00B37DD0">
      <w:pPr>
        <w:spacing w:after="0" w:line="240" w:lineRule="auto"/>
        <w:rPr>
          <w:rFonts w:eastAsiaTheme="minorHAnsi" w:cs="Times New Roman"/>
          <w:color w:val="000000"/>
          <w:sz w:val="22"/>
          <w:lang w:eastAsia="en-US"/>
        </w:rPr>
      </w:pPr>
      <w:r>
        <w:rPr>
          <w:rFonts w:eastAsiaTheme="minorHAnsi" w:cs="Times New Roman"/>
          <w:color w:val="000000"/>
          <w:sz w:val="22"/>
          <w:lang w:eastAsia="en-US"/>
        </w:rPr>
        <w:t>Thank you to colleagues in the</w:t>
      </w:r>
      <w:r w:rsidR="00B37DD0" w:rsidRPr="00B37DD0">
        <w:rPr>
          <w:rFonts w:eastAsiaTheme="minorHAnsi" w:cs="Times New Roman"/>
          <w:color w:val="000000"/>
          <w:sz w:val="22"/>
          <w:lang w:eastAsia="en-US"/>
        </w:rPr>
        <w:t xml:space="preserve"> Department of Politics and International Relations at the University of Sheffield. </w:t>
      </w:r>
      <w:r>
        <w:rPr>
          <w:rFonts w:eastAsiaTheme="minorHAnsi" w:cs="Times New Roman"/>
          <w:color w:val="000000"/>
          <w:sz w:val="22"/>
          <w:lang w:eastAsia="en-US"/>
        </w:rPr>
        <w:t>The warmth and support afforded to me by many in the department was crucial in making this thesis what it is. Special thanks to Sarah Cooke who made me feel so welcome from day one.</w:t>
      </w:r>
    </w:p>
    <w:p w14:paraId="4B6B9750" w14:textId="0E230063" w:rsidR="00B37DD0" w:rsidRPr="00B37DD0" w:rsidRDefault="00765797" w:rsidP="00B37DD0">
      <w:pPr>
        <w:spacing w:after="0" w:line="240" w:lineRule="auto"/>
        <w:rPr>
          <w:rFonts w:eastAsiaTheme="minorHAnsi" w:cs="Times New Roman"/>
          <w:color w:val="000000"/>
          <w:sz w:val="22"/>
          <w:lang w:eastAsia="en-US"/>
        </w:rPr>
      </w:pPr>
      <w:r>
        <w:rPr>
          <w:rFonts w:eastAsiaTheme="minorHAnsi" w:cs="Times New Roman"/>
          <w:color w:val="000000"/>
          <w:sz w:val="22"/>
          <w:lang w:eastAsia="en-US"/>
        </w:rPr>
        <w:t xml:space="preserve">Also, </w:t>
      </w:r>
      <w:r w:rsidR="00B37DD0" w:rsidRPr="00B37DD0">
        <w:rPr>
          <w:rFonts w:eastAsiaTheme="minorHAnsi" w:cs="Times New Roman"/>
          <w:color w:val="000000"/>
          <w:sz w:val="22"/>
          <w:lang w:eastAsia="en-US"/>
        </w:rPr>
        <w:t>to the ‘</w:t>
      </w:r>
      <w:r w:rsidR="00B37DD0" w:rsidRPr="00B37DD0">
        <w:rPr>
          <w:rFonts w:eastAsiaTheme="minorHAnsi" w:cs="Times New Roman"/>
          <w:i/>
          <w:iCs/>
          <w:color w:val="000000"/>
          <w:sz w:val="22"/>
          <w:lang w:eastAsia="en-US"/>
        </w:rPr>
        <w:t>Girly Swots</w:t>
      </w:r>
      <w:r w:rsidR="00B37DD0" w:rsidRPr="00B37DD0">
        <w:rPr>
          <w:rFonts w:eastAsiaTheme="minorHAnsi" w:cs="Times New Roman"/>
          <w:color w:val="000000"/>
          <w:sz w:val="22"/>
          <w:lang w:eastAsia="en-US"/>
        </w:rPr>
        <w:t>’: our coffees, writing retreats, lunches, and WhatsApp chats kept me going</w:t>
      </w:r>
      <w:r>
        <w:rPr>
          <w:rFonts w:eastAsiaTheme="minorHAnsi" w:cs="Times New Roman"/>
          <w:color w:val="000000"/>
          <w:sz w:val="22"/>
          <w:lang w:eastAsia="en-US"/>
        </w:rPr>
        <w:t xml:space="preserve"> when I wasn’t sure if I could. </w:t>
      </w:r>
      <w:r w:rsidR="00B37DD0" w:rsidRPr="00B37DD0">
        <w:rPr>
          <w:rFonts w:eastAsiaTheme="minorHAnsi" w:cs="Times New Roman"/>
          <w:color w:val="000000"/>
          <w:sz w:val="22"/>
          <w:lang w:eastAsia="en-US"/>
        </w:rPr>
        <w:t xml:space="preserve">I am </w:t>
      </w:r>
      <w:r w:rsidR="00F20B6A">
        <w:rPr>
          <w:rFonts w:eastAsiaTheme="minorHAnsi" w:cs="Times New Roman"/>
          <w:color w:val="000000"/>
          <w:sz w:val="22"/>
          <w:lang w:eastAsia="en-US"/>
        </w:rPr>
        <w:t xml:space="preserve">so </w:t>
      </w:r>
      <w:r w:rsidR="00B37DD0" w:rsidRPr="00B37DD0">
        <w:rPr>
          <w:rFonts w:eastAsiaTheme="minorHAnsi" w:cs="Times New Roman"/>
          <w:color w:val="000000"/>
          <w:sz w:val="22"/>
          <w:lang w:eastAsia="en-US"/>
        </w:rPr>
        <w:t>proud to have been part of a departmental PhD community that genuinely cares so much about each other.  </w:t>
      </w:r>
    </w:p>
    <w:p w14:paraId="7998AFCD" w14:textId="77777777" w:rsidR="00B37DD0" w:rsidRPr="00B37DD0" w:rsidRDefault="00B37DD0" w:rsidP="00B37DD0">
      <w:pPr>
        <w:spacing w:after="0" w:line="240" w:lineRule="auto"/>
        <w:jc w:val="left"/>
        <w:rPr>
          <w:rFonts w:eastAsia="Times New Roman" w:cs="Times New Roman"/>
          <w:color w:val="000000"/>
          <w:sz w:val="22"/>
          <w:lang w:eastAsia="en-US"/>
        </w:rPr>
      </w:pPr>
    </w:p>
    <w:p w14:paraId="719D4035" w14:textId="77777777" w:rsidR="00B37DD0" w:rsidRPr="00B37DD0" w:rsidRDefault="00B37DD0" w:rsidP="00B37DD0">
      <w:pPr>
        <w:spacing w:after="0" w:line="240" w:lineRule="auto"/>
        <w:rPr>
          <w:rFonts w:eastAsiaTheme="minorHAnsi" w:cs="Times New Roman"/>
          <w:color w:val="000000"/>
          <w:sz w:val="22"/>
          <w:lang w:eastAsia="en-US"/>
        </w:rPr>
      </w:pPr>
      <w:r w:rsidRPr="00B37DD0">
        <w:rPr>
          <w:rFonts w:eastAsiaTheme="minorHAnsi" w:cs="Times New Roman"/>
          <w:color w:val="000000"/>
          <w:sz w:val="22"/>
          <w:lang w:eastAsia="en-US"/>
        </w:rPr>
        <w:t>To the members (past and present) of the political ecology reading group at the University of Sheffield. Being part of such an intellectually stimulating group was so beneficial for my work. Thank you for engaging with my work, and challenging me. In particular: Esther Marijnen, Brock Bersaglio, Adeniyi Asiyanbi, Charis Enns, Judith Krauss, Rose Pritchard - your feedback on chapter drafts and conference papers was invaluable. </w:t>
      </w:r>
    </w:p>
    <w:p w14:paraId="38B53175" w14:textId="77777777" w:rsidR="00B37DD0" w:rsidRPr="00B37DD0" w:rsidRDefault="00B37DD0" w:rsidP="00B37DD0">
      <w:pPr>
        <w:spacing w:after="0" w:line="240" w:lineRule="auto"/>
        <w:jc w:val="left"/>
        <w:rPr>
          <w:rFonts w:eastAsia="Times New Roman" w:cs="Times New Roman"/>
          <w:color w:val="000000"/>
          <w:sz w:val="22"/>
          <w:lang w:eastAsia="en-US"/>
        </w:rPr>
      </w:pPr>
    </w:p>
    <w:p w14:paraId="1A372741" w14:textId="755419B8" w:rsidR="00B37DD0" w:rsidRPr="00B37DD0" w:rsidRDefault="00B37DD0" w:rsidP="00B37DD0">
      <w:pPr>
        <w:spacing w:after="0" w:line="240" w:lineRule="auto"/>
        <w:rPr>
          <w:rFonts w:eastAsiaTheme="minorHAnsi" w:cs="Times New Roman"/>
          <w:color w:val="000000"/>
          <w:sz w:val="22"/>
          <w:lang w:eastAsia="en-US"/>
        </w:rPr>
      </w:pPr>
      <w:r w:rsidRPr="00B37DD0">
        <w:rPr>
          <w:rFonts w:eastAsiaTheme="minorHAnsi" w:cs="Times New Roman"/>
          <w:color w:val="000000"/>
          <w:sz w:val="22"/>
          <w:lang w:eastAsia="en-US"/>
        </w:rPr>
        <w:t>Thanks to Nick Robinson. You are one in a mi</w:t>
      </w:r>
      <w:r w:rsidR="00F20B6A">
        <w:rPr>
          <w:rFonts w:eastAsiaTheme="minorHAnsi" w:cs="Times New Roman"/>
          <w:color w:val="000000"/>
          <w:sz w:val="22"/>
          <w:lang w:eastAsia="en-US"/>
        </w:rPr>
        <w:t xml:space="preserve">llion. A brilliant researcher, </w:t>
      </w:r>
      <w:r w:rsidRPr="00B37DD0">
        <w:rPr>
          <w:rFonts w:eastAsiaTheme="minorHAnsi" w:cs="Times New Roman"/>
          <w:color w:val="000000"/>
          <w:sz w:val="22"/>
          <w:lang w:eastAsia="en-US"/>
        </w:rPr>
        <w:t>and an even more brilliant friend. </w:t>
      </w:r>
    </w:p>
    <w:p w14:paraId="50E9A29B" w14:textId="77777777" w:rsidR="00B37DD0" w:rsidRPr="00B37DD0" w:rsidRDefault="00B37DD0" w:rsidP="00B37DD0">
      <w:pPr>
        <w:spacing w:after="0" w:line="240" w:lineRule="auto"/>
        <w:jc w:val="left"/>
        <w:rPr>
          <w:rFonts w:eastAsia="Times New Roman" w:cs="Times New Roman"/>
          <w:color w:val="000000"/>
          <w:sz w:val="22"/>
          <w:lang w:eastAsia="en-US"/>
        </w:rPr>
      </w:pPr>
    </w:p>
    <w:p w14:paraId="2E1004C7" w14:textId="77777777" w:rsidR="00B37DD0" w:rsidRPr="00B37DD0" w:rsidRDefault="00B37DD0" w:rsidP="00B37DD0">
      <w:pPr>
        <w:spacing w:after="0" w:line="240" w:lineRule="auto"/>
        <w:rPr>
          <w:rFonts w:eastAsiaTheme="minorHAnsi" w:cs="Times New Roman"/>
          <w:color w:val="000000"/>
          <w:sz w:val="22"/>
          <w:lang w:eastAsia="en-US"/>
        </w:rPr>
      </w:pPr>
      <w:r w:rsidRPr="00B37DD0">
        <w:rPr>
          <w:rFonts w:eastAsiaTheme="minorHAnsi" w:cs="Times New Roman"/>
          <w:color w:val="000000"/>
          <w:sz w:val="22"/>
          <w:lang w:eastAsia="en-US"/>
        </w:rPr>
        <w:lastRenderedPageBreak/>
        <w:t>Thank you to Laura Shipp and Viktoria Noka. Reclaiming Success with you both has brought me joy every week, and a necessary distraction from the PhD troughs. What started out as an academic side project has blossomed into a genuine friendship. Thanks for the inspiring chats.  </w:t>
      </w:r>
    </w:p>
    <w:p w14:paraId="3794126C" w14:textId="77777777" w:rsidR="00B37DD0" w:rsidRPr="00B37DD0" w:rsidRDefault="00B37DD0" w:rsidP="00B37DD0">
      <w:pPr>
        <w:spacing w:after="0" w:line="240" w:lineRule="auto"/>
        <w:jc w:val="left"/>
        <w:rPr>
          <w:rFonts w:eastAsia="Times New Roman" w:cs="Times New Roman"/>
          <w:color w:val="000000"/>
          <w:sz w:val="22"/>
          <w:lang w:eastAsia="en-US"/>
        </w:rPr>
      </w:pPr>
    </w:p>
    <w:p w14:paraId="469381B1" w14:textId="4889AF7A" w:rsidR="00B37DD0" w:rsidRPr="00B37DD0" w:rsidRDefault="00B37DD0" w:rsidP="00B37DD0">
      <w:pPr>
        <w:spacing w:after="0" w:line="240" w:lineRule="auto"/>
        <w:rPr>
          <w:rFonts w:eastAsiaTheme="minorHAnsi" w:cs="Times New Roman"/>
          <w:color w:val="000000"/>
          <w:sz w:val="22"/>
          <w:lang w:eastAsia="en-US"/>
        </w:rPr>
      </w:pPr>
      <w:r w:rsidRPr="00B37DD0">
        <w:rPr>
          <w:rFonts w:eastAsiaTheme="minorHAnsi" w:cs="Times New Roman"/>
          <w:color w:val="000000"/>
          <w:sz w:val="22"/>
          <w:lang w:eastAsia="en-US"/>
        </w:rPr>
        <w:t>Finally, I would lik</w:t>
      </w:r>
      <w:r w:rsidR="00F20B6A">
        <w:rPr>
          <w:rFonts w:eastAsiaTheme="minorHAnsi" w:cs="Times New Roman"/>
          <w:color w:val="000000"/>
          <w:sz w:val="22"/>
          <w:lang w:eastAsia="en-US"/>
        </w:rPr>
        <w:t>e to thank my parents, family, </w:t>
      </w:r>
      <w:r w:rsidRPr="00B37DD0">
        <w:rPr>
          <w:rFonts w:eastAsiaTheme="minorHAnsi" w:cs="Times New Roman"/>
          <w:color w:val="000000"/>
          <w:sz w:val="22"/>
          <w:lang w:eastAsia="en-US"/>
        </w:rPr>
        <w:t>friends and Sidney for your unwavering love and support. </w:t>
      </w:r>
    </w:p>
    <w:p w14:paraId="4846D879" w14:textId="77777777" w:rsidR="006B58CF" w:rsidRDefault="006B58CF" w:rsidP="00B37DD0">
      <w:pPr>
        <w:spacing w:after="0" w:line="240" w:lineRule="auto"/>
        <w:rPr>
          <w:rFonts w:eastAsia="Times New Roman" w:cs="Times New Roman"/>
          <w:color w:val="000000"/>
          <w:sz w:val="22"/>
          <w:lang w:eastAsia="en-US"/>
        </w:rPr>
      </w:pPr>
    </w:p>
    <w:p w14:paraId="5DA51728" w14:textId="77777777" w:rsidR="00B37DD0" w:rsidRPr="00B37DD0" w:rsidRDefault="00B37DD0" w:rsidP="00B37DD0">
      <w:pPr>
        <w:spacing w:after="0" w:line="240" w:lineRule="auto"/>
        <w:rPr>
          <w:rFonts w:eastAsiaTheme="minorHAnsi" w:cs="Times New Roman"/>
          <w:color w:val="000000"/>
          <w:sz w:val="22"/>
          <w:lang w:eastAsia="en-US"/>
        </w:rPr>
      </w:pPr>
      <w:r w:rsidRPr="00B37DD0">
        <w:rPr>
          <w:rFonts w:eastAsiaTheme="minorHAnsi" w:cs="Times New Roman"/>
          <w:color w:val="000000"/>
          <w:sz w:val="22"/>
          <w:lang w:eastAsia="en-US"/>
        </w:rPr>
        <w:t>Most of all, thank you to Dan. Your faith in my abilities kept me going. </w:t>
      </w:r>
    </w:p>
    <w:p w14:paraId="217643EE" w14:textId="77777777" w:rsidR="00B37DD0" w:rsidRPr="00B37DD0" w:rsidRDefault="00B37DD0" w:rsidP="00B37DD0">
      <w:pPr>
        <w:spacing w:after="0" w:line="240" w:lineRule="auto"/>
        <w:jc w:val="left"/>
        <w:rPr>
          <w:rFonts w:eastAsia="Times New Roman" w:cs="Times New Roman"/>
          <w:color w:val="000000"/>
          <w:sz w:val="22"/>
          <w:lang w:eastAsia="en-US"/>
        </w:rPr>
      </w:pPr>
    </w:p>
    <w:p w14:paraId="5118D89A" w14:textId="4176056C" w:rsidR="00B37DD0" w:rsidRPr="00B37DD0" w:rsidRDefault="00B37DD0" w:rsidP="00B37DD0">
      <w:pPr>
        <w:spacing w:after="0" w:line="240" w:lineRule="auto"/>
        <w:rPr>
          <w:rFonts w:eastAsiaTheme="minorHAnsi" w:cs="Times New Roman"/>
          <w:color w:val="000000"/>
          <w:sz w:val="22"/>
          <w:lang w:eastAsia="en-US"/>
        </w:rPr>
      </w:pPr>
      <w:r w:rsidRPr="00B37DD0">
        <w:rPr>
          <w:rFonts w:eastAsiaTheme="minorHAnsi" w:cs="Times New Roman"/>
          <w:color w:val="000000"/>
          <w:sz w:val="22"/>
          <w:lang w:eastAsia="en-US"/>
        </w:rPr>
        <w:t>I de</w:t>
      </w:r>
      <w:r w:rsidR="006B58CF">
        <w:rPr>
          <w:rFonts w:eastAsiaTheme="minorHAnsi" w:cs="Times New Roman"/>
          <w:color w:val="000000"/>
          <w:sz w:val="22"/>
          <w:lang w:eastAsia="en-US"/>
        </w:rPr>
        <w:t>dicate this thesis to my sister.</w:t>
      </w:r>
      <w:r w:rsidRPr="00B37DD0">
        <w:rPr>
          <w:rFonts w:eastAsiaTheme="minorHAnsi" w:cs="Times New Roman"/>
          <w:color w:val="000000"/>
          <w:sz w:val="22"/>
          <w:lang w:eastAsia="en-US"/>
        </w:rPr>
        <w:t xml:space="preserve"> Caitlin Dickinson - you are my hero. </w:t>
      </w:r>
    </w:p>
    <w:p w14:paraId="413A6F4D" w14:textId="77777777" w:rsidR="00B37DD0" w:rsidRPr="00B37DD0" w:rsidRDefault="00B37DD0" w:rsidP="00B37DD0">
      <w:pPr>
        <w:spacing w:after="240" w:line="240" w:lineRule="auto"/>
        <w:jc w:val="left"/>
        <w:rPr>
          <w:rFonts w:eastAsia="Times New Roman" w:cs="Times New Roman"/>
          <w:sz w:val="20"/>
          <w:szCs w:val="20"/>
          <w:lang w:eastAsia="en-US"/>
        </w:rPr>
      </w:pPr>
    </w:p>
    <w:p w14:paraId="5DDC323F" w14:textId="77777777" w:rsidR="003E71F8" w:rsidRDefault="003E71F8" w:rsidP="003E71F8"/>
    <w:p w14:paraId="7485A856" w14:textId="77777777" w:rsidR="00455959" w:rsidRPr="003E71F8" w:rsidRDefault="00455959" w:rsidP="003E71F8"/>
    <w:sdt>
      <w:sdtPr>
        <w:rPr>
          <w:rFonts w:eastAsiaTheme="minorEastAsia" w:cs="Times New Roman"/>
          <w:b w:val="0"/>
          <w:sz w:val="24"/>
          <w:szCs w:val="22"/>
          <w:u w:val="none"/>
          <w:lang w:val="en-GB"/>
        </w:rPr>
        <w:id w:val="1262959353"/>
        <w:docPartObj>
          <w:docPartGallery w:val="Table of Contents"/>
          <w:docPartUnique/>
        </w:docPartObj>
      </w:sdtPr>
      <w:sdtEndPr>
        <w:rPr>
          <w:bCs/>
          <w:noProof/>
        </w:rPr>
      </w:sdtEndPr>
      <w:sdtContent>
        <w:p w14:paraId="3B138CB9" w14:textId="372B9328" w:rsidR="00042B6D" w:rsidRPr="00D11FA9" w:rsidRDefault="00042B6D">
          <w:pPr>
            <w:pStyle w:val="TOCHeading"/>
            <w:rPr>
              <w:rFonts w:cs="Times New Roman"/>
            </w:rPr>
          </w:pPr>
          <w:r w:rsidRPr="00D11FA9">
            <w:rPr>
              <w:rFonts w:cs="Times New Roman"/>
            </w:rPr>
            <w:t>Contents</w:t>
          </w:r>
        </w:p>
        <w:p w14:paraId="7F1DEF7E" w14:textId="77777777" w:rsidR="00765797" w:rsidRDefault="00CF44D0">
          <w:pPr>
            <w:pStyle w:val="TOC3"/>
            <w:tabs>
              <w:tab w:val="right" w:leader="dot" w:pos="9016"/>
            </w:tabs>
            <w:rPr>
              <w:rFonts w:asciiTheme="minorHAnsi" w:hAnsiTheme="minorHAnsi"/>
              <w:noProof/>
              <w:szCs w:val="24"/>
              <w:lang w:eastAsia="ja-JP"/>
            </w:rPr>
          </w:pPr>
          <w:r w:rsidRPr="00C60663">
            <w:rPr>
              <w:rFonts w:ascii="Garamond" w:hAnsi="Garamond" w:cs="Times New Roman"/>
            </w:rPr>
            <w:fldChar w:fldCharType="begin"/>
          </w:r>
          <w:r w:rsidRPr="00C60663">
            <w:rPr>
              <w:rFonts w:ascii="Garamond" w:hAnsi="Garamond" w:cs="Times New Roman"/>
            </w:rPr>
            <w:instrText xml:space="preserve"> TOC \o "1-3" \h \z \u </w:instrText>
          </w:r>
          <w:r w:rsidRPr="00C60663">
            <w:rPr>
              <w:rFonts w:ascii="Garamond" w:hAnsi="Garamond" w:cs="Times New Roman"/>
            </w:rPr>
            <w:fldChar w:fldCharType="separate"/>
          </w:r>
          <w:r w:rsidR="00765797">
            <w:rPr>
              <w:noProof/>
            </w:rPr>
            <w:t>Abstract</w:t>
          </w:r>
          <w:r w:rsidR="00765797">
            <w:rPr>
              <w:noProof/>
            </w:rPr>
            <w:tab/>
          </w:r>
          <w:r w:rsidR="00765797">
            <w:rPr>
              <w:noProof/>
            </w:rPr>
            <w:fldChar w:fldCharType="begin"/>
          </w:r>
          <w:r w:rsidR="00765797">
            <w:rPr>
              <w:noProof/>
            </w:rPr>
            <w:instrText xml:space="preserve"> PAGEREF _Toc453224175 \h </w:instrText>
          </w:r>
          <w:r w:rsidR="00765797">
            <w:rPr>
              <w:noProof/>
            </w:rPr>
          </w:r>
          <w:r w:rsidR="00765797">
            <w:rPr>
              <w:noProof/>
            </w:rPr>
            <w:fldChar w:fldCharType="separate"/>
          </w:r>
          <w:r w:rsidR="00765797">
            <w:rPr>
              <w:noProof/>
            </w:rPr>
            <w:t>i</w:t>
          </w:r>
          <w:r w:rsidR="00765797">
            <w:rPr>
              <w:noProof/>
            </w:rPr>
            <w:fldChar w:fldCharType="end"/>
          </w:r>
        </w:p>
        <w:p w14:paraId="3A79BC78" w14:textId="77777777" w:rsidR="00765797" w:rsidRDefault="00765797">
          <w:pPr>
            <w:pStyle w:val="TOC3"/>
            <w:tabs>
              <w:tab w:val="right" w:leader="dot" w:pos="9016"/>
            </w:tabs>
            <w:rPr>
              <w:rFonts w:asciiTheme="minorHAnsi" w:hAnsiTheme="minorHAnsi"/>
              <w:noProof/>
              <w:szCs w:val="24"/>
              <w:lang w:eastAsia="ja-JP"/>
            </w:rPr>
          </w:pPr>
          <w:r>
            <w:rPr>
              <w:noProof/>
            </w:rPr>
            <w:t>Acknowledgements</w:t>
          </w:r>
          <w:r>
            <w:rPr>
              <w:noProof/>
            </w:rPr>
            <w:tab/>
          </w:r>
          <w:r>
            <w:rPr>
              <w:noProof/>
            </w:rPr>
            <w:fldChar w:fldCharType="begin"/>
          </w:r>
          <w:r>
            <w:rPr>
              <w:noProof/>
            </w:rPr>
            <w:instrText xml:space="preserve"> PAGEREF _Toc453224176 \h </w:instrText>
          </w:r>
          <w:r>
            <w:rPr>
              <w:noProof/>
            </w:rPr>
          </w:r>
          <w:r>
            <w:rPr>
              <w:noProof/>
            </w:rPr>
            <w:fldChar w:fldCharType="separate"/>
          </w:r>
          <w:r>
            <w:rPr>
              <w:noProof/>
            </w:rPr>
            <w:t>ii</w:t>
          </w:r>
          <w:r>
            <w:rPr>
              <w:noProof/>
            </w:rPr>
            <w:fldChar w:fldCharType="end"/>
          </w:r>
        </w:p>
        <w:p w14:paraId="6B401FA2" w14:textId="77777777" w:rsidR="00765797" w:rsidRDefault="00765797">
          <w:pPr>
            <w:pStyle w:val="TOC3"/>
            <w:tabs>
              <w:tab w:val="right" w:leader="dot" w:pos="9016"/>
            </w:tabs>
            <w:rPr>
              <w:rFonts w:asciiTheme="minorHAnsi" w:hAnsiTheme="minorHAnsi"/>
              <w:noProof/>
              <w:szCs w:val="24"/>
              <w:lang w:eastAsia="ja-JP"/>
            </w:rPr>
          </w:pPr>
          <w:r>
            <w:rPr>
              <w:noProof/>
            </w:rPr>
            <w:t>List of Images</w:t>
          </w:r>
          <w:r>
            <w:rPr>
              <w:noProof/>
            </w:rPr>
            <w:tab/>
          </w:r>
          <w:r>
            <w:rPr>
              <w:noProof/>
            </w:rPr>
            <w:fldChar w:fldCharType="begin"/>
          </w:r>
          <w:r>
            <w:rPr>
              <w:noProof/>
            </w:rPr>
            <w:instrText xml:space="preserve"> PAGEREF _Toc453224177 \h </w:instrText>
          </w:r>
          <w:r>
            <w:rPr>
              <w:noProof/>
            </w:rPr>
          </w:r>
          <w:r>
            <w:rPr>
              <w:noProof/>
            </w:rPr>
            <w:fldChar w:fldCharType="separate"/>
          </w:r>
          <w:r>
            <w:rPr>
              <w:noProof/>
            </w:rPr>
            <w:t>vii</w:t>
          </w:r>
          <w:r>
            <w:rPr>
              <w:noProof/>
            </w:rPr>
            <w:fldChar w:fldCharType="end"/>
          </w:r>
        </w:p>
        <w:p w14:paraId="160A741A" w14:textId="77777777" w:rsidR="00765797" w:rsidRDefault="00765797">
          <w:pPr>
            <w:pStyle w:val="TOC3"/>
            <w:tabs>
              <w:tab w:val="right" w:leader="dot" w:pos="9016"/>
            </w:tabs>
            <w:rPr>
              <w:rFonts w:asciiTheme="minorHAnsi" w:hAnsiTheme="minorHAnsi"/>
              <w:noProof/>
              <w:szCs w:val="24"/>
              <w:lang w:eastAsia="ja-JP"/>
            </w:rPr>
          </w:pPr>
          <w:r>
            <w:rPr>
              <w:noProof/>
            </w:rPr>
            <w:t>List of Figures</w:t>
          </w:r>
          <w:r>
            <w:rPr>
              <w:noProof/>
            </w:rPr>
            <w:tab/>
          </w:r>
          <w:r>
            <w:rPr>
              <w:noProof/>
            </w:rPr>
            <w:fldChar w:fldCharType="begin"/>
          </w:r>
          <w:r>
            <w:rPr>
              <w:noProof/>
            </w:rPr>
            <w:instrText xml:space="preserve"> PAGEREF _Toc453224178 \h </w:instrText>
          </w:r>
          <w:r>
            <w:rPr>
              <w:noProof/>
            </w:rPr>
          </w:r>
          <w:r>
            <w:rPr>
              <w:noProof/>
            </w:rPr>
            <w:fldChar w:fldCharType="separate"/>
          </w:r>
          <w:r>
            <w:rPr>
              <w:noProof/>
            </w:rPr>
            <w:t>vii</w:t>
          </w:r>
          <w:r>
            <w:rPr>
              <w:noProof/>
            </w:rPr>
            <w:fldChar w:fldCharType="end"/>
          </w:r>
        </w:p>
        <w:p w14:paraId="2A14D2CD" w14:textId="77777777" w:rsidR="00765797" w:rsidRDefault="00765797">
          <w:pPr>
            <w:pStyle w:val="TOC3"/>
            <w:tabs>
              <w:tab w:val="right" w:leader="dot" w:pos="9016"/>
            </w:tabs>
            <w:rPr>
              <w:rFonts w:asciiTheme="minorHAnsi" w:hAnsiTheme="minorHAnsi"/>
              <w:noProof/>
              <w:szCs w:val="24"/>
              <w:lang w:eastAsia="ja-JP"/>
            </w:rPr>
          </w:pPr>
          <w:r>
            <w:rPr>
              <w:noProof/>
            </w:rPr>
            <w:t>List of Tables</w:t>
          </w:r>
          <w:r>
            <w:rPr>
              <w:noProof/>
            </w:rPr>
            <w:tab/>
          </w:r>
          <w:r>
            <w:rPr>
              <w:noProof/>
            </w:rPr>
            <w:fldChar w:fldCharType="begin"/>
          </w:r>
          <w:r>
            <w:rPr>
              <w:noProof/>
            </w:rPr>
            <w:instrText xml:space="preserve"> PAGEREF _Toc453224179 \h </w:instrText>
          </w:r>
          <w:r>
            <w:rPr>
              <w:noProof/>
            </w:rPr>
          </w:r>
          <w:r>
            <w:rPr>
              <w:noProof/>
            </w:rPr>
            <w:fldChar w:fldCharType="separate"/>
          </w:r>
          <w:r>
            <w:rPr>
              <w:noProof/>
            </w:rPr>
            <w:t>vii</w:t>
          </w:r>
          <w:r>
            <w:rPr>
              <w:noProof/>
            </w:rPr>
            <w:fldChar w:fldCharType="end"/>
          </w:r>
        </w:p>
        <w:p w14:paraId="7BE7D5A4" w14:textId="77777777" w:rsidR="00765797" w:rsidRDefault="00765797">
          <w:pPr>
            <w:pStyle w:val="TOC3"/>
            <w:tabs>
              <w:tab w:val="right" w:leader="dot" w:pos="9016"/>
            </w:tabs>
            <w:rPr>
              <w:rFonts w:asciiTheme="minorHAnsi" w:hAnsiTheme="minorHAnsi"/>
              <w:noProof/>
              <w:szCs w:val="24"/>
              <w:lang w:eastAsia="ja-JP"/>
            </w:rPr>
          </w:pPr>
          <w:r>
            <w:rPr>
              <w:noProof/>
            </w:rPr>
            <w:t>List of Acronyms</w:t>
          </w:r>
          <w:r>
            <w:rPr>
              <w:noProof/>
            </w:rPr>
            <w:tab/>
          </w:r>
          <w:r>
            <w:rPr>
              <w:noProof/>
            </w:rPr>
            <w:fldChar w:fldCharType="begin"/>
          </w:r>
          <w:r>
            <w:rPr>
              <w:noProof/>
            </w:rPr>
            <w:instrText xml:space="preserve"> PAGEREF _Toc453224180 \h </w:instrText>
          </w:r>
          <w:r>
            <w:rPr>
              <w:noProof/>
            </w:rPr>
          </w:r>
          <w:r>
            <w:rPr>
              <w:noProof/>
            </w:rPr>
            <w:fldChar w:fldCharType="separate"/>
          </w:r>
          <w:r>
            <w:rPr>
              <w:noProof/>
            </w:rPr>
            <w:t>viii</w:t>
          </w:r>
          <w:r>
            <w:rPr>
              <w:noProof/>
            </w:rPr>
            <w:fldChar w:fldCharType="end"/>
          </w:r>
        </w:p>
        <w:p w14:paraId="07FBE640" w14:textId="77777777" w:rsidR="00765797" w:rsidRDefault="00765797">
          <w:pPr>
            <w:pStyle w:val="TOC1"/>
            <w:tabs>
              <w:tab w:val="right" w:leader="dot" w:pos="9016"/>
            </w:tabs>
            <w:rPr>
              <w:rFonts w:asciiTheme="minorHAnsi" w:hAnsiTheme="minorHAnsi"/>
              <w:noProof/>
              <w:szCs w:val="24"/>
              <w:lang w:eastAsia="ja-JP"/>
            </w:rPr>
          </w:pPr>
          <w:r w:rsidRPr="00E37474">
            <w:rPr>
              <w:rFonts w:cs="Times New Roman"/>
              <w:noProof/>
            </w:rPr>
            <w:t>Chapter 1: Introduction</w:t>
          </w:r>
          <w:r>
            <w:rPr>
              <w:noProof/>
            </w:rPr>
            <w:tab/>
          </w:r>
          <w:r>
            <w:rPr>
              <w:noProof/>
            </w:rPr>
            <w:fldChar w:fldCharType="begin"/>
          </w:r>
          <w:r>
            <w:rPr>
              <w:noProof/>
            </w:rPr>
            <w:instrText xml:space="preserve"> PAGEREF _Toc453224181 \h </w:instrText>
          </w:r>
          <w:r>
            <w:rPr>
              <w:noProof/>
            </w:rPr>
          </w:r>
          <w:r>
            <w:rPr>
              <w:noProof/>
            </w:rPr>
            <w:fldChar w:fldCharType="separate"/>
          </w:r>
          <w:r>
            <w:rPr>
              <w:noProof/>
            </w:rPr>
            <w:t>1</w:t>
          </w:r>
          <w:r>
            <w:rPr>
              <w:noProof/>
            </w:rPr>
            <w:fldChar w:fldCharType="end"/>
          </w:r>
        </w:p>
        <w:p w14:paraId="65BCC77E" w14:textId="77777777" w:rsidR="00765797" w:rsidRDefault="00765797">
          <w:pPr>
            <w:pStyle w:val="TOC2"/>
            <w:tabs>
              <w:tab w:val="right" w:leader="dot" w:pos="9016"/>
            </w:tabs>
            <w:rPr>
              <w:rFonts w:asciiTheme="minorHAnsi" w:hAnsiTheme="minorHAnsi"/>
              <w:noProof/>
              <w:szCs w:val="24"/>
              <w:lang w:eastAsia="ja-JP"/>
            </w:rPr>
          </w:pPr>
          <w:r w:rsidRPr="00E37474">
            <w:rPr>
              <w:rFonts w:cs="Times New Roman"/>
              <w:noProof/>
            </w:rPr>
            <w:t>1.0 Introduction</w:t>
          </w:r>
          <w:r>
            <w:rPr>
              <w:noProof/>
            </w:rPr>
            <w:tab/>
          </w:r>
          <w:r>
            <w:rPr>
              <w:noProof/>
            </w:rPr>
            <w:fldChar w:fldCharType="begin"/>
          </w:r>
          <w:r>
            <w:rPr>
              <w:noProof/>
            </w:rPr>
            <w:instrText xml:space="preserve"> PAGEREF _Toc453224182 \h </w:instrText>
          </w:r>
          <w:r>
            <w:rPr>
              <w:noProof/>
            </w:rPr>
          </w:r>
          <w:r>
            <w:rPr>
              <w:noProof/>
            </w:rPr>
            <w:fldChar w:fldCharType="separate"/>
          </w:r>
          <w:r>
            <w:rPr>
              <w:noProof/>
            </w:rPr>
            <w:t>1</w:t>
          </w:r>
          <w:r>
            <w:rPr>
              <w:noProof/>
            </w:rPr>
            <w:fldChar w:fldCharType="end"/>
          </w:r>
        </w:p>
        <w:p w14:paraId="163E06FD" w14:textId="77777777" w:rsidR="00765797" w:rsidRDefault="00765797">
          <w:pPr>
            <w:pStyle w:val="TOC2"/>
            <w:tabs>
              <w:tab w:val="right" w:leader="dot" w:pos="9016"/>
            </w:tabs>
            <w:rPr>
              <w:rFonts w:asciiTheme="minorHAnsi" w:hAnsiTheme="minorHAnsi"/>
              <w:noProof/>
              <w:szCs w:val="24"/>
              <w:lang w:eastAsia="ja-JP"/>
            </w:rPr>
          </w:pPr>
          <w:r w:rsidRPr="00E37474">
            <w:rPr>
              <w:rFonts w:cs="Times New Roman"/>
              <w:noProof/>
            </w:rPr>
            <w:t>1.1 Research Questions</w:t>
          </w:r>
          <w:r>
            <w:rPr>
              <w:noProof/>
            </w:rPr>
            <w:tab/>
          </w:r>
          <w:r>
            <w:rPr>
              <w:noProof/>
            </w:rPr>
            <w:fldChar w:fldCharType="begin"/>
          </w:r>
          <w:r>
            <w:rPr>
              <w:noProof/>
            </w:rPr>
            <w:instrText xml:space="preserve"> PAGEREF _Toc453224183 \h </w:instrText>
          </w:r>
          <w:r>
            <w:rPr>
              <w:noProof/>
            </w:rPr>
          </w:r>
          <w:r>
            <w:rPr>
              <w:noProof/>
            </w:rPr>
            <w:fldChar w:fldCharType="separate"/>
          </w:r>
          <w:r>
            <w:rPr>
              <w:noProof/>
            </w:rPr>
            <w:t>2</w:t>
          </w:r>
          <w:r>
            <w:rPr>
              <w:noProof/>
            </w:rPr>
            <w:fldChar w:fldCharType="end"/>
          </w:r>
        </w:p>
        <w:p w14:paraId="649EE60F" w14:textId="77777777" w:rsidR="00765797" w:rsidRDefault="00765797">
          <w:pPr>
            <w:pStyle w:val="TOC2"/>
            <w:tabs>
              <w:tab w:val="right" w:leader="dot" w:pos="9016"/>
            </w:tabs>
            <w:rPr>
              <w:rFonts w:asciiTheme="minorHAnsi" w:hAnsiTheme="minorHAnsi"/>
              <w:noProof/>
              <w:szCs w:val="24"/>
              <w:lang w:eastAsia="ja-JP"/>
            </w:rPr>
          </w:pPr>
          <w:r w:rsidRPr="00E37474">
            <w:rPr>
              <w:rFonts w:cs="Times New Roman"/>
              <w:noProof/>
            </w:rPr>
            <w:t>1.2 Background and rationale of the research</w:t>
          </w:r>
          <w:r>
            <w:rPr>
              <w:noProof/>
            </w:rPr>
            <w:tab/>
          </w:r>
          <w:r>
            <w:rPr>
              <w:noProof/>
            </w:rPr>
            <w:fldChar w:fldCharType="begin"/>
          </w:r>
          <w:r>
            <w:rPr>
              <w:noProof/>
            </w:rPr>
            <w:instrText xml:space="preserve"> PAGEREF _Toc453224184 \h </w:instrText>
          </w:r>
          <w:r>
            <w:rPr>
              <w:noProof/>
            </w:rPr>
          </w:r>
          <w:r>
            <w:rPr>
              <w:noProof/>
            </w:rPr>
            <w:fldChar w:fldCharType="separate"/>
          </w:r>
          <w:r>
            <w:rPr>
              <w:noProof/>
            </w:rPr>
            <w:t>2</w:t>
          </w:r>
          <w:r>
            <w:rPr>
              <w:noProof/>
            </w:rPr>
            <w:fldChar w:fldCharType="end"/>
          </w:r>
        </w:p>
        <w:p w14:paraId="3EECB899" w14:textId="77777777" w:rsidR="00765797" w:rsidRDefault="00765797">
          <w:pPr>
            <w:pStyle w:val="TOC3"/>
            <w:tabs>
              <w:tab w:val="right" w:leader="dot" w:pos="9016"/>
            </w:tabs>
            <w:rPr>
              <w:rFonts w:asciiTheme="minorHAnsi" w:hAnsiTheme="minorHAnsi"/>
              <w:noProof/>
              <w:szCs w:val="24"/>
              <w:lang w:eastAsia="ja-JP"/>
            </w:rPr>
          </w:pPr>
          <w:r w:rsidRPr="00E37474">
            <w:rPr>
              <w:rFonts w:cs="Times New Roman"/>
              <w:noProof/>
            </w:rPr>
            <w:t>1.2.1 Caviar trade in the EU</w:t>
          </w:r>
          <w:r>
            <w:rPr>
              <w:noProof/>
            </w:rPr>
            <w:tab/>
          </w:r>
          <w:r>
            <w:rPr>
              <w:noProof/>
            </w:rPr>
            <w:fldChar w:fldCharType="begin"/>
          </w:r>
          <w:r>
            <w:rPr>
              <w:noProof/>
            </w:rPr>
            <w:instrText xml:space="preserve"> PAGEREF _Toc453224185 \h </w:instrText>
          </w:r>
          <w:r>
            <w:rPr>
              <w:noProof/>
            </w:rPr>
          </w:r>
          <w:r>
            <w:rPr>
              <w:noProof/>
            </w:rPr>
            <w:fldChar w:fldCharType="separate"/>
          </w:r>
          <w:r>
            <w:rPr>
              <w:noProof/>
            </w:rPr>
            <w:t>3</w:t>
          </w:r>
          <w:r>
            <w:rPr>
              <w:noProof/>
            </w:rPr>
            <w:fldChar w:fldCharType="end"/>
          </w:r>
        </w:p>
        <w:p w14:paraId="1A7295AF" w14:textId="77777777" w:rsidR="00765797" w:rsidRDefault="00765797">
          <w:pPr>
            <w:pStyle w:val="TOC2"/>
            <w:tabs>
              <w:tab w:val="right" w:leader="dot" w:pos="9016"/>
            </w:tabs>
            <w:rPr>
              <w:rFonts w:asciiTheme="minorHAnsi" w:hAnsiTheme="minorHAnsi"/>
              <w:noProof/>
              <w:szCs w:val="24"/>
              <w:lang w:eastAsia="ja-JP"/>
            </w:rPr>
          </w:pPr>
          <w:r w:rsidRPr="00E37474">
            <w:rPr>
              <w:rFonts w:cs="Times New Roman"/>
              <w:noProof/>
            </w:rPr>
            <w:t>1.3 Empirical, theoretical and methodological contributions</w:t>
          </w:r>
          <w:r>
            <w:rPr>
              <w:noProof/>
            </w:rPr>
            <w:tab/>
          </w:r>
          <w:r>
            <w:rPr>
              <w:noProof/>
            </w:rPr>
            <w:fldChar w:fldCharType="begin"/>
          </w:r>
          <w:r>
            <w:rPr>
              <w:noProof/>
            </w:rPr>
            <w:instrText xml:space="preserve"> PAGEREF _Toc453224186 \h </w:instrText>
          </w:r>
          <w:r>
            <w:rPr>
              <w:noProof/>
            </w:rPr>
          </w:r>
          <w:r>
            <w:rPr>
              <w:noProof/>
            </w:rPr>
            <w:fldChar w:fldCharType="separate"/>
          </w:r>
          <w:r>
            <w:rPr>
              <w:noProof/>
            </w:rPr>
            <w:t>5</w:t>
          </w:r>
          <w:r>
            <w:rPr>
              <w:noProof/>
            </w:rPr>
            <w:fldChar w:fldCharType="end"/>
          </w:r>
        </w:p>
        <w:p w14:paraId="38E514B8" w14:textId="77777777" w:rsidR="00765797" w:rsidRDefault="00765797">
          <w:pPr>
            <w:pStyle w:val="TOC2"/>
            <w:tabs>
              <w:tab w:val="right" w:leader="dot" w:pos="9016"/>
            </w:tabs>
            <w:rPr>
              <w:rFonts w:asciiTheme="minorHAnsi" w:hAnsiTheme="minorHAnsi"/>
              <w:noProof/>
              <w:szCs w:val="24"/>
              <w:lang w:eastAsia="ja-JP"/>
            </w:rPr>
          </w:pPr>
          <w:r w:rsidRPr="00E37474">
            <w:rPr>
              <w:rFonts w:cs="Times New Roman"/>
              <w:noProof/>
            </w:rPr>
            <w:t>1.4 Structure of the thesis</w:t>
          </w:r>
          <w:r>
            <w:rPr>
              <w:noProof/>
            </w:rPr>
            <w:tab/>
          </w:r>
          <w:r>
            <w:rPr>
              <w:noProof/>
            </w:rPr>
            <w:fldChar w:fldCharType="begin"/>
          </w:r>
          <w:r>
            <w:rPr>
              <w:noProof/>
            </w:rPr>
            <w:instrText xml:space="preserve"> PAGEREF _Toc453224187 \h </w:instrText>
          </w:r>
          <w:r>
            <w:rPr>
              <w:noProof/>
            </w:rPr>
          </w:r>
          <w:r>
            <w:rPr>
              <w:noProof/>
            </w:rPr>
            <w:fldChar w:fldCharType="separate"/>
          </w:r>
          <w:r>
            <w:rPr>
              <w:noProof/>
            </w:rPr>
            <w:t>6</w:t>
          </w:r>
          <w:r>
            <w:rPr>
              <w:noProof/>
            </w:rPr>
            <w:fldChar w:fldCharType="end"/>
          </w:r>
        </w:p>
        <w:p w14:paraId="4758AEE2" w14:textId="77777777" w:rsidR="00765797" w:rsidRDefault="00765797">
          <w:pPr>
            <w:pStyle w:val="TOC1"/>
            <w:tabs>
              <w:tab w:val="right" w:leader="dot" w:pos="9016"/>
            </w:tabs>
            <w:rPr>
              <w:rFonts w:asciiTheme="minorHAnsi" w:hAnsiTheme="minorHAnsi"/>
              <w:noProof/>
              <w:szCs w:val="24"/>
              <w:lang w:eastAsia="ja-JP"/>
            </w:rPr>
          </w:pPr>
          <w:r>
            <w:rPr>
              <w:noProof/>
            </w:rPr>
            <w:t>Chapter 2: A theoretical approach for more-than-human geopolitical ecology</w:t>
          </w:r>
          <w:r>
            <w:rPr>
              <w:noProof/>
            </w:rPr>
            <w:tab/>
          </w:r>
          <w:r>
            <w:rPr>
              <w:noProof/>
            </w:rPr>
            <w:fldChar w:fldCharType="begin"/>
          </w:r>
          <w:r>
            <w:rPr>
              <w:noProof/>
            </w:rPr>
            <w:instrText xml:space="preserve"> PAGEREF _Toc453224188 \h </w:instrText>
          </w:r>
          <w:r>
            <w:rPr>
              <w:noProof/>
            </w:rPr>
          </w:r>
          <w:r>
            <w:rPr>
              <w:noProof/>
            </w:rPr>
            <w:fldChar w:fldCharType="separate"/>
          </w:r>
          <w:r>
            <w:rPr>
              <w:noProof/>
            </w:rPr>
            <w:t>10</w:t>
          </w:r>
          <w:r>
            <w:rPr>
              <w:noProof/>
            </w:rPr>
            <w:fldChar w:fldCharType="end"/>
          </w:r>
        </w:p>
        <w:p w14:paraId="3039FE5A" w14:textId="77777777" w:rsidR="00765797" w:rsidRDefault="00765797">
          <w:pPr>
            <w:pStyle w:val="TOC2"/>
            <w:tabs>
              <w:tab w:val="right" w:leader="dot" w:pos="9016"/>
            </w:tabs>
            <w:rPr>
              <w:rFonts w:asciiTheme="minorHAnsi" w:hAnsiTheme="minorHAnsi"/>
              <w:noProof/>
              <w:szCs w:val="24"/>
              <w:lang w:eastAsia="ja-JP"/>
            </w:rPr>
          </w:pPr>
          <w:r>
            <w:rPr>
              <w:noProof/>
            </w:rPr>
            <w:t>2.0 Introduction</w:t>
          </w:r>
          <w:r>
            <w:rPr>
              <w:noProof/>
            </w:rPr>
            <w:tab/>
          </w:r>
          <w:r>
            <w:rPr>
              <w:noProof/>
            </w:rPr>
            <w:fldChar w:fldCharType="begin"/>
          </w:r>
          <w:r>
            <w:rPr>
              <w:noProof/>
            </w:rPr>
            <w:instrText xml:space="preserve"> PAGEREF _Toc453224189 \h </w:instrText>
          </w:r>
          <w:r>
            <w:rPr>
              <w:noProof/>
            </w:rPr>
          </w:r>
          <w:r>
            <w:rPr>
              <w:noProof/>
            </w:rPr>
            <w:fldChar w:fldCharType="separate"/>
          </w:r>
          <w:r>
            <w:rPr>
              <w:noProof/>
            </w:rPr>
            <w:t>10</w:t>
          </w:r>
          <w:r>
            <w:rPr>
              <w:noProof/>
            </w:rPr>
            <w:fldChar w:fldCharType="end"/>
          </w:r>
        </w:p>
        <w:p w14:paraId="3BDF8BE7" w14:textId="77777777" w:rsidR="00765797" w:rsidRDefault="00765797">
          <w:pPr>
            <w:pStyle w:val="TOC2"/>
            <w:tabs>
              <w:tab w:val="right" w:leader="dot" w:pos="9016"/>
            </w:tabs>
            <w:rPr>
              <w:rFonts w:asciiTheme="minorHAnsi" w:hAnsiTheme="minorHAnsi"/>
              <w:noProof/>
              <w:szCs w:val="24"/>
              <w:lang w:eastAsia="ja-JP"/>
            </w:rPr>
          </w:pPr>
          <w:r>
            <w:rPr>
              <w:noProof/>
            </w:rPr>
            <w:t>2.1 Theoretical foundations: Environmental Geopolitics and Geopolitical Ecology</w:t>
          </w:r>
          <w:r>
            <w:rPr>
              <w:noProof/>
            </w:rPr>
            <w:tab/>
          </w:r>
          <w:r>
            <w:rPr>
              <w:noProof/>
            </w:rPr>
            <w:fldChar w:fldCharType="begin"/>
          </w:r>
          <w:r>
            <w:rPr>
              <w:noProof/>
            </w:rPr>
            <w:instrText xml:space="preserve"> PAGEREF _Toc453224190 \h </w:instrText>
          </w:r>
          <w:r>
            <w:rPr>
              <w:noProof/>
            </w:rPr>
          </w:r>
          <w:r>
            <w:rPr>
              <w:noProof/>
            </w:rPr>
            <w:fldChar w:fldCharType="separate"/>
          </w:r>
          <w:r>
            <w:rPr>
              <w:noProof/>
            </w:rPr>
            <w:t>11</w:t>
          </w:r>
          <w:r>
            <w:rPr>
              <w:noProof/>
            </w:rPr>
            <w:fldChar w:fldCharType="end"/>
          </w:r>
        </w:p>
        <w:p w14:paraId="0A06E228" w14:textId="77777777" w:rsidR="00765797" w:rsidRDefault="00765797">
          <w:pPr>
            <w:pStyle w:val="TOC3"/>
            <w:tabs>
              <w:tab w:val="right" w:leader="dot" w:pos="9016"/>
            </w:tabs>
            <w:rPr>
              <w:rFonts w:asciiTheme="minorHAnsi" w:hAnsiTheme="minorHAnsi"/>
              <w:noProof/>
              <w:szCs w:val="24"/>
              <w:lang w:eastAsia="ja-JP"/>
            </w:rPr>
          </w:pPr>
          <w:r>
            <w:rPr>
              <w:noProof/>
            </w:rPr>
            <w:t>2.1.1 Environmental geopolitics</w:t>
          </w:r>
          <w:r>
            <w:rPr>
              <w:noProof/>
            </w:rPr>
            <w:tab/>
          </w:r>
          <w:r>
            <w:rPr>
              <w:noProof/>
            </w:rPr>
            <w:fldChar w:fldCharType="begin"/>
          </w:r>
          <w:r>
            <w:rPr>
              <w:noProof/>
            </w:rPr>
            <w:instrText xml:space="preserve"> PAGEREF _Toc453224191 \h </w:instrText>
          </w:r>
          <w:r>
            <w:rPr>
              <w:noProof/>
            </w:rPr>
          </w:r>
          <w:r>
            <w:rPr>
              <w:noProof/>
            </w:rPr>
            <w:fldChar w:fldCharType="separate"/>
          </w:r>
          <w:r>
            <w:rPr>
              <w:noProof/>
            </w:rPr>
            <w:t>12</w:t>
          </w:r>
          <w:r>
            <w:rPr>
              <w:noProof/>
            </w:rPr>
            <w:fldChar w:fldCharType="end"/>
          </w:r>
        </w:p>
        <w:p w14:paraId="451EC5B7" w14:textId="77777777" w:rsidR="00765797" w:rsidRDefault="00765797">
          <w:pPr>
            <w:pStyle w:val="TOC3"/>
            <w:tabs>
              <w:tab w:val="right" w:leader="dot" w:pos="9016"/>
            </w:tabs>
            <w:rPr>
              <w:rFonts w:asciiTheme="minorHAnsi" w:hAnsiTheme="minorHAnsi"/>
              <w:noProof/>
              <w:szCs w:val="24"/>
              <w:lang w:eastAsia="ja-JP"/>
            </w:rPr>
          </w:pPr>
          <w:r>
            <w:rPr>
              <w:noProof/>
            </w:rPr>
            <w:t>2.1.2 Geopolitical Ecology</w:t>
          </w:r>
          <w:r>
            <w:rPr>
              <w:noProof/>
            </w:rPr>
            <w:tab/>
          </w:r>
          <w:r>
            <w:rPr>
              <w:noProof/>
            </w:rPr>
            <w:fldChar w:fldCharType="begin"/>
          </w:r>
          <w:r>
            <w:rPr>
              <w:noProof/>
            </w:rPr>
            <w:instrText xml:space="preserve"> PAGEREF _Toc453224192 \h </w:instrText>
          </w:r>
          <w:r>
            <w:rPr>
              <w:noProof/>
            </w:rPr>
          </w:r>
          <w:r>
            <w:rPr>
              <w:noProof/>
            </w:rPr>
            <w:fldChar w:fldCharType="separate"/>
          </w:r>
          <w:r>
            <w:rPr>
              <w:noProof/>
            </w:rPr>
            <w:t>16</w:t>
          </w:r>
          <w:r>
            <w:rPr>
              <w:noProof/>
            </w:rPr>
            <w:fldChar w:fldCharType="end"/>
          </w:r>
        </w:p>
        <w:p w14:paraId="4893C543" w14:textId="77777777" w:rsidR="00765797" w:rsidRDefault="00765797">
          <w:pPr>
            <w:pStyle w:val="TOC3"/>
            <w:tabs>
              <w:tab w:val="right" w:leader="dot" w:pos="9016"/>
            </w:tabs>
            <w:rPr>
              <w:rFonts w:asciiTheme="minorHAnsi" w:hAnsiTheme="minorHAnsi"/>
              <w:noProof/>
              <w:szCs w:val="24"/>
              <w:lang w:eastAsia="ja-JP"/>
            </w:rPr>
          </w:pPr>
          <w:r>
            <w:rPr>
              <w:noProof/>
            </w:rPr>
            <w:t>2.1.3 Environmental geopolitics and geopolitical ecology in dialogue</w:t>
          </w:r>
          <w:r>
            <w:rPr>
              <w:noProof/>
            </w:rPr>
            <w:tab/>
          </w:r>
          <w:r>
            <w:rPr>
              <w:noProof/>
            </w:rPr>
            <w:fldChar w:fldCharType="begin"/>
          </w:r>
          <w:r>
            <w:rPr>
              <w:noProof/>
            </w:rPr>
            <w:instrText xml:space="preserve"> PAGEREF _Toc453224193 \h </w:instrText>
          </w:r>
          <w:r>
            <w:rPr>
              <w:noProof/>
            </w:rPr>
          </w:r>
          <w:r>
            <w:rPr>
              <w:noProof/>
            </w:rPr>
            <w:fldChar w:fldCharType="separate"/>
          </w:r>
          <w:r>
            <w:rPr>
              <w:noProof/>
            </w:rPr>
            <w:t>20</w:t>
          </w:r>
          <w:r>
            <w:rPr>
              <w:noProof/>
            </w:rPr>
            <w:fldChar w:fldCharType="end"/>
          </w:r>
        </w:p>
        <w:p w14:paraId="680375A0" w14:textId="77777777" w:rsidR="00765797" w:rsidRDefault="00765797">
          <w:pPr>
            <w:pStyle w:val="TOC2"/>
            <w:tabs>
              <w:tab w:val="right" w:leader="dot" w:pos="9016"/>
            </w:tabs>
            <w:rPr>
              <w:rFonts w:asciiTheme="minorHAnsi" w:hAnsiTheme="minorHAnsi"/>
              <w:noProof/>
              <w:szCs w:val="24"/>
              <w:lang w:eastAsia="ja-JP"/>
            </w:rPr>
          </w:pPr>
          <w:r>
            <w:rPr>
              <w:noProof/>
            </w:rPr>
            <w:t>2.2 Integrating more-than-human ontologies</w:t>
          </w:r>
          <w:r>
            <w:rPr>
              <w:noProof/>
            </w:rPr>
            <w:tab/>
          </w:r>
          <w:r>
            <w:rPr>
              <w:noProof/>
            </w:rPr>
            <w:fldChar w:fldCharType="begin"/>
          </w:r>
          <w:r>
            <w:rPr>
              <w:noProof/>
            </w:rPr>
            <w:instrText xml:space="preserve"> PAGEREF _Toc453224194 \h </w:instrText>
          </w:r>
          <w:r>
            <w:rPr>
              <w:noProof/>
            </w:rPr>
          </w:r>
          <w:r>
            <w:rPr>
              <w:noProof/>
            </w:rPr>
            <w:fldChar w:fldCharType="separate"/>
          </w:r>
          <w:r>
            <w:rPr>
              <w:noProof/>
            </w:rPr>
            <w:t>23</w:t>
          </w:r>
          <w:r>
            <w:rPr>
              <w:noProof/>
            </w:rPr>
            <w:fldChar w:fldCharType="end"/>
          </w:r>
        </w:p>
        <w:p w14:paraId="67C4769B" w14:textId="77777777" w:rsidR="00765797" w:rsidRDefault="00765797">
          <w:pPr>
            <w:pStyle w:val="TOC3"/>
            <w:tabs>
              <w:tab w:val="right" w:leader="dot" w:pos="9016"/>
            </w:tabs>
            <w:rPr>
              <w:rFonts w:asciiTheme="minorHAnsi" w:hAnsiTheme="minorHAnsi"/>
              <w:noProof/>
              <w:szCs w:val="24"/>
              <w:lang w:eastAsia="ja-JP"/>
            </w:rPr>
          </w:pPr>
          <w:r>
            <w:rPr>
              <w:noProof/>
            </w:rPr>
            <w:t>2.2.1 (Geo)political animals</w:t>
          </w:r>
          <w:r>
            <w:rPr>
              <w:noProof/>
            </w:rPr>
            <w:tab/>
          </w:r>
          <w:r>
            <w:rPr>
              <w:noProof/>
            </w:rPr>
            <w:fldChar w:fldCharType="begin"/>
          </w:r>
          <w:r>
            <w:rPr>
              <w:noProof/>
            </w:rPr>
            <w:instrText xml:space="preserve"> PAGEREF _Toc453224195 \h </w:instrText>
          </w:r>
          <w:r>
            <w:rPr>
              <w:noProof/>
            </w:rPr>
          </w:r>
          <w:r>
            <w:rPr>
              <w:noProof/>
            </w:rPr>
            <w:fldChar w:fldCharType="separate"/>
          </w:r>
          <w:r>
            <w:rPr>
              <w:noProof/>
            </w:rPr>
            <w:t>24</w:t>
          </w:r>
          <w:r>
            <w:rPr>
              <w:noProof/>
            </w:rPr>
            <w:fldChar w:fldCharType="end"/>
          </w:r>
        </w:p>
        <w:p w14:paraId="7706FF55" w14:textId="77777777" w:rsidR="00765797" w:rsidRDefault="00765797">
          <w:pPr>
            <w:pStyle w:val="TOC3"/>
            <w:tabs>
              <w:tab w:val="right" w:leader="dot" w:pos="9016"/>
            </w:tabs>
            <w:rPr>
              <w:rFonts w:asciiTheme="minorHAnsi" w:hAnsiTheme="minorHAnsi"/>
              <w:noProof/>
              <w:szCs w:val="24"/>
              <w:lang w:eastAsia="ja-JP"/>
            </w:rPr>
          </w:pPr>
          <w:r>
            <w:rPr>
              <w:noProof/>
            </w:rPr>
            <w:t>2.2.2 (Geo)political matter</w:t>
          </w:r>
          <w:r>
            <w:rPr>
              <w:noProof/>
            </w:rPr>
            <w:tab/>
          </w:r>
          <w:r>
            <w:rPr>
              <w:noProof/>
            </w:rPr>
            <w:fldChar w:fldCharType="begin"/>
          </w:r>
          <w:r>
            <w:rPr>
              <w:noProof/>
            </w:rPr>
            <w:instrText xml:space="preserve"> PAGEREF _Toc453224196 \h </w:instrText>
          </w:r>
          <w:r>
            <w:rPr>
              <w:noProof/>
            </w:rPr>
          </w:r>
          <w:r>
            <w:rPr>
              <w:noProof/>
            </w:rPr>
            <w:fldChar w:fldCharType="separate"/>
          </w:r>
          <w:r>
            <w:rPr>
              <w:noProof/>
            </w:rPr>
            <w:t>29</w:t>
          </w:r>
          <w:r>
            <w:rPr>
              <w:noProof/>
            </w:rPr>
            <w:fldChar w:fldCharType="end"/>
          </w:r>
        </w:p>
        <w:p w14:paraId="627E56B7" w14:textId="77777777" w:rsidR="00765797" w:rsidRDefault="00765797">
          <w:pPr>
            <w:pStyle w:val="TOC2"/>
            <w:tabs>
              <w:tab w:val="right" w:leader="dot" w:pos="9016"/>
            </w:tabs>
            <w:rPr>
              <w:rFonts w:asciiTheme="minorHAnsi" w:hAnsiTheme="minorHAnsi"/>
              <w:noProof/>
              <w:szCs w:val="24"/>
              <w:lang w:eastAsia="ja-JP"/>
            </w:rPr>
          </w:pPr>
          <w:r>
            <w:rPr>
              <w:noProof/>
            </w:rPr>
            <w:t>2.3 Conclusion: More-than-human geopolitical ecology</w:t>
          </w:r>
          <w:r>
            <w:rPr>
              <w:noProof/>
            </w:rPr>
            <w:tab/>
          </w:r>
          <w:r>
            <w:rPr>
              <w:noProof/>
            </w:rPr>
            <w:fldChar w:fldCharType="begin"/>
          </w:r>
          <w:r>
            <w:rPr>
              <w:noProof/>
            </w:rPr>
            <w:instrText xml:space="preserve"> PAGEREF _Toc453224197 \h </w:instrText>
          </w:r>
          <w:r>
            <w:rPr>
              <w:noProof/>
            </w:rPr>
          </w:r>
          <w:r>
            <w:rPr>
              <w:noProof/>
            </w:rPr>
            <w:fldChar w:fldCharType="separate"/>
          </w:r>
          <w:r>
            <w:rPr>
              <w:noProof/>
            </w:rPr>
            <w:t>32</w:t>
          </w:r>
          <w:r>
            <w:rPr>
              <w:noProof/>
            </w:rPr>
            <w:fldChar w:fldCharType="end"/>
          </w:r>
        </w:p>
        <w:p w14:paraId="23D1879E" w14:textId="77777777" w:rsidR="00765797" w:rsidRDefault="00765797">
          <w:pPr>
            <w:pStyle w:val="TOC1"/>
            <w:tabs>
              <w:tab w:val="right" w:leader="dot" w:pos="9016"/>
            </w:tabs>
            <w:rPr>
              <w:rFonts w:asciiTheme="minorHAnsi" w:hAnsiTheme="minorHAnsi"/>
              <w:noProof/>
              <w:szCs w:val="24"/>
              <w:lang w:eastAsia="ja-JP"/>
            </w:rPr>
          </w:pPr>
          <w:r>
            <w:rPr>
              <w:noProof/>
            </w:rPr>
            <w:t>Chapter 3: Methodology</w:t>
          </w:r>
          <w:r>
            <w:rPr>
              <w:noProof/>
            </w:rPr>
            <w:tab/>
          </w:r>
          <w:r>
            <w:rPr>
              <w:noProof/>
            </w:rPr>
            <w:fldChar w:fldCharType="begin"/>
          </w:r>
          <w:r>
            <w:rPr>
              <w:noProof/>
            </w:rPr>
            <w:instrText xml:space="preserve"> PAGEREF _Toc453224198 \h </w:instrText>
          </w:r>
          <w:r>
            <w:rPr>
              <w:noProof/>
            </w:rPr>
          </w:r>
          <w:r>
            <w:rPr>
              <w:noProof/>
            </w:rPr>
            <w:fldChar w:fldCharType="separate"/>
          </w:r>
          <w:r>
            <w:rPr>
              <w:noProof/>
            </w:rPr>
            <w:t>35</w:t>
          </w:r>
          <w:r>
            <w:rPr>
              <w:noProof/>
            </w:rPr>
            <w:fldChar w:fldCharType="end"/>
          </w:r>
        </w:p>
        <w:p w14:paraId="384C89C5" w14:textId="77777777" w:rsidR="00765797" w:rsidRDefault="00765797">
          <w:pPr>
            <w:pStyle w:val="TOC2"/>
            <w:tabs>
              <w:tab w:val="right" w:leader="dot" w:pos="9016"/>
            </w:tabs>
            <w:rPr>
              <w:rFonts w:asciiTheme="minorHAnsi" w:hAnsiTheme="minorHAnsi"/>
              <w:noProof/>
              <w:szCs w:val="24"/>
              <w:lang w:eastAsia="ja-JP"/>
            </w:rPr>
          </w:pPr>
          <w:r>
            <w:rPr>
              <w:noProof/>
            </w:rPr>
            <w:t>3.0 Introduction</w:t>
          </w:r>
          <w:r>
            <w:rPr>
              <w:noProof/>
            </w:rPr>
            <w:tab/>
          </w:r>
          <w:r>
            <w:rPr>
              <w:noProof/>
            </w:rPr>
            <w:fldChar w:fldCharType="begin"/>
          </w:r>
          <w:r>
            <w:rPr>
              <w:noProof/>
            </w:rPr>
            <w:instrText xml:space="preserve"> PAGEREF _Toc453224199 \h </w:instrText>
          </w:r>
          <w:r>
            <w:rPr>
              <w:noProof/>
            </w:rPr>
          </w:r>
          <w:r>
            <w:rPr>
              <w:noProof/>
            </w:rPr>
            <w:fldChar w:fldCharType="separate"/>
          </w:r>
          <w:r>
            <w:rPr>
              <w:noProof/>
            </w:rPr>
            <w:t>35</w:t>
          </w:r>
          <w:r>
            <w:rPr>
              <w:noProof/>
            </w:rPr>
            <w:fldChar w:fldCharType="end"/>
          </w:r>
        </w:p>
        <w:p w14:paraId="6B4E2E72" w14:textId="77777777" w:rsidR="00765797" w:rsidRDefault="00765797">
          <w:pPr>
            <w:pStyle w:val="TOC2"/>
            <w:tabs>
              <w:tab w:val="right" w:leader="dot" w:pos="9016"/>
            </w:tabs>
            <w:rPr>
              <w:rFonts w:asciiTheme="minorHAnsi" w:hAnsiTheme="minorHAnsi"/>
              <w:noProof/>
              <w:szCs w:val="24"/>
              <w:lang w:eastAsia="ja-JP"/>
            </w:rPr>
          </w:pPr>
          <w:r>
            <w:rPr>
              <w:noProof/>
            </w:rPr>
            <w:t>3.1. Follow the thing: Caviar</w:t>
          </w:r>
          <w:r>
            <w:rPr>
              <w:noProof/>
            </w:rPr>
            <w:tab/>
          </w:r>
          <w:r>
            <w:rPr>
              <w:noProof/>
            </w:rPr>
            <w:fldChar w:fldCharType="begin"/>
          </w:r>
          <w:r>
            <w:rPr>
              <w:noProof/>
            </w:rPr>
            <w:instrText xml:space="preserve"> PAGEREF _Toc453224200 \h </w:instrText>
          </w:r>
          <w:r>
            <w:rPr>
              <w:noProof/>
            </w:rPr>
          </w:r>
          <w:r>
            <w:rPr>
              <w:noProof/>
            </w:rPr>
            <w:fldChar w:fldCharType="separate"/>
          </w:r>
          <w:r>
            <w:rPr>
              <w:noProof/>
            </w:rPr>
            <w:t>36</w:t>
          </w:r>
          <w:r>
            <w:rPr>
              <w:noProof/>
            </w:rPr>
            <w:fldChar w:fldCharType="end"/>
          </w:r>
        </w:p>
        <w:p w14:paraId="3158AA20" w14:textId="77777777" w:rsidR="00765797" w:rsidRDefault="00765797">
          <w:pPr>
            <w:pStyle w:val="TOC2"/>
            <w:tabs>
              <w:tab w:val="right" w:leader="dot" w:pos="9016"/>
            </w:tabs>
            <w:rPr>
              <w:rFonts w:asciiTheme="minorHAnsi" w:hAnsiTheme="minorHAnsi"/>
              <w:noProof/>
              <w:szCs w:val="24"/>
              <w:lang w:eastAsia="ja-JP"/>
            </w:rPr>
          </w:pPr>
          <w:r>
            <w:rPr>
              <w:noProof/>
            </w:rPr>
            <w:t>3.2 Operationalizing Follow the Policy</w:t>
          </w:r>
          <w:r>
            <w:rPr>
              <w:noProof/>
            </w:rPr>
            <w:tab/>
          </w:r>
          <w:r>
            <w:rPr>
              <w:noProof/>
            </w:rPr>
            <w:fldChar w:fldCharType="begin"/>
          </w:r>
          <w:r>
            <w:rPr>
              <w:noProof/>
            </w:rPr>
            <w:instrText xml:space="preserve"> PAGEREF _Toc453224201 \h </w:instrText>
          </w:r>
          <w:r>
            <w:rPr>
              <w:noProof/>
            </w:rPr>
          </w:r>
          <w:r>
            <w:rPr>
              <w:noProof/>
            </w:rPr>
            <w:fldChar w:fldCharType="separate"/>
          </w:r>
          <w:r>
            <w:rPr>
              <w:noProof/>
            </w:rPr>
            <w:t>38</w:t>
          </w:r>
          <w:r>
            <w:rPr>
              <w:noProof/>
            </w:rPr>
            <w:fldChar w:fldCharType="end"/>
          </w:r>
        </w:p>
        <w:p w14:paraId="318357E1" w14:textId="77777777" w:rsidR="00765797" w:rsidRDefault="00765797">
          <w:pPr>
            <w:pStyle w:val="TOC3"/>
            <w:tabs>
              <w:tab w:val="right" w:leader="dot" w:pos="9016"/>
            </w:tabs>
            <w:rPr>
              <w:rFonts w:asciiTheme="minorHAnsi" w:hAnsiTheme="minorHAnsi"/>
              <w:noProof/>
              <w:szCs w:val="24"/>
              <w:lang w:eastAsia="ja-JP"/>
            </w:rPr>
          </w:pPr>
          <w:r>
            <w:rPr>
              <w:noProof/>
            </w:rPr>
            <w:t>3.2.1 Follow the people</w:t>
          </w:r>
          <w:r>
            <w:rPr>
              <w:noProof/>
            </w:rPr>
            <w:tab/>
          </w:r>
          <w:r>
            <w:rPr>
              <w:noProof/>
            </w:rPr>
            <w:fldChar w:fldCharType="begin"/>
          </w:r>
          <w:r>
            <w:rPr>
              <w:noProof/>
            </w:rPr>
            <w:instrText xml:space="preserve"> PAGEREF _Toc453224202 \h </w:instrText>
          </w:r>
          <w:r>
            <w:rPr>
              <w:noProof/>
            </w:rPr>
          </w:r>
          <w:r>
            <w:rPr>
              <w:noProof/>
            </w:rPr>
            <w:fldChar w:fldCharType="separate"/>
          </w:r>
          <w:r>
            <w:rPr>
              <w:noProof/>
            </w:rPr>
            <w:t>41</w:t>
          </w:r>
          <w:r>
            <w:rPr>
              <w:noProof/>
            </w:rPr>
            <w:fldChar w:fldCharType="end"/>
          </w:r>
        </w:p>
        <w:p w14:paraId="16CF2CCE" w14:textId="77777777" w:rsidR="00765797" w:rsidRDefault="00765797">
          <w:pPr>
            <w:pStyle w:val="TOC3"/>
            <w:tabs>
              <w:tab w:val="right" w:leader="dot" w:pos="9016"/>
            </w:tabs>
            <w:rPr>
              <w:rFonts w:asciiTheme="minorHAnsi" w:hAnsiTheme="minorHAnsi"/>
              <w:noProof/>
              <w:szCs w:val="24"/>
              <w:lang w:eastAsia="ja-JP"/>
            </w:rPr>
          </w:pPr>
          <w:r>
            <w:rPr>
              <w:noProof/>
            </w:rPr>
            <w:t>3.2.2 Follow the sturgeon</w:t>
          </w:r>
          <w:r>
            <w:rPr>
              <w:noProof/>
            </w:rPr>
            <w:tab/>
          </w:r>
          <w:r>
            <w:rPr>
              <w:noProof/>
            </w:rPr>
            <w:fldChar w:fldCharType="begin"/>
          </w:r>
          <w:r>
            <w:rPr>
              <w:noProof/>
            </w:rPr>
            <w:instrText xml:space="preserve"> PAGEREF _Toc453224203 \h </w:instrText>
          </w:r>
          <w:r>
            <w:rPr>
              <w:noProof/>
            </w:rPr>
          </w:r>
          <w:r>
            <w:rPr>
              <w:noProof/>
            </w:rPr>
            <w:fldChar w:fldCharType="separate"/>
          </w:r>
          <w:r>
            <w:rPr>
              <w:noProof/>
            </w:rPr>
            <w:t>46</w:t>
          </w:r>
          <w:r>
            <w:rPr>
              <w:noProof/>
            </w:rPr>
            <w:fldChar w:fldCharType="end"/>
          </w:r>
        </w:p>
        <w:p w14:paraId="24F69B0D" w14:textId="77777777" w:rsidR="00765797" w:rsidRDefault="00765797">
          <w:pPr>
            <w:pStyle w:val="TOC3"/>
            <w:tabs>
              <w:tab w:val="right" w:leader="dot" w:pos="9016"/>
            </w:tabs>
            <w:rPr>
              <w:rFonts w:asciiTheme="minorHAnsi" w:hAnsiTheme="minorHAnsi"/>
              <w:noProof/>
              <w:szCs w:val="24"/>
              <w:lang w:eastAsia="ja-JP"/>
            </w:rPr>
          </w:pPr>
          <w:r>
            <w:rPr>
              <w:noProof/>
            </w:rPr>
            <w:t>3.2.3 Follow the materials</w:t>
          </w:r>
          <w:r>
            <w:rPr>
              <w:noProof/>
            </w:rPr>
            <w:tab/>
          </w:r>
          <w:r>
            <w:rPr>
              <w:noProof/>
            </w:rPr>
            <w:fldChar w:fldCharType="begin"/>
          </w:r>
          <w:r>
            <w:rPr>
              <w:noProof/>
            </w:rPr>
            <w:instrText xml:space="preserve"> PAGEREF _Toc453224204 \h </w:instrText>
          </w:r>
          <w:r>
            <w:rPr>
              <w:noProof/>
            </w:rPr>
          </w:r>
          <w:r>
            <w:rPr>
              <w:noProof/>
            </w:rPr>
            <w:fldChar w:fldCharType="separate"/>
          </w:r>
          <w:r>
            <w:rPr>
              <w:noProof/>
            </w:rPr>
            <w:t>48</w:t>
          </w:r>
          <w:r>
            <w:rPr>
              <w:noProof/>
            </w:rPr>
            <w:fldChar w:fldCharType="end"/>
          </w:r>
        </w:p>
        <w:p w14:paraId="23A70EC0" w14:textId="77777777" w:rsidR="00765797" w:rsidRDefault="00765797">
          <w:pPr>
            <w:pStyle w:val="TOC3"/>
            <w:tabs>
              <w:tab w:val="right" w:leader="dot" w:pos="9016"/>
            </w:tabs>
            <w:rPr>
              <w:rFonts w:asciiTheme="minorHAnsi" w:hAnsiTheme="minorHAnsi"/>
              <w:noProof/>
              <w:szCs w:val="24"/>
              <w:lang w:eastAsia="ja-JP"/>
            </w:rPr>
          </w:pPr>
          <w:r>
            <w:rPr>
              <w:noProof/>
            </w:rPr>
            <w:t>3.2.4 Follow the meetings</w:t>
          </w:r>
          <w:r>
            <w:rPr>
              <w:noProof/>
            </w:rPr>
            <w:tab/>
          </w:r>
          <w:r>
            <w:rPr>
              <w:noProof/>
            </w:rPr>
            <w:fldChar w:fldCharType="begin"/>
          </w:r>
          <w:r>
            <w:rPr>
              <w:noProof/>
            </w:rPr>
            <w:instrText xml:space="preserve"> PAGEREF _Toc453224205 \h </w:instrText>
          </w:r>
          <w:r>
            <w:rPr>
              <w:noProof/>
            </w:rPr>
          </w:r>
          <w:r>
            <w:rPr>
              <w:noProof/>
            </w:rPr>
            <w:fldChar w:fldCharType="separate"/>
          </w:r>
          <w:r>
            <w:rPr>
              <w:noProof/>
            </w:rPr>
            <w:t>49</w:t>
          </w:r>
          <w:r>
            <w:rPr>
              <w:noProof/>
            </w:rPr>
            <w:fldChar w:fldCharType="end"/>
          </w:r>
        </w:p>
        <w:p w14:paraId="5AEDAB19" w14:textId="77777777" w:rsidR="00765797" w:rsidRDefault="00765797">
          <w:pPr>
            <w:pStyle w:val="TOC2"/>
            <w:tabs>
              <w:tab w:val="right" w:leader="dot" w:pos="9016"/>
            </w:tabs>
            <w:rPr>
              <w:rFonts w:asciiTheme="minorHAnsi" w:hAnsiTheme="minorHAnsi"/>
              <w:noProof/>
              <w:szCs w:val="24"/>
              <w:lang w:eastAsia="ja-JP"/>
            </w:rPr>
          </w:pPr>
          <w:r w:rsidRPr="00E37474">
            <w:rPr>
              <w:rFonts w:cs="Times New Roman"/>
              <w:noProof/>
            </w:rPr>
            <w:t>3.</w:t>
          </w:r>
          <w:r>
            <w:rPr>
              <w:noProof/>
            </w:rPr>
            <w:t>3 Power, Positionality and Ethics</w:t>
          </w:r>
          <w:r>
            <w:rPr>
              <w:noProof/>
            </w:rPr>
            <w:tab/>
          </w:r>
          <w:r>
            <w:rPr>
              <w:noProof/>
            </w:rPr>
            <w:fldChar w:fldCharType="begin"/>
          </w:r>
          <w:r>
            <w:rPr>
              <w:noProof/>
            </w:rPr>
            <w:instrText xml:space="preserve"> PAGEREF _Toc453224206 \h </w:instrText>
          </w:r>
          <w:r>
            <w:rPr>
              <w:noProof/>
            </w:rPr>
          </w:r>
          <w:r>
            <w:rPr>
              <w:noProof/>
            </w:rPr>
            <w:fldChar w:fldCharType="separate"/>
          </w:r>
          <w:r>
            <w:rPr>
              <w:noProof/>
            </w:rPr>
            <w:t>51</w:t>
          </w:r>
          <w:r>
            <w:rPr>
              <w:noProof/>
            </w:rPr>
            <w:fldChar w:fldCharType="end"/>
          </w:r>
        </w:p>
        <w:p w14:paraId="6AC9C5A1" w14:textId="77777777" w:rsidR="00765797" w:rsidRDefault="00765797">
          <w:pPr>
            <w:pStyle w:val="TOC2"/>
            <w:tabs>
              <w:tab w:val="right" w:leader="dot" w:pos="9016"/>
            </w:tabs>
            <w:rPr>
              <w:rFonts w:asciiTheme="minorHAnsi" w:hAnsiTheme="minorHAnsi"/>
              <w:noProof/>
              <w:szCs w:val="24"/>
              <w:lang w:eastAsia="ja-JP"/>
            </w:rPr>
          </w:pPr>
          <w:r>
            <w:rPr>
              <w:noProof/>
            </w:rPr>
            <w:t>3.4 Analytical Framework: Critical Discourse Analysis</w:t>
          </w:r>
          <w:r>
            <w:rPr>
              <w:noProof/>
            </w:rPr>
            <w:tab/>
          </w:r>
          <w:r>
            <w:rPr>
              <w:noProof/>
            </w:rPr>
            <w:fldChar w:fldCharType="begin"/>
          </w:r>
          <w:r>
            <w:rPr>
              <w:noProof/>
            </w:rPr>
            <w:instrText xml:space="preserve"> PAGEREF _Toc453224207 \h </w:instrText>
          </w:r>
          <w:r>
            <w:rPr>
              <w:noProof/>
            </w:rPr>
          </w:r>
          <w:r>
            <w:rPr>
              <w:noProof/>
            </w:rPr>
            <w:fldChar w:fldCharType="separate"/>
          </w:r>
          <w:r>
            <w:rPr>
              <w:noProof/>
            </w:rPr>
            <w:t>53</w:t>
          </w:r>
          <w:r>
            <w:rPr>
              <w:noProof/>
            </w:rPr>
            <w:fldChar w:fldCharType="end"/>
          </w:r>
        </w:p>
        <w:p w14:paraId="59AFB2BD" w14:textId="77777777" w:rsidR="00765797" w:rsidRDefault="00765797">
          <w:pPr>
            <w:pStyle w:val="TOC2"/>
            <w:tabs>
              <w:tab w:val="right" w:leader="dot" w:pos="9016"/>
            </w:tabs>
            <w:rPr>
              <w:rFonts w:asciiTheme="minorHAnsi" w:hAnsiTheme="minorHAnsi"/>
              <w:noProof/>
              <w:szCs w:val="24"/>
              <w:lang w:eastAsia="ja-JP"/>
            </w:rPr>
          </w:pPr>
          <w:r>
            <w:rPr>
              <w:noProof/>
            </w:rPr>
            <w:t>3.5 Conclusion</w:t>
          </w:r>
          <w:r>
            <w:rPr>
              <w:noProof/>
            </w:rPr>
            <w:tab/>
          </w:r>
          <w:r>
            <w:rPr>
              <w:noProof/>
            </w:rPr>
            <w:fldChar w:fldCharType="begin"/>
          </w:r>
          <w:r>
            <w:rPr>
              <w:noProof/>
            </w:rPr>
            <w:instrText xml:space="preserve"> PAGEREF _Toc453224208 \h </w:instrText>
          </w:r>
          <w:r>
            <w:rPr>
              <w:noProof/>
            </w:rPr>
          </w:r>
          <w:r>
            <w:rPr>
              <w:noProof/>
            </w:rPr>
            <w:fldChar w:fldCharType="separate"/>
          </w:r>
          <w:r>
            <w:rPr>
              <w:noProof/>
            </w:rPr>
            <w:t>54</w:t>
          </w:r>
          <w:r>
            <w:rPr>
              <w:noProof/>
            </w:rPr>
            <w:fldChar w:fldCharType="end"/>
          </w:r>
        </w:p>
        <w:p w14:paraId="4468E33D" w14:textId="77777777" w:rsidR="00765797" w:rsidRDefault="00765797">
          <w:pPr>
            <w:pStyle w:val="TOC1"/>
            <w:tabs>
              <w:tab w:val="right" w:leader="dot" w:pos="9016"/>
            </w:tabs>
            <w:rPr>
              <w:rFonts w:asciiTheme="minorHAnsi" w:hAnsiTheme="minorHAnsi"/>
              <w:noProof/>
              <w:szCs w:val="24"/>
              <w:lang w:eastAsia="ja-JP"/>
            </w:rPr>
          </w:pPr>
          <w:r>
            <w:rPr>
              <w:noProof/>
            </w:rPr>
            <w:t>Chapter 4: Declining seizures and the hidden impacts of EU caviar trade regulations</w:t>
          </w:r>
          <w:r>
            <w:rPr>
              <w:noProof/>
            </w:rPr>
            <w:tab/>
          </w:r>
          <w:r>
            <w:rPr>
              <w:noProof/>
            </w:rPr>
            <w:fldChar w:fldCharType="begin"/>
          </w:r>
          <w:r>
            <w:rPr>
              <w:noProof/>
            </w:rPr>
            <w:instrText xml:space="preserve"> PAGEREF _Toc453224209 \h </w:instrText>
          </w:r>
          <w:r>
            <w:rPr>
              <w:noProof/>
            </w:rPr>
          </w:r>
          <w:r>
            <w:rPr>
              <w:noProof/>
            </w:rPr>
            <w:fldChar w:fldCharType="separate"/>
          </w:r>
          <w:r>
            <w:rPr>
              <w:noProof/>
            </w:rPr>
            <w:t>55</w:t>
          </w:r>
          <w:r>
            <w:rPr>
              <w:noProof/>
            </w:rPr>
            <w:fldChar w:fldCharType="end"/>
          </w:r>
        </w:p>
        <w:p w14:paraId="06E26831" w14:textId="77777777" w:rsidR="00765797" w:rsidRDefault="00765797">
          <w:pPr>
            <w:pStyle w:val="TOC2"/>
            <w:tabs>
              <w:tab w:val="right" w:leader="dot" w:pos="9016"/>
            </w:tabs>
            <w:rPr>
              <w:rFonts w:asciiTheme="minorHAnsi" w:hAnsiTheme="minorHAnsi"/>
              <w:noProof/>
              <w:szCs w:val="24"/>
              <w:lang w:eastAsia="ja-JP"/>
            </w:rPr>
          </w:pPr>
          <w:r>
            <w:rPr>
              <w:noProof/>
            </w:rPr>
            <w:t>4.0 Introduction</w:t>
          </w:r>
          <w:r>
            <w:rPr>
              <w:noProof/>
            </w:rPr>
            <w:tab/>
          </w:r>
          <w:r>
            <w:rPr>
              <w:noProof/>
            </w:rPr>
            <w:fldChar w:fldCharType="begin"/>
          </w:r>
          <w:r>
            <w:rPr>
              <w:noProof/>
            </w:rPr>
            <w:instrText xml:space="preserve"> PAGEREF _Toc453224210 \h </w:instrText>
          </w:r>
          <w:r>
            <w:rPr>
              <w:noProof/>
            </w:rPr>
          </w:r>
          <w:r>
            <w:rPr>
              <w:noProof/>
            </w:rPr>
            <w:fldChar w:fldCharType="separate"/>
          </w:r>
          <w:r>
            <w:rPr>
              <w:noProof/>
            </w:rPr>
            <w:t>55</w:t>
          </w:r>
          <w:r>
            <w:rPr>
              <w:noProof/>
            </w:rPr>
            <w:fldChar w:fldCharType="end"/>
          </w:r>
        </w:p>
        <w:p w14:paraId="36C3C8CA" w14:textId="77777777" w:rsidR="00765797" w:rsidRDefault="00765797">
          <w:pPr>
            <w:pStyle w:val="TOC2"/>
            <w:tabs>
              <w:tab w:val="right" w:leader="dot" w:pos="9016"/>
            </w:tabs>
            <w:rPr>
              <w:rFonts w:asciiTheme="minorHAnsi" w:hAnsiTheme="minorHAnsi"/>
              <w:noProof/>
              <w:szCs w:val="24"/>
              <w:lang w:eastAsia="ja-JP"/>
            </w:rPr>
          </w:pPr>
          <w:r>
            <w:rPr>
              <w:noProof/>
            </w:rPr>
            <w:t>4.1 Regulating the caviar trade in the European Union</w:t>
          </w:r>
          <w:r>
            <w:rPr>
              <w:noProof/>
            </w:rPr>
            <w:tab/>
          </w:r>
          <w:r>
            <w:rPr>
              <w:noProof/>
            </w:rPr>
            <w:fldChar w:fldCharType="begin"/>
          </w:r>
          <w:r>
            <w:rPr>
              <w:noProof/>
            </w:rPr>
            <w:instrText xml:space="preserve"> PAGEREF _Toc453224211 \h </w:instrText>
          </w:r>
          <w:r>
            <w:rPr>
              <w:noProof/>
            </w:rPr>
          </w:r>
          <w:r>
            <w:rPr>
              <w:noProof/>
            </w:rPr>
            <w:fldChar w:fldCharType="separate"/>
          </w:r>
          <w:r>
            <w:rPr>
              <w:noProof/>
            </w:rPr>
            <w:t>57</w:t>
          </w:r>
          <w:r>
            <w:rPr>
              <w:noProof/>
            </w:rPr>
            <w:fldChar w:fldCharType="end"/>
          </w:r>
        </w:p>
        <w:p w14:paraId="0FFAAE93" w14:textId="77777777" w:rsidR="00765797" w:rsidRDefault="00765797">
          <w:pPr>
            <w:pStyle w:val="TOC3"/>
            <w:tabs>
              <w:tab w:val="right" w:leader="dot" w:pos="9016"/>
            </w:tabs>
            <w:rPr>
              <w:rFonts w:asciiTheme="minorHAnsi" w:hAnsiTheme="minorHAnsi"/>
              <w:noProof/>
              <w:szCs w:val="24"/>
              <w:lang w:eastAsia="ja-JP"/>
            </w:rPr>
          </w:pPr>
          <w:r>
            <w:rPr>
              <w:noProof/>
            </w:rPr>
            <w:t>4.1.1 Background to the CITES listing of sturgeon</w:t>
          </w:r>
          <w:r>
            <w:rPr>
              <w:noProof/>
            </w:rPr>
            <w:tab/>
          </w:r>
          <w:r>
            <w:rPr>
              <w:noProof/>
            </w:rPr>
            <w:fldChar w:fldCharType="begin"/>
          </w:r>
          <w:r>
            <w:rPr>
              <w:noProof/>
            </w:rPr>
            <w:instrText xml:space="preserve"> PAGEREF _Toc453224212 \h </w:instrText>
          </w:r>
          <w:r>
            <w:rPr>
              <w:noProof/>
            </w:rPr>
          </w:r>
          <w:r>
            <w:rPr>
              <w:noProof/>
            </w:rPr>
            <w:fldChar w:fldCharType="separate"/>
          </w:r>
          <w:r>
            <w:rPr>
              <w:noProof/>
            </w:rPr>
            <w:t>57</w:t>
          </w:r>
          <w:r>
            <w:rPr>
              <w:noProof/>
            </w:rPr>
            <w:fldChar w:fldCharType="end"/>
          </w:r>
        </w:p>
        <w:p w14:paraId="1F07F1EE" w14:textId="77777777" w:rsidR="00765797" w:rsidRDefault="00765797">
          <w:pPr>
            <w:pStyle w:val="TOC3"/>
            <w:tabs>
              <w:tab w:val="right" w:leader="dot" w:pos="9016"/>
            </w:tabs>
            <w:rPr>
              <w:rFonts w:asciiTheme="minorHAnsi" w:hAnsiTheme="minorHAnsi"/>
              <w:noProof/>
              <w:szCs w:val="24"/>
              <w:lang w:eastAsia="ja-JP"/>
            </w:rPr>
          </w:pPr>
          <w:r>
            <w:rPr>
              <w:noProof/>
            </w:rPr>
            <w:t>4.1.2 CITES Resolution Conf. 12.7</w:t>
          </w:r>
          <w:r>
            <w:rPr>
              <w:noProof/>
            </w:rPr>
            <w:tab/>
          </w:r>
          <w:r>
            <w:rPr>
              <w:noProof/>
            </w:rPr>
            <w:fldChar w:fldCharType="begin"/>
          </w:r>
          <w:r>
            <w:rPr>
              <w:noProof/>
            </w:rPr>
            <w:instrText xml:space="preserve"> PAGEREF _Toc453224213 \h </w:instrText>
          </w:r>
          <w:r>
            <w:rPr>
              <w:noProof/>
            </w:rPr>
          </w:r>
          <w:r>
            <w:rPr>
              <w:noProof/>
            </w:rPr>
            <w:fldChar w:fldCharType="separate"/>
          </w:r>
          <w:r>
            <w:rPr>
              <w:noProof/>
            </w:rPr>
            <w:t>59</w:t>
          </w:r>
          <w:r>
            <w:rPr>
              <w:noProof/>
            </w:rPr>
            <w:fldChar w:fldCharType="end"/>
          </w:r>
        </w:p>
        <w:p w14:paraId="0ED8F79A" w14:textId="77777777" w:rsidR="00765797" w:rsidRDefault="00765797">
          <w:pPr>
            <w:pStyle w:val="TOC3"/>
            <w:tabs>
              <w:tab w:val="right" w:leader="dot" w:pos="9016"/>
            </w:tabs>
            <w:rPr>
              <w:rFonts w:asciiTheme="minorHAnsi" w:hAnsiTheme="minorHAnsi"/>
              <w:noProof/>
              <w:szCs w:val="24"/>
              <w:lang w:eastAsia="ja-JP"/>
            </w:rPr>
          </w:pPr>
          <w:r>
            <w:rPr>
              <w:noProof/>
            </w:rPr>
            <w:t>4.2.3 Implementing CITES Resolution Conf. 12.7 in the European Union</w:t>
          </w:r>
          <w:r>
            <w:rPr>
              <w:noProof/>
            </w:rPr>
            <w:tab/>
          </w:r>
          <w:r>
            <w:rPr>
              <w:noProof/>
            </w:rPr>
            <w:fldChar w:fldCharType="begin"/>
          </w:r>
          <w:r>
            <w:rPr>
              <w:noProof/>
            </w:rPr>
            <w:instrText xml:space="preserve"> PAGEREF _Toc453224214 \h </w:instrText>
          </w:r>
          <w:r>
            <w:rPr>
              <w:noProof/>
            </w:rPr>
          </w:r>
          <w:r>
            <w:rPr>
              <w:noProof/>
            </w:rPr>
            <w:fldChar w:fldCharType="separate"/>
          </w:r>
          <w:r>
            <w:rPr>
              <w:noProof/>
            </w:rPr>
            <w:t>67</w:t>
          </w:r>
          <w:r>
            <w:rPr>
              <w:noProof/>
            </w:rPr>
            <w:fldChar w:fldCharType="end"/>
          </w:r>
        </w:p>
        <w:p w14:paraId="349F9501" w14:textId="77777777" w:rsidR="00765797" w:rsidRDefault="00765797">
          <w:pPr>
            <w:pStyle w:val="TOC2"/>
            <w:tabs>
              <w:tab w:val="right" w:leader="dot" w:pos="9016"/>
            </w:tabs>
            <w:rPr>
              <w:rFonts w:asciiTheme="minorHAnsi" w:hAnsiTheme="minorHAnsi"/>
              <w:noProof/>
              <w:szCs w:val="24"/>
              <w:lang w:eastAsia="ja-JP"/>
            </w:rPr>
          </w:pPr>
          <w:r>
            <w:rPr>
              <w:noProof/>
            </w:rPr>
            <w:t>4.3. Discussion: Unpacking the impact of caviar trade regulations upon caviar seizures</w:t>
          </w:r>
          <w:r>
            <w:rPr>
              <w:noProof/>
            </w:rPr>
            <w:tab/>
          </w:r>
          <w:r>
            <w:rPr>
              <w:noProof/>
            </w:rPr>
            <w:fldChar w:fldCharType="begin"/>
          </w:r>
          <w:r>
            <w:rPr>
              <w:noProof/>
            </w:rPr>
            <w:instrText xml:space="preserve"> PAGEREF _Toc453224215 \h </w:instrText>
          </w:r>
          <w:r>
            <w:rPr>
              <w:noProof/>
            </w:rPr>
          </w:r>
          <w:r>
            <w:rPr>
              <w:noProof/>
            </w:rPr>
            <w:fldChar w:fldCharType="separate"/>
          </w:r>
          <w:r>
            <w:rPr>
              <w:noProof/>
            </w:rPr>
            <w:t>70</w:t>
          </w:r>
          <w:r>
            <w:rPr>
              <w:noProof/>
            </w:rPr>
            <w:fldChar w:fldCharType="end"/>
          </w:r>
        </w:p>
        <w:p w14:paraId="69241AD5" w14:textId="77777777" w:rsidR="00765797" w:rsidRDefault="00765797">
          <w:pPr>
            <w:pStyle w:val="TOC3"/>
            <w:tabs>
              <w:tab w:val="right" w:leader="dot" w:pos="9016"/>
            </w:tabs>
            <w:rPr>
              <w:rFonts w:asciiTheme="minorHAnsi" w:hAnsiTheme="minorHAnsi"/>
              <w:noProof/>
              <w:szCs w:val="24"/>
              <w:lang w:eastAsia="ja-JP"/>
            </w:rPr>
          </w:pPr>
          <w:r>
            <w:rPr>
              <w:noProof/>
            </w:rPr>
            <w:t>4.3.1 Declining caviar seizures</w:t>
          </w:r>
          <w:r>
            <w:rPr>
              <w:noProof/>
            </w:rPr>
            <w:tab/>
          </w:r>
          <w:r>
            <w:rPr>
              <w:noProof/>
            </w:rPr>
            <w:fldChar w:fldCharType="begin"/>
          </w:r>
          <w:r>
            <w:rPr>
              <w:noProof/>
            </w:rPr>
            <w:instrText xml:space="preserve"> PAGEREF _Toc453224216 \h </w:instrText>
          </w:r>
          <w:r>
            <w:rPr>
              <w:noProof/>
            </w:rPr>
          </w:r>
          <w:r>
            <w:rPr>
              <w:noProof/>
            </w:rPr>
            <w:fldChar w:fldCharType="separate"/>
          </w:r>
          <w:r>
            <w:rPr>
              <w:noProof/>
            </w:rPr>
            <w:t>70</w:t>
          </w:r>
          <w:r>
            <w:rPr>
              <w:noProof/>
            </w:rPr>
            <w:fldChar w:fldCharType="end"/>
          </w:r>
        </w:p>
        <w:p w14:paraId="2926448F" w14:textId="77777777" w:rsidR="00765797" w:rsidRDefault="00765797">
          <w:pPr>
            <w:pStyle w:val="TOC3"/>
            <w:tabs>
              <w:tab w:val="right" w:leader="dot" w:pos="9016"/>
            </w:tabs>
            <w:rPr>
              <w:rFonts w:asciiTheme="minorHAnsi" w:hAnsiTheme="minorHAnsi"/>
              <w:noProof/>
              <w:szCs w:val="24"/>
              <w:lang w:eastAsia="ja-JP"/>
            </w:rPr>
          </w:pPr>
          <w:r>
            <w:rPr>
              <w:noProof/>
            </w:rPr>
            <w:t>4.3.2 Deconstructing seizure data</w:t>
          </w:r>
          <w:r>
            <w:rPr>
              <w:noProof/>
            </w:rPr>
            <w:tab/>
          </w:r>
          <w:r>
            <w:rPr>
              <w:noProof/>
            </w:rPr>
            <w:fldChar w:fldCharType="begin"/>
          </w:r>
          <w:r>
            <w:rPr>
              <w:noProof/>
            </w:rPr>
            <w:instrText xml:space="preserve"> PAGEREF _Toc453224217 \h </w:instrText>
          </w:r>
          <w:r>
            <w:rPr>
              <w:noProof/>
            </w:rPr>
          </w:r>
          <w:r>
            <w:rPr>
              <w:noProof/>
            </w:rPr>
            <w:fldChar w:fldCharType="separate"/>
          </w:r>
          <w:r>
            <w:rPr>
              <w:noProof/>
            </w:rPr>
            <w:t>77</w:t>
          </w:r>
          <w:r>
            <w:rPr>
              <w:noProof/>
            </w:rPr>
            <w:fldChar w:fldCharType="end"/>
          </w:r>
        </w:p>
        <w:p w14:paraId="3C20D9FF" w14:textId="77777777" w:rsidR="00765797" w:rsidRDefault="00765797">
          <w:pPr>
            <w:pStyle w:val="TOC2"/>
            <w:tabs>
              <w:tab w:val="right" w:leader="dot" w:pos="9016"/>
            </w:tabs>
            <w:rPr>
              <w:rFonts w:asciiTheme="minorHAnsi" w:hAnsiTheme="minorHAnsi"/>
              <w:noProof/>
              <w:szCs w:val="24"/>
              <w:lang w:eastAsia="ja-JP"/>
            </w:rPr>
          </w:pPr>
          <w:r>
            <w:rPr>
              <w:noProof/>
            </w:rPr>
            <w:t>4.4. Revealing hidden political-ecological impacts of the caviar trade regulations in the EU</w:t>
          </w:r>
          <w:r>
            <w:rPr>
              <w:noProof/>
            </w:rPr>
            <w:tab/>
          </w:r>
          <w:r>
            <w:rPr>
              <w:noProof/>
            </w:rPr>
            <w:fldChar w:fldCharType="begin"/>
          </w:r>
          <w:r>
            <w:rPr>
              <w:noProof/>
            </w:rPr>
            <w:instrText xml:space="preserve"> PAGEREF _Toc453224218 \h </w:instrText>
          </w:r>
          <w:r>
            <w:rPr>
              <w:noProof/>
            </w:rPr>
          </w:r>
          <w:r>
            <w:rPr>
              <w:noProof/>
            </w:rPr>
            <w:fldChar w:fldCharType="separate"/>
          </w:r>
          <w:r>
            <w:rPr>
              <w:noProof/>
            </w:rPr>
            <w:t>84</w:t>
          </w:r>
          <w:r>
            <w:rPr>
              <w:noProof/>
            </w:rPr>
            <w:fldChar w:fldCharType="end"/>
          </w:r>
        </w:p>
        <w:p w14:paraId="5357E061" w14:textId="77777777" w:rsidR="00765797" w:rsidRDefault="00765797">
          <w:pPr>
            <w:pStyle w:val="TOC3"/>
            <w:tabs>
              <w:tab w:val="right" w:leader="dot" w:pos="9016"/>
            </w:tabs>
            <w:rPr>
              <w:rFonts w:asciiTheme="minorHAnsi" w:hAnsiTheme="minorHAnsi"/>
              <w:noProof/>
              <w:szCs w:val="24"/>
              <w:lang w:eastAsia="ja-JP"/>
            </w:rPr>
          </w:pPr>
          <w:r>
            <w:rPr>
              <w:noProof/>
            </w:rPr>
            <w:lastRenderedPageBreak/>
            <w:t>4.4.1 Sturgeon fishing communities</w:t>
          </w:r>
          <w:r>
            <w:rPr>
              <w:noProof/>
            </w:rPr>
            <w:tab/>
          </w:r>
          <w:r>
            <w:rPr>
              <w:noProof/>
            </w:rPr>
            <w:fldChar w:fldCharType="begin"/>
          </w:r>
          <w:r>
            <w:rPr>
              <w:noProof/>
            </w:rPr>
            <w:instrText xml:space="preserve"> PAGEREF _Toc453224219 \h </w:instrText>
          </w:r>
          <w:r>
            <w:rPr>
              <w:noProof/>
            </w:rPr>
          </w:r>
          <w:r>
            <w:rPr>
              <w:noProof/>
            </w:rPr>
            <w:fldChar w:fldCharType="separate"/>
          </w:r>
          <w:r>
            <w:rPr>
              <w:noProof/>
            </w:rPr>
            <w:t>84</w:t>
          </w:r>
          <w:r>
            <w:rPr>
              <w:noProof/>
            </w:rPr>
            <w:fldChar w:fldCharType="end"/>
          </w:r>
        </w:p>
        <w:p w14:paraId="6D47D3C9" w14:textId="77777777" w:rsidR="00765797" w:rsidRDefault="00765797">
          <w:pPr>
            <w:pStyle w:val="TOC3"/>
            <w:tabs>
              <w:tab w:val="right" w:leader="dot" w:pos="9016"/>
            </w:tabs>
            <w:rPr>
              <w:rFonts w:asciiTheme="minorHAnsi" w:hAnsiTheme="minorHAnsi"/>
              <w:noProof/>
              <w:szCs w:val="24"/>
              <w:lang w:eastAsia="ja-JP"/>
            </w:rPr>
          </w:pPr>
          <w:r>
            <w:rPr>
              <w:noProof/>
            </w:rPr>
            <w:t>4.4.2 Wild sturgeon</w:t>
          </w:r>
          <w:r>
            <w:rPr>
              <w:noProof/>
            </w:rPr>
            <w:tab/>
          </w:r>
          <w:r>
            <w:rPr>
              <w:noProof/>
            </w:rPr>
            <w:fldChar w:fldCharType="begin"/>
          </w:r>
          <w:r>
            <w:rPr>
              <w:noProof/>
            </w:rPr>
            <w:instrText xml:space="preserve"> PAGEREF _Toc453224220 \h </w:instrText>
          </w:r>
          <w:r>
            <w:rPr>
              <w:noProof/>
            </w:rPr>
          </w:r>
          <w:r>
            <w:rPr>
              <w:noProof/>
            </w:rPr>
            <w:fldChar w:fldCharType="separate"/>
          </w:r>
          <w:r>
            <w:rPr>
              <w:noProof/>
            </w:rPr>
            <w:t>89</w:t>
          </w:r>
          <w:r>
            <w:rPr>
              <w:noProof/>
            </w:rPr>
            <w:fldChar w:fldCharType="end"/>
          </w:r>
        </w:p>
        <w:p w14:paraId="7794AB18" w14:textId="77777777" w:rsidR="00765797" w:rsidRDefault="00765797">
          <w:pPr>
            <w:pStyle w:val="TOC2"/>
            <w:tabs>
              <w:tab w:val="right" w:leader="dot" w:pos="9016"/>
            </w:tabs>
            <w:rPr>
              <w:rFonts w:asciiTheme="minorHAnsi" w:hAnsiTheme="minorHAnsi"/>
              <w:noProof/>
              <w:szCs w:val="24"/>
              <w:lang w:eastAsia="ja-JP"/>
            </w:rPr>
          </w:pPr>
          <w:r>
            <w:rPr>
              <w:noProof/>
            </w:rPr>
            <w:t>4.5. Conclusion</w:t>
          </w:r>
          <w:r>
            <w:rPr>
              <w:noProof/>
            </w:rPr>
            <w:tab/>
          </w:r>
          <w:r>
            <w:rPr>
              <w:noProof/>
            </w:rPr>
            <w:fldChar w:fldCharType="begin"/>
          </w:r>
          <w:r>
            <w:rPr>
              <w:noProof/>
            </w:rPr>
            <w:instrText xml:space="preserve"> PAGEREF _Toc453224221 \h </w:instrText>
          </w:r>
          <w:r>
            <w:rPr>
              <w:noProof/>
            </w:rPr>
          </w:r>
          <w:r>
            <w:rPr>
              <w:noProof/>
            </w:rPr>
            <w:fldChar w:fldCharType="separate"/>
          </w:r>
          <w:r>
            <w:rPr>
              <w:noProof/>
            </w:rPr>
            <w:t>92</w:t>
          </w:r>
          <w:r>
            <w:rPr>
              <w:noProof/>
            </w:rPr>
            <w:fldChar w:fldCharType="end"/>
          </w:r>
        </w:p>
        <w:p w14:paraId="1D74B946" w14:textId="77777777" w:rsidR="00765797" w:rsidRDefault="00765797">
          <w:pPr>
            <w:pStyle w:val="TOC1"/>
            <w:tabs>
              <w:tab w:val="right" w:leader="dot" w:pos="9016"/>
            </w:tabs>
            <w:rPr>
              <w:rFonts w:asciiTheme="minorHAnsi" w:hAnsiTheme="minorHAnsi"/>
              <w:noProof/>
              <w:szCs w:val="24"/>
              <w:lang w:eastAsia="ja-JP"/>
            </w:rPr>
          </w:pPr>
          <w:r>
            <w:rPr>
              <w:noProof/>
            </w:rPr>
            <w:t>Chapter 5: Caviar Matter(s): Materiality and the Caviar Grey Market</w:t>
          </w:r>
          <w:r>
            <w:rPr>
              <w:noProof/>
            </w:rPr>
            <w:tab/>
          </w:r>
          <w:r>
            <w:rPr>
              <w:noProof/>
            </w:rPr>
            <w:fldChar w:fldCharType="begin"/>
          </w:r>
          <w:r>
            <w:rPr>
              <w:noProof/>
            </w:rPr>
            <w:instrText xml:space="preserve"> PAGEREF _Toc453224222 \h </w:instrText>
          </w:r>
          <w:r>
            <w:rPr>
              <w:noProof/>
            </w:rPr>
          </w:r>
          <w:r>
            <w:rPr>
              <w:noProof/>
            </w:rPr>
            <w:fldChar w:fldCharType="separate"/>
          </w:r>
          <w:r>
            <w:rPr>
              <w:noProof/>
            </w:rPr>
            <w:t>95</w:t>
          </w:r>
          <w:r>
            <w:rPr>
              <w:noProof/>
            </w:rPr>
            <w:fldChar w:fldCharType="end"/>
          </w:r>
        </w:p>
        <w:p w14:paraId="21F46828" w14:textId="77777777" w:rsidR="00765797" w:rsidRDefault="00765797">
          <w:pPr>
            <w:pStyle w:val="TOC2"/>
            <w:tabs>
              <w:tab w:val="right" w:leader="dot" w:pos="9016"/>
            </w:tabs>
            <w:rPr>
              <w:rFonts w:asciiTheme="minorHAnsi" w:hAnsiTheme="minorHAnsi"/>
              <w:noProof/>
              <w:szCs w:val="24"/>
              <w:lang w:eastAsia="ja-JP"/>
            </w:rPr>
          </w:pPr>
          <w:r>
            <w:rPr>
              <w:noProof/>
            </w:rPr>
            <w:t>5.0 Introduction</w:t>
          </w:r>
          <w:r>
            <w:rPr>
              <w:noProof/>
            </w:rPr>
            <w:tab/>
          </w:r>
          <w:r>
            <w:rPr>
              <w:noProof/>
            </w:rPr>
            <w:fldChar w:fldCharType="begin"/>
          </w:r>
          <w:r>
            <w:rPr>
              <w:noProof/>
            </w:rPr>
            <w:instrText xml:space="preserve"> PAGEREF _Toc453224223 \h </w:instrText>
          </w:r>
          <w:r>
            <w:rPr>
              <w:noProof/>
            </w:rPr>
          </w:r>
          <w:r>
            <w:rPr>
              <w:noProof/>
            </w:rPr>
            <w:fldChar w:fldCharType="separate"/>
          </w:r>
          <w:r>
            <w:rPr>
              <w:noProof/>
            </w:rPr>
            <w:t>95</w:t>
          </w:r>
          <w:r>
            <w:rPr>
              <w:noProof/>
            </w:rPr>
            <w:fldChar w:fldCharType="end"/>
          </w:r>
        </w:p>
        <w:p w14:paraId="384C8313" w14:textId="77777777" w:rsidR="00765797" w:rsidRDefault="00765797">
          <w:pPr>
            <w:pStyle w:val="TOC2"/>
            <w:tabs>
              <w:tab w:val="right" w:leader="dot" w:pos="9016"/>
            </w:tabs>
            <w:rPr>
              <w:rFonts w:asciiTheme="minorHAnsi" w:hAnsiTheme="minorHAnsi"/>
              <w:noProof/>
              <w:szCs w:val="24"/>
              <w:lang w:eastAsia="ja-JP"/>
            </w:rPr>
          </w:pPr>
          <w:r>
            <w:rPr>
              <w:noProof/>
            </w:rPr>
            <w:t>5.1 Caviar Materiality</w:t>
          </w:r>
          <w:r>
            <w:rPr>
              <w:noProof/>
            </w:rPr>
            <w:tab/>
          </w:r>
          <w:r>
            <w:rPr>
              <w:noProof/>
            </w:rPr>
            <w:fldChar w:fldCharType="begin"/>
          </w:r>
          <w:r>
            <w:rPr>
              <w:noProof/>
            </w:rPr>
            <w:instrText xml:space="preserve"> PAGEREF _Toc453224224 \h </w:instrText>
          </w:r>
          <w:r>
            <w:rPr>
              <w:noProof/>
            </w:rPr>
          </w:r>
          <w:r>
            <w:rPr>
              <w:noProof/>
            </w:rPr>
            <w:fldChar w:fldCharType="separate"/>
          </w:r>
          <w:r>
            <w:rPr>
              <w:noProof/>
            </w:rPr>
            <w:t>97</w:t>
          </w:r>
          <w:r>
            <w:rPr>
              <w:noProof/>
            </w:rPr>
            <w:fldChar w:fldCharType="end"/>
          </w:r>
        </w:p>
        <w:p w14:paraId="6A4D40BF" w14:textId="77777777" w:rsidR="00765797" w:rsidRDefault="00765797">
          <w:pPr>
            <w:pStyle w:val="TOC3"/>
            <w:tabs>
              <w:tab w:val="right" w:leader="dot" w:pos="9016"/>
            </w:tabs>
            <w:rPr>
              <w:rFonts w:asciiTheme="minorHAnsi" w:hAnsiTheme="minorHAnsi"/>
              <w:noProof/>
              <w:szCs w:val="24"/>
              <w:lang w:eastAsia="ja-JP"/>
            </w:rPr>
          </w:pPr>
          <w:r>
            <w:rPr>
              <w:noProof/>
            </w:rPr>
            <w:t>5.1.1 Visually distinguishing caviar</w:t>
          </w:r>
          <w:r>
            <w:rPr>
              <w:noProof/>
            </w:rPr>
            <w:tab/>
          </w:r>
          <w:r>
            <w:rPr>
              <w:noProof/>
            </w:rPr>
            <w:fldChar w:fldCharType="begin"/>
          </w:r>
          <w:r>
            <w:rPr>
              <w:noProof/>
            </w:rPr>
            <w:instrText xml:space="preserve"> PAGEREF _Toc453224225 \h </w:instrText>
          </w:r>
          <w:r>
            <w:rPr>
              <w:noProof/>
            </w:rPr>
          </w:r>
          <w:r>
            <w:rPr>
              <w:noProof/>
            </w:rPr>
            <w:fldChar w:fldCharType="separate"/>
          </w:r>
          <w:r>
            <w:rPr>
              <w:noProof/>
            </w:rPr>
            <w:t>97</w:t>
          </w:r>
          <w:r>
            <w:rPr>
              <w:noProof/>
            </w:rPr>
            <w:fldChar w:fldCharType="end"/>
          </w:r>
        </w:p>
        <w:p w14:paraId="30B9DF37" w14:textId="77777777" w:rsidR="00765797" w:rsidRDefault="00765797">
          <w:pPr>
            <w:pStyle w:val="TOC3"/>
            <w:tabs>
              <w:tab w:val="right" w:leader="dot" w:pos="9016"/>
            </w:tabs>
            <w:rPr>
              <w:rFonts w:asciiTheme="minorHAnsi" w:hAnsiTheme="minorHAnsi"/>
              <w:noProof/>
              <w:szCs w:val="24"/>
              <w:lang w:eastAsia="ja-JP"/>
            </w:rPr>
          </w:pPr>
          <w:r>
            <w:rPr>
              <w:noProof/>
            </w:rPr>
            <w:t>5.1.2 Making caviar knowable</w:t>
          </w:r>
          <w:r>
            <w:rPr>
              <w:noProof/>
            </w:rPr>
            <w:tab/>
          </w:r>
          <w:r>
            <w:rPr>
              <w:noProof/>
            </w:rPr>
            <w:fldChar w:fldCharType="begin"/>
          </w:r>
          <w:r>
            <w:rPr>
              <w:noProof/>
            </w:rPr>
            <w:instrText xml:space="preserve"> PAGEREF _Toc453224226 \h </w:instrText>
          </w:r>
          <w:r>
            <w:rPr>
              <w:noProof/>
            </w:rPr>
          </w:r>
          <w:r>
            <w:rPr>
              <w:noProof/>
            </w:rPr>
            <w:fldChar w:fldCharType="separate"/>
          </w:r>
          <w:r>
            <w:rPr>
              <w:noProof/>
            </w:rPr>
            <w:t>99</w:t>
          </w:r>
          <w:r>
            <w:rPr>
              <w:noProof/>
            </w:rPr>
            <w:fldChar w:fldCharType="end"/>
          </w:r>
        </w:p>
        <w:p w14:paraId="65B5162C" w14:textId="77777777" w:rsidR="00765797" w:rsidRDefault="00765797">
          <w:pPr>
            <w:pStyle w:val="TOC2"/>
            <w:tabs>
              <w:tab w:val="right" w:leader="dot" w:pos="9016"/>
            </w:tabs>
            <w:rPr>
              <w:rFonts w:asciiTheme="minorHAnsi" w:hAnsiTheme="minorHAnsi"/>
              <w:noProof/>
              <w:szCs w:val="24"/>
              <w:lang w:eastAsia="ja-JP"/>
            </w:rPr>
          </w:pPr>
          <w:r>
            <w:rPr>
              <w:noProof/>
            </w:rPr>
            <w:t>5.2 Illicit Activities and the Caviar Grey Market</w:t>
          </w:r>
          <w:r>
            <w:rPr>
              <w:noProof/>
            </w:rPr>
            <w:tab/>
          </w:r>
          <w:r>
            <w:rPr>
              <w:noProof/>
            </w:rPr>
            <w:fldChar w:fldCharType="begin"/>
          </w:r>
          <w:r>
            <w:rPr>
              <w:noProof/>
            </w:rPr>
            <w:instrText xml:space="preserve"> PAGEREF _Toc453224227 \h </w:instrText>
          </w:r>
          <w:r>
            <w:rPr>
              <w:noProof/>
            </w:rPr>
          </w:r>
          <w:r>
            <w:rPr>
              <w:noProof/>
            </w:rPr>
            <w:fldChar w:fldCharType="separate"/>
          </w:r>
          <w:r>
            <w:rPr>
              <w:noProof/>
            </w:rPr>
            <w:t>102</w:t>
          </w:r>
          <w:r>
            <w:rPr>
              <w:noProof/>
            </w:rPr>
            <w:fldChar w:fldCharType="end"/>
          </w:r>
        </w:p>
        <w:p w14:paraId="6F2083FA" w14:textId="77777777" w:rsidR="00765797" w:rsidRDefault="00765797">
          <w:pPr>
            <w:pStyle w:val="TOC3"/>
            <w:tabs>
              <w:tab w:val="right" w:leader="dot" w:pos="9016"/>
            </w:tabs>
            <w:rPr>
              <w:rFonts w:asciiTheme="minorHAnsi" w:hAnsiTheme="minorHAnsi"/>
              <w:noProof/>
              <w:szCs w:val="24"/>
              <w:lang w:eastAsia="ja-JP"/>
            </w:rPr>
          </w:pPr>
          <w:r>
            <w:rPr>
              <w:noProof/>
            </w:rPr>
            <w:t>5.2.1 Grey Markets</w:t>
          </w:r>
          <w:r>
            <w:rPr>
              <w:noProof/>
            </w:rPr>
            <w:tab/>
          </w:r>
          <w:r>
            <w:rPr>
              <w:noProof/>
            </w:rPr>
            <w:fldChar w:fldCharType="begin"/>
          </w:r>
          <w:r>
            <w:rPr>
              <w:noProof/>
            </w:rPr>
            <w:instrText xml:space="preserve"> PAGEREF _Toc453224228 \h </w:instrText>
          </w:r>
          <w:r>
            <w:rPr>
              <w:noProof/>
            </w:rPr>
          </w:r>
          <w:r>
            <w:rPr>
              <w:noProof/>
            </w:rPr>
            <w:fldChar w:fldCharType="separate"/>
          </w:r>
          <w:r>
            <w:rPr>
              <w:noProof/>
            </w:rPr>
            <w:t>102</w:t>
          </w:r>
          <w:r>
            <w:rPr>
              <w:noProof/>
            </w:rPr>
            <w:fldChar w:fldCharType="end"/>
          </w:r>
        </w:p>
        <w:p w14:paraId="4D740089" w14:textId="77777777" w:rsidR="00765797" w:rsidRDefault="00765797">
          <w:pPr>
            <w:pStyle w:val="TOC3"/>
            <w:tabs>
              <w:tab w:val="right" w:leader="dot" w:pos="9016"/>
            </w:tabs>
            <w:rPr>
              <w:rFonts w:asciiTheme="minorHAnsi" w:hAnsiTheme="minorHAnsi"/>
              <w:noProof/>
              <w:szCs w:val="24"/>
              <w:lang w:eastAsia="ja-JP"/>
            </w:rPr>
          </w:pPr>
          <w:r>
            <w:rPr>
              <w:noProof/>
            </w:rPr>
            <w:t>5.2.2 The Caviar Grey Market</w:t>
          </w:r>
          <w:r>
            <w:rPr>
              <w:noProof/>
            </w:rPr>
            <w:tab/>
          </w:r>
          <w:r>
            <w:rPr>
              <w:noProof/>
            </w:rPr>
            <w:fldChar w:fldCharType="begin"/>
          </w:r>
          <w:r>
            <w:rPr>
              <w:noProof/>
            </w:rPr>
            <w:instrText xml:space="preserve"> PAGEREF _Toc453224229 \h </w:instrText>
          </w:r>
          <w:r>
            <w:rPr>
              <w:noProof/>
            </w:rPr>
          </w:r>
          <w:r>
            <w:rPr>
              <w:noProof/>
            </w:rPr>
            <w:fldChar w:fldCharType="separate"/>
          </w:r>
          <w:r>
            <w:rPr>
              <w:noProof/>
            </w:rPr>
            <w:t>104</w:t>
          </w:r>
          <w:r>
            <w:rPr>
              <w:noProof/>
            </w:rPr>
            <w:fldChar w:fldCharType="end"/>
          </w:r>
        </w:p>
        <w:p w14:paraId="76456534" w14:textId="77777777" w:rsidR="00765797" w:rsidRDefault="00765797">
          <w:pPr>
            <w:pStyle w:val="TOC2"/>
            <w:tabs>
              <w:tab w:val="right" w:leader="dot" w:pos="9016"/>
            </w:tabs>
            <w:rPr>
              <w:rFonts w:asciiTheme="minorHAnsi" w:hAnsiTheme="minorHAnsi"/>
              <w:noProof/>
              <w:szCs w:val="24"/>
              <w:lang w:eastAsia="ja-JP"/>
            </w:rPr>
          </w:pPr>
          <w:r>
            <w:rPr>
              <w:noProof/>
            </w:rPr>
            <w:t>5.3 Theorising ‘greyness’ from a more-than-human perspective</w:t>
          </w:r>
          <w:r>
            <w:rPr>
              <w:noProof/>
            </w:rPr>
            <w:tab/>
          </w:r>
          <w:r>
            <w:rPr>
              <w:noProof/>
            </w:rPr>
            <w:fldChar w:fldCharType="begin"/>
          </w:r>
          <w:r>
            <w:rPr>
              <w:noProof/>
            </w:rPr>
            <w:instrText xml:space="preserve"> PAGEREF _Toc453224230 \h </w:instrText>
          </w:r>
          <w:r>
            <w:rPr>
              <w:noProof/>
            </w:rPr>
          </w:r>
          <w:r>
            <w:rPr>
              <w:noProof/>
            </w:rPr>
            <w:fldChar w:fldCharType="separate"/>
          </w:r>
          <w:r>
            <w:rPr>
              <w:noProof/>
            </w:rPr>
            <w:t>112</w:t>
          </w:r>
          <w:r>
            <w:rPr>
              <w:noProof/>
            </w:rPr>
            <w:fldChar w:fldCharType="end"/>
          </w:r>
        </w:p>
        <w:p w14:paraId="5F486922" w14:textId="77777777" w:rsidR="00765797" w:rsidRDefault="00765797">
          <w:pPr>
            <w:pStyle w:val="TOC2"/>
            <w:tabs>
              <w:tab w:val="right" w:leader="dot" w:pos="9016"/>
            </w:tabs>
            <w:rPr>
              <w:rFonts w:asciiTheme="minorHAnsi" w:hAnsiTheme="minorHAnsi"/>
              <w:noProof/>
              <w:szCs w:val="24"/>
              <w:lang w:eastAsia="ja-JP"/>
            </w:rPr>
          </w:pPr>
          <w:r>
            <w:rPr>
              <w:noProof/>
            </w:rPr>
            <w:t>5.4 Conclusion</w:t>
          </w:r>
          <w:r>
            <w:rPr>
              <w:noProof/>
            </w:rPr>
            <w:tab/>
          </w:r>
          <w:r>
            <w:rPr>
              <w:noProof/>
            </w:rPr>
            <w:fldChar w:fldCharType="begin"/>
          </w:r>
          <w:r>
            <w:rPr>
              <w:noProof/>
            </w:rPr>
            <w:instrText xml:space="preserve"> PAGEREF _Toc453224231 \h </w:instrText>
          </w:r>
          <w:r>
            <w:rPr>
              <w:noProof/>
            </w:rPr>
          </w:r>
          <w:r>
            <w:rPr>
              <w:noProof/>
            </w:rPr>
            <w:fldChar w:fldCharType="separate"/>
          </w:r>
          <w:r>
            <w:rPr>
              <w:noProof/>
            </w:rPr>
            <w:t>114</w:t>
          </w:r>
          <w:r>
            <w:rPr>
              <w:noProof/>
            </w:rPr>
            <w:fldChar w:fldCharType="end"/>
          </w:r>
        </w:p>
        <w:p w14:paraId="77F63742" w14:textId="77777777" w:rsidR="00765797" w:rsidRDefault="00765797">
          <w:pPr>
            <w:pStyle w:val="TOC1"/>
            <w:tabs>
              <w:tab w:val="right" w:leader="dot" w:pos="9016"/>
            </w:tabs>
            <w:rPr>
              <w:rFonts w:asciiTheme="minorHAnsi" w:hAnsiTheme="minorHAnsi"/>
              <w:noProof/>
              <w:szCs w:val="24"/>
              <w:lang w:eastAsia="ja-JP"/>
            </w:rPr>
          </w:pPr>
          <w:r>
            <w:rPr>
              <w:noProof/>
            </w:rPr>
            <w:t>Chapter 6: Conserving sturgeon? The securitized politics of caviar production</w:t>
          </w:r>
          <w:r>
            <w:rPr>
              <w:noProof/>
            </w:rPr>
            <w:tab/>
          </w:r>
          <w:r>
            <w:rPr>
              <w:noProof/>
            </w:rPr>
            <w:fldChar w:fldCharType="begin"/>
          </w:r>
          <w:r>
            <w:rPr>
              <w:noProof/>
            </w:rPr>
            <w:instrText xml:space="preserve"> PAGEREF _Toc453224232 \h </w:instrText>
          </w:r>
          <w:r>
            <w:rPr>
              <w:noProof/>
            </w:rPr>
          </w:r>
          <w:r>
            <w:rPr>
              <w:noProof/>
            </w:rPr>
            <w:fldChar w:fldCharType="separate"/>
          </w:r>
          <w:r>
            <w:rPr>
              <w:noProof/>
            </w:rPr>
            <w:t>117</w:t>
          </w:r>
          <w:r>
            <w:rPr>
              <w:noProof/>
            </w:rPr>
            <w:fldChar w:fldCharType="end"/>
          </w:r>
        </w:p>
        <w:p w14:paraId="3BB2CD1F" w14:textId="77777777" w:rsidR="00765797" w:rsidRDefault="00765797">
          <w:pPr>
            <w:pStyle w:val="TOC2"/>
            <w:tabs>
              <w:tab w:val="right" w:leader="dot" w:pos="9016"/>
            </w:tabs>
            <w:rPr>
              <w:rFonts w:asciiTheme="minorHAnsi" w:hAnsiTheme="minorHAnsi"/>
              <w:noProof/>
              <w:szCs w:val="24"/>
              <w:lang w:eastAsia="ja-JP"/>
            </w:rPr>
          </w:pPr>
          <w:r>
            <w:rPr>
              <w:noProof/>
            </w:rPr>
            <w:t>6.0 Introduction</w:t>
          </w:r>
          <w:r>
            <w:rPr>
              <w:noProof/>
            </w:rPr>
            <w:tab/>
          </w:r>
          <w:r>
            <w:rPr>
              <w:noProof/>
            </w:rPr>
            <w:fldChar w:fldCharType="begin"/>
          </w:r>
          <w:r>
            <w:rPr>
              <w:noProof/>
            </w:rPr>
            <w:instrText xml:space="preserve"> PAGEREF _Toc453224233 \h </w:instrText>
          </w:r>
          <w:r>
            <w:rPr>
              <w:noProof/>
            </w:rPr>
          </w:r>
          <w:r>
            <w:rPr>
              <w:noProof/>
            </w:rPr>
            <w:fldChar w:fldCharType="separate"/>
          </w:r>
          <w:r>
            <w:rPr>
              <w:noProof/>
            </w:rPr>
            <w:t>117</w:t>
          </w:r>
          <w:r>
            <w:rPr>
              <w:noProof/>
            </w:rPr>
            <w:fldChar w:fldCharType="end"/>
          </w:r>
        </w:p>
        <w:p w14:paraId="5573F8B3" w14:textId="77777777" w:rsidR="00765797" w:rsidRDefault="00765797">
          <w:pPr>
            <w:pStyle w:val="TOC2"/>
            <w:tabs>
              <w:tab w:val="right" w:leader="dot" w:pos="9016"/>
            </w:tabs>
            <w:rPr>
              <w:rFonts w:asciiTheme="minorHAnsi" w:hAnsiTheme="minorHAnsi"/>
              <w:noProof/>
              <w:szCs w:val="24"/>
              <w:lang w:eastAsia="ja-JP"/>
            </w:rPr>
          </w:pPr>
          <w:r>
            <w:rPr>
              <w:noProof/>
            </w:rPr>
            <w:t>6.1 The power of narrative: farmed caviar production, a conservation panacea?</w:t>
          </w:r>
          <w:r>
            <w:rPr>
              <w:noProof/>
            </w:rPr>
            <w:tab/>
          </w:r>
          <w:r>
            <w:rPr>
              <w:noProof/>
            </w:rPr>
            <w:fldChar w:fldCharType="begin"/>
          </w:r>
          <w:r>
            <w:rPr>
              <w:noProof/>
            </w:rPr>
            <w:instrText xml:space="preserve"> PAGEREF _Toc453224234 \h </w:instrText>
          </w:r>
          <w:r>
            <w:rPr>
              <w:noProof/>
            </w:rPr>
          </w:r>
          <w:r>
            <w:rPr>
              <w:noProof/>
            </w:rPr>
            <w:fldChar w:fldCharType="separate"/>
          </w:r>
          <w:r>
            <w:rPr>
              <w:noProof/>
            </w:rPr>
            <w:t>119</w:t>
          </w:r>
          <w:r>
            <w:rPr>
              <w:noProof/>
            </w:rPr>
            <w:fldChar w:fldCharType="end"/>
          </w:r>
        </w:p>
        <w:p w14:paraId="5D18CE15" w14:textId="77777777" w:rsidR="00765797" w:rsidRDefault="00765797">
          <w:pPr>
            <w:pStyle w:val="TOC3"/>
            <w:tabs>
              <w:tab w:val="right" w:leader="dot" w:pos="9016"/>
            </w:tabs>
            <w:rPr>
              <w:rFonts w:asciiTheme="minorHAnsi" w:hAnsiTheme="minorHAnsi"/>
              <w:noProof/>
              <w:szCs w:val="24"/>
              <w:lang w:eastAsia="ja-JP"/>
            </w:rPr>
          </w:pPr>
          <w:r>
            <w:rPr>
              <w:noProof/>
            </w:rPr>
            <w:t>6.1.1 Caviar and conservation farming: The narrative</w:t>
          </w:r>
          <w:r>
            <w:rPr>
              <w:noProof/>
            </w:rPr>
            <w:tab/>
          </w:r>
          <w:r>
            <w:rPr>
              <w:noProof/>
            </w:rPr>
            <w:fldChar w:fldCharType="begin"/>
          </w:r>
          <w:r>
            <w:rPr>
              <w:noProof/>
            </w:rPr>
            <w:instrText xml:space="preserve"> PAGEREF _Toc453224235 \h </w:instrText>
          </w:r>
          <w:r>
            <w:rPr>
              <w:noProof/>
            </w:rPr>
          </w:r>
          <w:r>
            <w:rPr>
              <w:noProof/>
            </w:rPr>
            <w:fldChar w:fldCharType="separate"/>
          </w:r>
          <w:r>
            <w:rPr>
              <w:noProof/>
            </w:rPr>
            <w:t>119</w:t>
          </w:r>
          <w:r>
            <w:rPr>
              <w:noProof/>
            </w:rPr>
            <w:fldChar w:fldCharType="end"/>
          </w:r>
        </w:p>
        <w:p w14:paraId="1BA6DA6A" w14:textId="77777777" w:rsidR="00765797" w:rsidRDefault="00765797">
          <w:pPr>
            <w:pStyle w:val="TOC3"/>
            <w:tabs>
              <w:tab w:val="right" w:leader="dot" w:pos="9016"/>
            </w:tabs>
            <w:rPr>
              <w:rFonts w:asciiTheme="minorHAnsi" w:hAnsiTheme="minorHAnsi"/>
              <w:noProof/>
              <w:szCs w:val="24"/>
              <w:lang w:eastAsia="ja-JP"/>
            </w:rPr>
          </w:pPr>
          <w:r>
            <w:rPr>
              <w:noProof/>
            </w:rPr>
            <w:t>6.1.2 Gaps and grey areas in the conservation potential of farmed caviar production</w:t>
          </w:r>
          <w:r>
            <w:rPr>
              <w:noProof/>
            </w:rPr>
            <w:tab/>
          </w:r>
          <w:r>
            <w:rPr>
              <w:noProof/>
            </w:rPr>
            <w:fldChar w:fldCharType="begin"/>
          </w:r>
          <w:r>
            <w:rPr>
              <w:noProof/>
            </w:rPr>
            <w:instrText xml:space="preserve"> PAGEREF _Toc453224236 \h </w:instrText>
          </w:r>
          <w:r>
            <w:rPr>
              <w:noProof/>
            </w:rPr>
          </w:r>
          <w:r>
            <w:rPr>
              <w:noProof/>
            </w:rPr>
            <w:fldChar w:fldCharType="separate"/>
          </w:r>
          <w:r>
            <w:rPr>
              <w:noProof/>
            </w:rPr>
            <w:t>122</w:t>
          </w:r>
          <w:r>
            <w:rPr>
              <w:noProof/>
            </w:rPr>
            <w:fldChar w:fldCharType="end"/>
          </w:r>
        </w:p>
        <w:p w14:paraId="6B15E5BA" w14:textId="77777777" w:rsidR="00765797" w:rsidRDefault="00765797">
          <w:pPr>
            <w:pStyle w:val="TOC2"/>
            <w:tabs>
              <w:tab w:val="right" w:leader="dot" w:pos="9016"/>
            </w:tabs>
            <w:rPr>
              <w:rFonts w:asciiTheme="minorHAnsi" w:hAnsiTheme="minorHAnsi"/>
              <w:noProof/>
              <w:szCs w:val="24"/>
              <w:lang w:eastAsia="ja-JP"/>
            </w:rPr>
          </w:pPr>
          <w:r>
            <w:rPr>
              <w:noProof/>
            </w:rPr>
            <w:t>6.2 Securitized caviar production</w:t>
          </w:r>
          <w:r>
            <w:rPr>
              <w:noProof/>
            </w:rPr>
            <w:tab/>
          </w:r>
          <w:r>
            <w:rPr>
              <w:noProof/>
            </w:rPr>
            <w:fldChar w:fldCharType="begin"/>
          </w:r>
          <w:r>
            <w:rPr>
              <w:noProof/>
            </w:rPr>
            <w:instrText xml:space="preserve"> PAGEREF _Toc453224237 \h </w:instrText>
          </w:r>
          <w:r>
            <w:rPr>
              <w:noProof/>
            </w:rPr>
          </w:r>
          <w:r>
            <w:rPr>
              <w:noProof/>
            </w:rPr>
            <w:fldChar w:fldCharType="separate"/>
          </w:r>
          <w:r>
            <w:rPr>
              <w:noProof/>
            </w:rPr>
            <w:t>128</w:t>
          </w:r>
          <w:r>
            <w:rPr>
              <w:noProof/>
            </w:rPr>
            <w:fldChar w:fldCharType="end"/>
          </w:r>
        </w:p>
        <w:p w14:paraId="421B0CE0" w14:textId="77777777" w:rsidR="00765797" w:rsidRDefault="00765797">
          <w:pPr>
            <w:pStyle w:val="TOC3"/>
            <w:tabs>
              <w:tab w:val="right" w:leader="dot" w:pos="9016"/>
            </w:tabs>
            <w:rPr>
              <w:rFonts w:asciiTheme="minorHAnsi" w:hAnsiTheme="minorHAnsi"/>
              <w:noProof/>
              <w:szCs w:val="24"/>
              <w:lang w:eastAsia="ja-JP"/>
            </w:rPr>
          </w:pPr>
          <w:r>
            <w:rPr>
              <w:noProof/>
            </w:rPr>
            <w:t>6.2.1 Securitized infrastructures</w:t>
          </w:r>
          <w:r>
            <w:rPr>
              <w:noProof/>
            </w:rPr>
            <w:tab/>
          </w:r>
          <w:r>
            <w:rPr>
              <w:noProof/>
            </w:rPr>
            <w:fldChar w:fldCharType="begin"/>
          </w:r>
          <w:r>
            <w:rPr>
              <w:noProof/>
            </w:rPr>
            <w:instrText xml:space="preserve"> PAGEREF _Toc453224238 \h </w:instrText>
          </w:r>
          <w:r>
            <w:rPr>
              <w:noProof/>
            </w:rPr>
          </w:r>
          <w:r>
            <w:rPr>
              <w:noProof/>
            </w:rPr>
            <w:fldChar w:fldCharType="separate"/>
          </w:r>
          <w:r>
            <w:rPr>
              <w:noProof/>
            </w:rPr>
            <w:t>129</w:t>
          </w:r>
          <w:r>
            <w:rPr>
              <w:noProof/>
            </w:rPr>
            <w:fldChar w:fldCharType="end"/>
          </w:r>
        </w:p>
        <w:p w14:paraId="22C9D467" w14:textId="77777777" w:rsidR="00765797" w:rsidRDefault="00765797">
          <w:pPr>
            <w:pStyle w:val="TOC3"/>
            <w:tabs>
              <w:tab w:val="right" w:leader="dot" w:pos="9016"/>
            </w:tabs>
            <w:rPr>
              <w:rFonts w:asciiTheme="minorHAnsi" w:hAnsiTheme="minorHAnsi"/>
              <w:noProof/>
              <w:szCs w:val="24"/>
              <w:lang w:eastAsia="ja-JP"/>
            </w:rPr>
          </w:pPr>
          <w:r>
            <w:rPr>
              <w:noProof/>
            </w:rPr>
            <w:t>6.2.2. Securitized production practices</w:t>
          </w:r>
          <w:r>
            <w:rPr>
              <w:noProof/>
            </w:rPr>
            <w:tab/>
          </w:r>
          <w:r>
            <w:rPr>
              <w:noProof/>
            </w:rPr>
            <w:fldChar w:fldCharType="begin"/>
          </w:r>
          <w:r>
            <w:rPr>
              <w:noProof/>
            </w:rPr>
            <w:instrText xml:space="preserve"> PAGEREF _Toc453224239 \h </w:instrText>
          </w:r>
          <w:r>
            <w:rPr>
              <w:noProof/>
            </w:rPr>
          </w:r>
          <w:r>
            <w:rPr>
              <w:noProof/>
            </w:rPr>
            <w:fldChar w:fldCharType="separate"/>
          </w:r>
          <w:r>
            <w:rPr>
              <w:noProof/>
            </w:rPr>
            <w:t>133</w:t>
          </w:r>
          <w:r>
            <w:rPr>
              <w:noProof/>
            </w:rPr>
            <w:fldChar w:fldCharType="end"/>
          </w:r>
        </w:p>
        <w:p w14:paraId="33E643E4" w14:textId="77777777" w:rsidR="00765797" w:rsidRDefault="00765797">
          <w:pPr>
            <w:pStyle w:val="TOC3"/>
            <w:tabs>
              <w:tab w:val="right" w:leader="dot" w:pos="9016"/>
            </w:tabs>
            <w:rPr>
              <w:rFonts w:asciiTheme="minorHAnsi" w:hAnsiTheme="minorHAnsi"/>
              <w:noProof/>
              <w:szCs w:val="24"/>
              <w:lang w:eastAsia="ja-JP"/>
            </w:rPr>
          </w:pPr>
          <w:r>
            <w:rPr>
              <w:noProof/>
            </w:rPr>
            <w:t>6.2.3 Securitized accumulation</w:t>
          </w:r>
          <w:r>
            <w:rPr>
              <w:noProof/>
            </w:rPr>
            <w:tab/>
          </w:r>
          <w:r>
            <w:rPr>
              <w:noProof/>
            </w:rPr>
            <w:fldChar w:fldCharType="begin"/>
          </w:r>
          <w:r>
            <w:rPr>
              <w:noProof/>
            </w:rPr>
            <w:instrText xml:space="preserve"> PAGEREF _Toc453224240 \h </w:instrText>
          </w:r>
          <w:r>
            <w:rPr>
              <w:noProof/>
            </w:rPr>
          </w:r>
          <w:r>
            <w:rPr>
              <w:noProof/>
            </w:rPr>
            <w:fldChar w:fldCharType="separate"/>
          </w:r>
          <w:r>
            <w:rPr>
              <w:noProof/>
            </w:rPr>
            <w:t>136</w:t>
          </w:r>
          <w:r>
            <w:rPr>
              <w:noProof/>
            </w:rPr>
            <w:fldChar w:fldCharType="end"/>
          </w:r>
        </w:p>
        <w:p w14:paraId="23C75ED1" w14:textId="77777777" w:rsidR="00765797" w:rsidRDefault="00765797">
          <w:pPr>
            <w:pStyle w:val="TOC2"/>
            <w:tabs>
              <w:tab w:val="right" w:leader="dot" w:pos="9016"/>
            </w:tabs>
            <w:rPr>
              <w:rFonts w:asciiTheme="minorHAnsi" w:hAnsiTheme="minorHAnsi"/>
              <w:noProof/>
              <w:szCs w:val="24"/>
              <w:lang w:eastAsia="ja-JP"/>
            </w:rPr>
          </w:pPr>
          <w:r>
            <w:rPr>
              <w:noProof/>
            </w:rPr>
            <w:t>6.3 More-than-human politics of securitized caviar production</w:t>
          </w:r>
          <w:r>
            <w:rPr>
              <w:noProof/>
            </w:rPr>
            <w:tab/>
          </w:r>
          <w:r>
            <w:rPr>
              <w:noProof/>
            </w:rPr>
            <w:fldChar w:fldCharType="begin"/>
          </w:r>
          <w:r>
            <w:rPr>
              <w:noProof/>
            </w:rPr>
            <w:instrText xml:space="preserve"> PAGEREF _Toc453224241 \h </w:instrText>
          </w:r>
          <w:r>
            <w:rPr>
              <w:noProof/>
            </w:rPr>
          </w:r>
          <w:r>
            <w:rPr>
              <w:noProof/>
            </w:rPr>
            <w:fldChar w:fldCharType="separate"/>
          </w:r>
          <w:r>
            <w:rPr>
              <w:noProof/>
            </w:rPr>
            <w:t>139</w:t>
          </w:r>
          <w:r>
            <w:rPr>
              <w:noProof/>
            </w:rPr>
            <w:fldChar w:fldCharType="end"/>
          </w:r>
        </w:p>
        <w:p w14:paraId="328D3B5D" w14:textId="77777777" w:rsidR="00765797" w:rsidRDefault="00765797">
          <w:pPr>
            <w:pStyle w:val="TOC2"/>
            <w:tabs>
              <w:tab w:val="right" w:leader="dot" w:pos="9016"/>
            </w:tabs>
            <w:rPr>
              <w:rFonts w:asciiTheme="minorHAnsi" w:hAnsiTheme="minorHAnsi"/>
              <w:noProof/>
              <w:szCs w:val="24"/>
              <w:lang w:eastAsia="ja-JP"/>
            </w:rPr>
          </w:pPr>
          <w:r>
            <w:rPr>
              <w:noProof/>
            </w:rPr>
            <w:t>6.4 Conclusion</w:t>
          </w:r>
          <w:r>
            <w:rPr>
              <w:noProof/>
            </w:rPr>
            <w:tab/>
          </w:r>
          <w:r>
            <w:rPr>
              <w:noProof/>
            </w:rPr>
            <w:fldChar w:fldCharType="begin"/>
          </w:r>
          <w:r>
            <w:rPr>
              <w:noProof/>
            </w:rPr>
            <w:instrText xml:space="preserve"> PAGEREF _Toc453224242 \h </w:instrText>
          </w:r>
          <w:r>
            <w:rPr>
              <w:noProof/>
            </w:rPr>
          </w:r>
          <w:r>
            <w:rPr>
              <w:noProof/>
            </w:rPr>
            <w:fldChar w:fldCharType="separate"/>
          </w:r>
          <w:r>
            <w:rPr>
              <w:noProof/>
            </w:rPr>
            <w:t>141</w:t>
          </w:r>
          <w:r>
            <w:rPr>
              <w:noProof/>
            </w:rPr>
            <w:fldChar w:fldCharType="end"/>
          </w:r>
        </w:p>
        <w:p w14:paraId="6F2B248A" w14:textId="77777777" w:rsidR="00765797" w:rsidRDefault="00765797">
          <w:pPr>
            <w:pStyle w:val="TOC1"/>
            <w:tabs>
              <w:tab w:val="right" w:leader="dot" w:pos="9016"/>
            </w:tabs>
            <w:rPr>
              <w:rFonts w:asciiTheme="minorHAnsi" w:hAnsiTheme="minorHAnsi"/>
              <w:noProof/>
              <w:szCs w:val="24"/>
              <w:lang w:eastAsia="ja-JP"/>
            </w:rPr>
          </w:pPr>
          <w:r>
            <w:rPr>
              <w:noProof/>
            </w:rPr>
            <w:t>Chapter 7: EU security and illegal caviar trade: Contested geopolitics of securitization</w:t>
          </w:r>
          <w:r>
            <w:rPr>
              <w:noProof/>
            </w:rPr>
            <w:tab/>
          </w:r>
          <w:r>
            <w:rPr>
              <w:noProof/>
            </w:rPr>
            <w:fldChar w:fldCharType="begin"/>
          </w:r>
          <w:r>
            <w:rPr>
              <w:noProof/>
            </w:rPr>
            <w:instrText xml:space="preserve"> PAGEREF _Toc453224243 \h </w:instrText>
          </w:r>
          <w:r>
            <w:rPr>
              <w:noProof/>
            </w:rPr>
          </w:r>
          <w:r>
            <w:rPr>
              <w:noProof/>
            </w:rPr>
            <w:fldChar w:fldCharType="separate"/>
          </w:r>
          <w:r>
            <w:rPr>
              <w:noProof/>
            </w:rPr>
            <w:t>143</w:t>
          </w:r>
          <w:r>
            <w:rPr>
              <w:noProof/>
            </w:rPr>
            <w:fldChar w:fldCharType="end"/>
          </w:r>
        </w:p>
        <w:p w14:paraId="6525C674" w14:textId="77777777" w:rsidR="00765797" w:rsidRDefault="00765797">
          <w:pPr>
            <w:pStyle w:val="TOC2"/>
            <w:tabs>
              <w:tab w:val="right" w:leader="dot" w:pos="9016"/>
            </w:tabs>
            <w:rPr>
              <w:rFonts w:asciiTheme="minorHAnsi" w:hAnsiTheme="minorHAnsi"/>
              <w:noProof/>
              <w:szCs w:val="24"/>
              <w:lang w:eastAsia="ja-JP"/>
            </w:rPr>
          </w:pPr>
          <w:r>
            <w:rPr>
              <w:noProof/>
            </w:rPr>
            <w:t>7.0 Introduction:</w:t>
          </w:r>
          <w:r>
            <w:rPr>
              <w:noProof/>
            </w:rPr>
            <w:tab/>
          </w:r>
          <w:r>
            <w:rPr>
              <w:noProof/>
            </w:rPr>
            <w:fldChar w:fldCharType="begin"/>
          </w:r>
          <w:r>
            <w:rPr>
              <w:noProof/>
            </w:rPr>
            <w:instrText xml:space="preserve"> PAGEREF _Toc453224244 \h </w:instrText>
          </w:r>
          <w:r>
            <w:rPr>
              <w:noProof/>
            </w:rPr>
          </w:r>
          <w:r>
            <w:rPr>
              <w:noProof/>
            </w:rPr>
            <w:fldChar w:fldCharType="separate"/>
          </w:r>
          <w:r>
            <w:rPr>
              <w:noProof/>
            </w:rPr>
            <w:t>143</w:t>
          </w:r>
          <w:r>
            <w:rPr>
              <w:noProof/>
            </w:rPr>
            <w:fldChar w:fldCharType="end"/>
          </w:r>
        </w:p>
        <w:p w14:paraId="753B47F3" w14:textId="77777777" w:rsidR="00765797" w:rsidRDefault="00765797">
          <w:pPr>
            <w:pStyle w:val="TOC2"/>
            <w:tabs>
              <w:tab w:val="right" w:leader="dot" w:pos="9016"/>
            </w:tabs>
            <w:rPr>
              <w:rFonts w:asciiTheme="minorHAnsi" w:hAnsiTheme="minorHAnsi"/>
              <w:noProof/>
              <w:szCs w:val="24"/>
              <w:lang w:eastAsia="ja-JP"/>
            </w:rPr>
          </w:pPr>
          <w:r>
            <w:rPr>
              <w:noProof/>
            </w:rPr>
            <w:t>7.1 Illegal caviar trade in the EU: a dissolving security concern?</w:t>
          </w:r>
          <w:r>
            <w:rPr>
              <w:noProof/>
            </w:rPr>
            <w:tab/>
          </w:r>
          <w:r>
            <w:rPr>
              <w:noProof/>
            </w:rPr>
            <w:fldChar w:fldCharType="begin"/>
          </w:r>
          <w:r>
            <w:rPr>
              <w:noProof/>
            </w:rPr>
            <w:instrText xml:space="preserve"> PAGEREF _Toc453224245 \h </w:instrText>
          </w:r>
          <w:r>
            <w:rPr>
              <w:noProof/>
            </w:rPr>
          </w:r>
          <w:r>
            <w:rPr>
              <w:noProof/>
            </w:rPr>
            <w:fldChar w:fldCharType="separate"/>
          </w:r>
          <w:r>
            <w:rPr>
              <w:noProof/>
            </w:rPr>
            <w:t>145</w:t>
          </w:r>
          <w:r>
            <w:rPr>
              <w:noProof/>
            </w:rPr>
            <w:fldChar w:fldCharType="end"/>
          </w:r>
        </w:p>
        <w:p w14:paraId="7E44201F" w14:textId="77777777" w:rsidR="00765797" w:rsidRDefault="00765797">
          <w:pPr>
            <w:pStyle w:val="TOC2"/>
            <w:tabs>
              <w:tab w:val="right" w:leader="dot" w:pos="9016"/>
            </w:tabs>
            <w:rPr>
              <w:rFonts w:asciiTheme="minorHAnsi" w:hAnsiTheme="minorHAnsi"/>
              <w:noProof/>
              <w:szCs w:val="24"/>
              <w:lang w:eastAsia="ja-JP"/>
            </w:rPr>
          </w:pPr>
          <w:r>
            <w:rPr>
              <w:noProof/>
            </w:rPr>
            <w:t>7.2 Contested Securities: evolving security threats in sturgeon range states</w:t>
          </w:r>
          <w:r>
            <w:rPr>
              <w:noProof/>
            </w:rPr>
            <w:tab/>
          </w:r>
          <w:r>
            <w:rPr>
              <w:noProof/>
            </w:rPr>
            <w:fldChar w:fldCharType="begin"/>
          </w:r>
          <w:r>
            <w:rPr>
              <w:noProof/>
            </w:rPr>
            <w:instrText xml:space="preserve"> PAGEREF _Toc453224246 \h </w:instrText>
          </w:r>
          <w:r>
            <w:rPr>
              <w:noProof/>
            </w:rPr>
          </w:r>
          <w:r>
            <w:rPr>
              <w:noProof/>
            </w:rPr>
            <w:fldChar w:fldCharType="separate"/>
          </w:r>
          <w:r>
            <w:rPr>
              <w:noProof/>
            </w:rPr>
            <w:t>151</w:t>
          </w:r>
          <w:r>
            <w:rPr>
              <w:noProof/>
            </w:rPr>
            <w:fldChar w:fldCharType="end"/>
          </w:r>
        </w:p>
        <w:p w14:paraId="1691465E" w14:textId="77777777" w:rsidR="00765797" w:rsidRDefault="00765797">
          <w:pPr>
            <w:pStyle w:val="TOC3"/>
            <w:tabs>
              <w:tab w:val="right" w:leader="dot" w:pos="9016"/>
            </w:tabs>
            <w:rPr>
              <w:rFonts w:asciiTheme="minorHAnsi" w:hAnsiTheme="minorHAnsi"/>
              <w:noProof/>
              <w:szCs w:val="24"/>
              <w:lang w:eastAsia="ja-JP"/>
            </w:rPr>
          </w:pPr>
          <w:r>
            <w:rPr>
              <w:noProof/>
            </w:rPr>
            <w:t>7.2.1 Evolving Security framings: Organised crime</w:t>
          </w:r>
          <w:r>
            <w:rPr>
              <w:noProof/>
            </w:rPr>
            <w:tab/>
          </w:r>
          <w:r>
            <w:rPr>
              <w:noProof/>
            </w:rPr>
            <w:fldChar w:fldCharType="begin"/>
          </w:r>
          <w:r>
            <w:rPr>
              <w:noProof/>
            </w:rPr>
            <w:instrText xml:space="preserve"> PAGEREF _Toc453224247 \h </w:instrText>
          </w:r>
          <w:r>
            <w:rPr>
              <w:noProof/>
            </w:rPr>
          </w:r>
          <w:r>
            <w:rPr>
              <w:noProof/>
            </w:rPr>
            <w:fldChar w:fldCharType="separate"/>
          </w:r>
          <w:r>
            <w:rPr>
              <w:noProof/>
            </w:rPr>
            <w:t>151</w:t>
          </w:r>
          <w:r>
            <w:rPr>
              <w:noProof/>
            </w:rPr>
            <w:fldChar w:fldCharType="end"/>
          </w:r>
        </w:p>
        <w:p w14:paraId="5E45366C" w14:textId="77777777" w:rsidR="00765797" w:rsidRDefault="00765797">
          <w:pPr>
            <w:pStyle w:val="TOC3"/>
            <w:tabs>
              <w:tab w:val="right" w:leader="dot" w:pos="9016"/>
            </w:tabs>
            <w:rPr>
              <w:rFonts w:asciiTheme="minorHAnsi" w:hAnsiTheme="minorHAnsi"/>
              <w:noProof/>
              <w:szCs w:val="24"/>
              <w:lang w:eastAsia="ja-JP"/>
            </w:rPr>
          </w:pPr>
          <w:r>
            <w:rPr>
              <w:noProof/>
            </w:rPr>
            <w:t>7.2.2 Evolving security responses: Organised crime</w:t>
          </w:r>
          <w:r>
            <w:rPr>
              <w:noProof/>
            </w:rPr>
            <w:tab/>
          </w:r>
          <w:r>
            <w:rPr>
              <w:noProof/>
            </w:rPr>
            <w:fldChar w:fldCharType="begin"/>
          </w:r>
          <w:r>
            <w:rPr>
              <w:noProof/>
            </w:rPr>
            <w:instrText xml:space="preserve"> PAGEREF _Toc453224248 \h </w:instrText>
          </w:r>
          <w:r>
            <w:rPr>
              <w:noProof/>
            </w:rPr>
          </w:r>
          <w:r>
            <w:rPr>
              <w:noProof/>
            </w:rPr>
            <w:fldChar w:fldCharType="separate"/>
          </w:r>
          <w:r>
            <w:rPr>
              <w:noProof/>
            </w:rPr>
            <w:t>155</w:t>
          </w:r>
          <w:r>
            <w:rPr>
              <w:noProof/>
            </w:rPr>
            <w:fldChar w:fldCharType="end"/>
          </w:r>
        </w:p>
        <w:p w14:paraId="2045C8DE" w14:textId="77777777" w:rsidR="00765797" w:rsidRDefault="00765797">
          <w:pPr>
            <w:pStyle w:val="TOC2"/>
            <w:tabs>
              <w:tab w:val="right" w:leader="dot" w:pos="9016"/>
            </w:tabs>
            <w:rPr>
              <w:rFonts w:asciiTheme="minorHAnsi" w:hAnsiTheme="minorHAnsi"/>
              <w:noProof/>
              <w:szCs w:val="24"/>
              <w:lang w:eastAsia="ja-JP"/>
            </w:rPr>
          </w:pPr>
          <w:r>
            <w:rPr>
              <w:noProof/>
            </w:rPr>
            <w:t>7.3 Silenced securities</w:t>
          </w:r>
          <w:r>
            <w:rPr>
              <w:noProof/>
            </w:rPr>
            <w:tab/>
          </w:r>
          <w:r>
            <w:rPr>
              <w:noProof/>
            </w:rPr>
            <w:fldChar w:fldCharType="begin"/>
          </w:r>
          <w:r>
            <w:rPr>
              <w:noProof/>
            </w:rPr>
            <w:instrText xml:space="preserve"> PAGEREF _Toc453224249 \h </w:instrText>
          </w:r>
          <w:r>
            <w:rPr>
              <w:noProof/>
            </w:rPr>
          </w:r>
          <w:r>
            <w:rPr>
              <w:noProof/>
            </w:rPr>
            <w:fldChar w:fldCharType="separate"/>
          </w:r>
          <w:r>
            <w:rPr>
              <w:noProof/>
            </w:rPr>
            <w:t>161</w:t>
          </w:r>
          <w:r>
            <w:rPr>
              <w:noProof/>
            </w:rPr>
            <w:fldChar w:fldCharType="end"/>
          </w:r>
        </w:p>
        <w:p w14:paraId="3037BB40" w14:textId="77777777" w:rsidR="00765797" w:rsidRDefault="00765797">
          <w:pPr>
            <w:pStyle w:val="TOC2"/>
            <w:tabs>
              <w:tab w:val="right" w:leader="dot" w:pos="9016"/>
            </w:tabs>
            <w:rPr>
              <w:rFonts w:asciiTheme="minorHAnsi" w:hAnsiTheme="minorHAnsi"/>
              <w:noProof/>
              <w:szCs w:val="24"/>
              <w:lang w:eastAsia="ja-JP"/>
            </w:rPr>
          </w:pPr>
          <w:r>
            <w:rPr>
              <w:noProof/>
            </w:rPr>
            <w:t>7.4 Conclusion</w:t>
          </w:r>
          <w:r>
            <w:rPr>
              <w:noProof/>
            </w:rPr>
            <w:tab/>
          </w:r>
          <w:r>
            <w:rPr>
              <w:noProof/>
            </w:rPr>
            <w:fldChar w:fldCharType="begin"/>
          </w:r>
          <w:r>
            <w:rPr>
              <w:noProof/>
            </w:rPr>
            <w:instrText xml:space="preserve"> PAGEREF _Toc453224250 \h </w:instrText>
          </w:r>
          <w:r>
            <w:rPr>
              <w:noProof/>
            </w:rPr>
          </w:r>
          <w:r>
            <w:rPr>
              <w:noProof/>
            </w:rPr>
            <w:fldChar w:fldCharType="separate"/>
          </w:r>
          <w:r>
            <w:rPr>
              <w:noProof/>
            </w:rPr>
            <w:t>164</w:t>
          </w:r>
          <w:r>
            <w:rPr>
              <w:noProof/>
            </w:rPr>
            <w:fldChar w:fldCharType="end"/>
          </w:r>
        </w:p>
        <w:p w14:paraId="65174E7B" w14:textId="77777777" w:rsidR="00765797" w:rsidRDefault="00765797">
          <w:pPr>
            <w:pStyle w:val="TOC1"/>
            <w:tabs>
              <w:tab w:val="right" w:leader="dot" w:pos="9016"/>
            </w:tabs>
            <w:rPr>
              <w:rFonts w:asciiTheme="minorHAnsi" w:hAnsiTheme="minorHAnsi"/>
              <w:noProof/>
              <w:szCs w:val="24"/>
              <w:lang w:eastAsia="ja-JP"/>
            </w:rPr>
          </w:pPr>
          <w:r>
            <w:rPr>
              <w:noProof/>
            </w:rPr>
            <w:t>Chapter 8: Sturgeon Geopolitics</w:t>
          </w:r>
          <w:r>
            <w:rPr>
              <w:noProof/>
            </w:rPr>
            <w:tab/>
          </w:r>
          <w:r>
            <w:rPr>
              <w:noProof/>
            </w:rPr>
            <w:fldChar w:fldCharType="begin"/>
          </w:r>
          <w:r>
            <w:rPr>
              <w:noProof/>
            </w:rPr>
            <w:instrText xml:space="preserve"> PAGEREF _Toc453224251 \h </w:instrText>
          </w:r>
          <w:r>
            <w:rPr>
              <w:noProof/>
            </w:rPr>
          </w:r>
          <w:r>
            <w:rPr>
              <w:noProof/>
            </w:rPr>
            <w:fldChar w:fldCharType="separate"/>
          </w:r>
          <w:r>
            <w:rPr>
              <w:noProof/>
            </w:rPr>
            <w:t>166</w:t>
          </w:r>
          <w:r>
            <w:rPr>
              <w:noProof/>
            </w:rPr>
            <w:fldChar w:fldCharType="end"/>
          </w:r>
        </w:p>
        <w:p w14:paraId="4A2AA26B" w14:textId="77777777" w:rsidR="00765797" w:rsidRDefault="00765797">
          <w:pPr>
            <w:pStyle w:val="TOC2"/>
            <w:tabs>
              <w:tab w:val="right" w:leader="dot" w:pos="9016"/>
            </w:tabs>
            <w:rPr>
              <w:rFonts w:asciiTheme="minorHAnsi" w:hAnsiTheme="minorHAnsi"/>
              <w:noProof/>
              <w:szCs w:val="24"/>
              <w:lang w:eastAsia="ja-JP"/>
            </w:rPr>
          </w:pPr>
          <w:r>
            <w:rPr>
              <w:noProof/>
            </w:rPr>
            <w:t>8.0 Introduction</w:t>
          </w:r>
          <w:r>
            <w:rPr>
              <w:noProof/>
            </w:rPr>
            <w:tab/>
          </w:r>
          <w:r>
            <w:rPr>
              <w:noProof/>
            </w:rPr>
            <w:fldChar w:fldCharType="begin"/>
          </w:r>
          <w:r>
            <w:rPr>
              <w:noProof/>
            </w:rPr>
            <w:instrText xml:space="preserve"> PAGEREF _Toc453224252 \h </w:instrText>
          </w:r>
          <w:r>
            <w:rPr>
              <w:noProof/>
            </w:rPr>
          </w:r>
          <w:r>
            <w:rPr>
              <w:noProof/>
            </w:rPr>
            <w:fldChar w:fldCharType="separate"/>
          </w:r>
          <w:r>
            <w:rPr>
              <w:noProof/>
            </w:rPr>
            <w:t>166</w:t>
          </w:r>
          <w:r>
            <w:rPr>
              <w:noProof/>
            </w:rPr>
            <w:fldChar w:fldCharType="end"/>
          </w:r>
        </w:p>
        <w:p w14:paraId="60A5C5A0" w14:textId="77777777" w:rsidR="00765797" w:rsidRDefault="00765797">
          <w:pPr>
            <w:pStyle w:val="TOC2"/>
            <w:tabs>
              <w:tab w:val="right" w:leader="dot" w:pos="9016"/>
            </w:tabs>
            <w:rPr>
              <w:rFonts w:asciiTheme="minorHAnsi" w:hAnsiTheme="minorHAnsi"/>
              <w:noProof/>
              <w:szCs w:val="24"/>
              <w:lang w:eastAsia="ja-JP"/>
            </w:rPr>
          </w:pPr>
          <w:r>
            <w:rPr>
              <w:noProof/>
            </w:rPr>
            <w:t>8.1 Exploiting gaps in regulations to secure access to sturgeon</w:t>
          </w:r>
          <w:r>
            <w:rPr>
              <w:noProof/>
            </w:rPr>
            <w:tab/>
          </w:r>
          <w:r>
            <w:rPr>
              <w:noProof/>
            </w:rPr>
            <w:fldChar w:fldCharType="begin"/>
          </w:r>
          <w:r>
            <w:rPr>
              <w:noProof/>
            </w:rPr>
            <w:instrText xml:space="preserve"> PAGEREF _Toc453224253 \h </w:instrText>
          </w:r>
          <w:r>
            <w:rPr>
              <w:noProof/>
            </w:rPr>
          </w:r>
          <w:r>
            <w:rPr>
              <w:noProof/>
            </w:rPr>
            <w:fldChar w:fldCharType="separate"/>
          </w:r>
          <w:r>
            <w:rPr>
              <w:noProof/>
            </w:rPr>
            <w:t>167</w:t>
          </w:r>
          <w:r>
            <w:rPr>
              <w:noProof/>
            </w:rPr>
            <w:fldChar w:fldCharType="end"/>
          </w:r>
        </w:p>
        <w:p w14:paraId="529B7466" w14:textId="77777777" w:rsidR="00765797" w:rsidRDefault="00765797">
          <w:pPr>
            <w:pStyle w:val="TOC3"/>
            <w:tabs>
              <w:tab w:val="right" w:leader="dot" w:pos="9016"/>
            </w:tabs>
            <w:rPr>
              <w:rFonts w:asciiTheme="minorHAnsi" w:hAnsiTheme="minorHAnsi"/>
              <w:noProof/>
              <w:szCs w:val="24"/>
              <w:lang w:eastAsia="ja-JP"/>
            </w:rPr>
          </w:pPr>
          <w:r>
            <w:rPr>
              <w:noProof/>
            </w:rPr>
            <w:t>8.1.1 Scientific fishing permits in Romania</w:t>
          </w:r>
          <w:r>
            <w:rPr>
              <w:noProof/>
            </w:rPr>
            <w:tab/>
          </w:r>
          <w:r>
            <w:rPr>
              <w:noProof/>
            </w:rPr>
            <w:fldChar w:fldCharType="begin"/>
          </w:r>
          <w:r>
            <w:rPr>
              <w:noProof/>
            </w:rPr>
            <w:instrText xml:space="preserve"> PAGEREF _Toc453224254 \h </w:instrText>
          </w:r>
          <w:r>
            <w:rPr>
              <w:noProof/>
            </w:rPr>
          </w:r>
          <w:r>
            <w:rPr>
              <w:noProof/>
            </w:rPr>
            <w:fldChar w:fldCharType="separate"/>
          </w:r>
          <w:r>
            <w:rPr>
              <w:noProof/>
            </w:rPr>
            <w:t>168</w:t>
          </w:r>
          <w:r>
            <w:rPr>
              <w:noProof/>
            </w:rPr>
            <w:fldChar w:fldCharType="end"/>
          </w:r>
        </w:p>
        <w:p w14:paraId="30CD4EC3" w14:textId="77777777" w:rsidR="00765797" w:rsidRDefault="00765797">
          <w:pPr>
            <w:pStyle w:val="TOC3"/>
            <w:tabs>
              <w:tab w:val="right" w:leader="dot" w:pos="9016"/>
            </w:tabs>
            <w:rPr>
              <w:rFonts w:asciiTheme="minorHAnsi" w:hAnsiTheme="minorHAnsi"/>
              <w:noProof/>
              <w:szCs w:val="24"/>
              <w:lang w:eastAsia="ja-JP"/>
            </w:rPr>
          </w:pPr>
          <w:r>
            <w:rPr>
              <w:noProof/>
            </w:rPr>
            <w:t>8.1.2 Designation of shared stocks in the Black Sea</w:t>
          </w:r>
          <w:r>
            <w:rPr>
              <w:noProof/>
            </w:rPr>
            <w:tab/>
          </w:r>
          <w:r>
            <w:rPr>
              <w:noProof/>
            </w:rPr>
            <w:fldChar w:fldCharType="begin"/>
          </w:r>
          <w:r>
            <w:rPr>
              <w:noProof/>
            </w:rPr>
            <w:instrText xml:space="preserve"> PAGEREF _Toc453224255 \h </w:instrText>
          </w:r>
          <w:r>
            <w:rPr>
              <w:noProof/>
            </w:rPr>
          </w:r>
          <w:r>
            <w:rPr>
              <w:noProof/>
            </w:rPr>
            <w:fldChar w:fldCharType="separate"/>
          </w:r>
          <w:r>
            <w:rPr>
              <w:noProof/>
            </w:rPr>
            <w:t>175</w:t>
          </w:r>
          <w:r>
            <w:rPr>
              <w:noProof/>
            </w:rPr>
            <w:fldChar w:fldCharType="end"/>
          </w:r>
        </w:p>
        <w:p w14:paraId="4F536349" w14:textId="77777777" w:rsidR="00765797" w:rsidRDefault="00765797">
          <w:pPr>
            <w:pStyle w:val="TOC2"/>
            <w:tabs>
              <w:tab w:val="right" w:leader="dot" w:pos="9016"/>
            </w:tabs>
            <w:rPr>
              <w:rFonts w:asciiTheme="minorHAnsi" w:hAnsiTheme="minorHAnsi"/>
              <w:noProof/>
              <w:szCs w:val="24"/>
              <w:lang w:eastAsia="ja-JP"/>
            </w:rPr>
          </w:pPr>
          <w:r w:rsidRPr="00E37474">
            <w:rPr>
              <w:noProof/>
              <w:color w:val="000000"/>
            </w:rPr>
            <w:t>8.2 Sturgeon as Geopolitical Actors</w:t>
          </w:r>
          <w:r>
            <w:rPr>
              <w:noProof/>
            </w:rPr>
            <w:tab/>
          </w:r>
          <w:r>
            <w:rPr>
              <w:noProof/>
            </w:rPr>
            <w:fldChar w:fldCharType="begin"/>
          </w:r>
          <w:r>
            <w:rPr>
              <w:noProof/>
            </w:rPr>
            <w:instrText xml:space="preserve"> PAGEREF _Toc453224256 \h </w:instrText>
          </w:r>
          <w:r>
            <w:rPr>
              <w:noProof/>
            </w:rPr>
          </w:r>
          <w:r>
            <w:rPr>
              <w:noProof/>
            </w:rPr>
            <w:fldChar w:fldCharType="separate"/>
          </w:r>
          <w:r>
            <w:rPr>
              <w:noProof/>
            </w:rPr>
            <w:t>182</w:t>
          </w:r>
          <w:r>
            <w:rPr>
              <w:noProof/>
            </w:rPr>
            <w:fldChar w:fldCharType="end"/>
          </w:r>
        </w:p>
        <w:p w14:paraId="4D14B632" w14:textId="77777777" w:rsidR="00765797" w:rsidRDefault="00765797">
          <w:pPr>
            <w:pStyle w:val="TOC3"/>
            <w:tabs>
              <w:tab w:val="right" w:leader="dot" w:pos="9016"/>
            </w:tabs>
            <w:rPr>
              <w:rFonts w:asciiTheme="minorHAnsi" w:hAnsiTheme="minorHAnsi"/>
              <w:noProof/>
              <w:szCs w:val="24"/>
              <w:lang w:eastAsia="ja-JP"/>
            </w:rPr>
          </w:pPr>
          <w:r>
            <w:rPr>
              <w:noProof/>
            </w:rPr>
            <w:t>8.2.1 ‘Delocalization’ of the caviar industry and escaped sturgeon</w:t>
          </w:r>
          <w:r>
            <w:rPr>
              <w:noProof/>
            </w:rPr>
            <w:tab/>
          </w:r>
          <w:r>
            <w:rPr>
              <w:noProof/>
            </w:rPr>
            <w:fldChar w:fldCharType="begin"/>
          </w:r>
          <w:r>
            <w:rPr>
              <w:noProof/>
            </w:rPr>
            <w:instrText xml:space="preserve"> PAGEREF _Toc453224257 \h </w:instrText>
          </w:r>
          <w:r>
            <w:rPr>
              <w:noProof/>
            </w:rPr>
          </w:r>
          <w:r>
            <w:rPr>
              <w:noProof/>
            </w:rPr>
            <w:fldChar w:fldCharType="separate"/>
          </w:r>
          <w:r>
            <w:rPr>
              <w:noProof/>
            </w:rPr>
            <w:t>182</w:t>
          </w:r>
          <w:r>
            <w:rPr>
              <w:noProof/>
            </w:rPr>
            <w:fldChar w:fldCharType="end"/>
          </w:r>
        </w:p>
        <w:p w14:paraId="2E9E6B5D" w14:textId="77777777" w:rsidR="00765797" w:rsidRDefault="00765797">
          <w:pPr>
            <w:pStyle w:val="TOC3"/>
            <w:tabs>
              <w:tab w:val="right" w:leader="dot" w:pos="9016"/>
            </w:tabs>
            <w:rPr>
              <w:rFonts w:asciiTheme="minorHAnsi" w:hAnsiTheme="minorHAnsi"/>
              <w:noProof/>
              <w:szCs w:val="24"/>
              <w:lang w:eastAsia="ja-JP"/>
            </w:rPr>
          </w:pPr>
          <w:r>
            <w:rPr>
              <w:noProof/>
            </w:rPr>
            <w:t>8.2.2 Endangered sturgeon vs. Energy policy</w:t>
          </w:r>
          <w:r>
            <w:rPr>
              <w:noProof/>
            </w:rPr>
            <w:tab/>
          </w:r>
          <w:r>
            <w:rPr>
              <w:noProof/>
            </w:rPr>
            <w:fldChar w:fldCharType="begin"/>
          </w:r>
          <w:r>
            <w:rPr>
              <w:noProof/>
            </w:rPr>
            <w:instrText xml:space="preserve"> PAGEREF _Toc453224258 \h </w:instrText>
          </w:r>
          <w:r>
            <w:rPr>
              <w:noProof/>
            </w:rPr>
          </w:r>
          <w:r>
            <w:rPr>
              <w:noProof/>
            </w:rPr>
            <w:fldChar w:fldCharType="separate"/>
          </w:r>
          <w:r>
            <w:rPr>
              <w:noProof/>
            </w:rPr>
            <w:t>186</w:t>
          </w:r>
          <w:r>
            <w:rPr>
              <w:noProof/>
            </w:rPr>
            <w:fldChar w:fldCharType="end"/>
          </w:r>
        </w:p>
        <w:p w14:paraId="0E89A867" w14:textId="77777777" w:rsidR="00765797" w:rsidRDefault="00765797">
          <w:pPr>
            <w:pStyle w:val="TOC2"/>
            <w:tabs>
              <w:tab w:val="right" w:leader="dot" w:pos="9016"/>
            </w:tabs>
            <w:rPr>
              <w:rFonts w:asciiTheme="minorHAnsi" w:hAnsiTheme="minorHAnsi"/>
              <w:noProof/>
              <w:szCs w:val="24"/>
              <w:lang w:eastAsia="ja-JP"/>
            </w:rPr>
          </w:pPr>
          <w:r>
            <w:rPr>
              <w:noProof/>
            </w:rPr>
            <w:t>8.3 Conclusion</w:t>
          </w:r>
          <w:r>
            <w:rPr>
              <w:noProof/>
            </w:rPr>
            <w:tab/>
          </w:r>
          <w:r>
            <w:rPr>
              <w:noProof/>
            </w:rPr>
            <w:fldChar w:fldCharType="begin"/>
          </w:r>
          <w:r>
            <w:rPr>
              <w:noProof/>
            </w:rPr>
            <w:instrText xml:space="preserve"> PAGEREF _Toc453224259 \h </w:instrText>
          </w:r>
          <w:r>
            <w:rPr>
              <w:noProof/>
            </w:rPr>
          </w:r>
          <w:r>
            <w:rPr>
              <w:noProof/>
            </w:rPr>
            <w:fldChar w:fldCharType="separate"/>
          </w:r>
          <w:r>
            <w:rPr>
              <w:noProof/>
            </w:rPr>
            <w:t>190</w:t>
          </w:r>
          <w:r>
            <w:rPr>
              <w:noProof/>
            </w:rPr>
            <w:fldChar w:fldCharType="end"/>
          </w:r>
        </w:p>
        <w:p w14:paraId="520E342F" w14:textId="77777777" w:rsidR="00765797" w:rsidRDefault="00765797">
          <w:pPr>
            <w:pStyle w:val="TOC1"/>
            <w:tabs>
              <w:tab w:val="right" w:leader="dot" w:pos="9016"/>
            </w:tabs>
            <w:rPr>
              <w:rFonts w:asciiTheme="minorHAnsi" w:hAnsiTheme="minorHAnsi"/>
              <w:noProof/>
              <w:szCs w:val="24"/>
              <w:lang w:eastAsia="ja-JP"/>
            </w:rPr>
          </w:pPr>
          <w:r>
            <w:rPr>
              <w:noProof/>
            </w:rPr>
            <w:t>Chapter 9: Conclusion</w:t>
          </w:r>
          <w:r>
            <w:rPr>
              <w:noProof/>
            </w:rPr>
            <w:tab/>
          </w:r>
          <w:r>
            <w:rPr>
              <w:noProof/>
            </w:rPr>
            <w:fldChar w:fldCharType="begin"/>
          </w:r>
          <w:r>
            <w:rPr>
              <w:noProof/>
            </w:rPr>
            <w:instrText xml:space="preserve"> PAGEREF _Toc453224260 \h </w:instrText>
          </w:r>
          <w:r>
            <w:rPr>
              <w:noProof/>
            </w:rPr>
          </w:r>
          <w:r>
            <w:rPr>
              <w:noProof/>
            </w:rPr>
            <w:fldChar w:fldCharType="separate"/>
          </w:r>
          <w:r>
            <w:rPr>
              <w:noProof/>
            </w:rPr>
            <w:t>191</w:t>
          </w:r>
          <w:r>
            <w:rPr>
              <w:noProof/>
            </w:rPr>
            <w:fldChar w:fldCharType="end"/>
          </w:r>
        </w:p>
        <w:p w14:paraId="05F4D4D5" w14:textId="77777777" w:rsidR="00765797" w:rsidRDefault="00765797">
          <w:pPr>
            <w:pStyle w:val="TOC2"/>
            <w:tabs>
              <w:tab w:val="right" w:leader="dot" w:pos="9016"/>
            </w:tabs>
            <w:rPr>
              <w:rFonts w:asciiTheme="minorHAnsi" w:hAnsiTheme="minorHAnsi"/>
              <w:noProof/>
              <w:szCs w:val="24"/>
              <w:lang w:eastAsia="ja-JP"/>
            </w:rPr>
          </w:pPr>
          <w:r>
            <w:rPr>
              <w:noProof/>
            </w:rPr>
            <w:t>9.0 Introduction</w:t>
          </w:r>
          <w:r>
            <w:rPr>
              <w:noProof/>
            </w:rPr>
            <w:tab/>
          </w:r>
          <w:r>
            <w:rPr>
              <w:noProof/>
            </w:rPr>
            <w:fldChar w:fldCharType="begin"/>
          </w:r>
          <w:r>
            <w:rPr>
              <w:noProof/>
            </w:rPr>
            <w:instrText xml:space="preserve"> PAGEREF _Toc453224261 \h </w:instrText>
          </w:r>
          <w:r>
            <w:rPr>
              <w:noProof/>
            </w:rPr>
          </w:r>
          <w:r>
            <w:rPr>
              <w:noProof/>
            </w:rPr>
            <w:fldChar w:fldCharType="separate"/>
          </w:r>
          <w:r>
            <w:rPr>
              <w:noProof/>
            </w:rPr>
            <w:t>191</w:t>
          </w:r>
          <w:r>
            <w:rPr>
              <w:noProof/>
            </w:rPr>
            <w:fldChar w:fldCharType="end"/>
          </w:r>
        </w:p>
        <w:p w14:paraId="1C95961F" w14:textId="77777777" w:rsidR="00765797" w:rsidRDefault="00765797">
          <w:pPr>
            <w:pStyle w:val="TOC2"/>
            <w:tabs>
              <w:tab w:val="right" w:leader="dot" w:pos="9016"/>
            </w:tabs>
            <w:rPr>
              <w:rFonts w:asciiTheme="minorHAnsi" w:hAnsiTheme="minorHAnsi"/>
              <w:noProof/>
              <w:szCs w:val="24"/>
              <w:lang w:eastAsia="ja-JP"/>
            </w:rPr>
          </w:pPr>
          <w:r>
            <w:rPr>
              <w:noProof/>
            </w:rPr>
            <w:t>9.1 Policy gaps and grey areas</w:t>
          </w:r>
          <w:r>
            <w:rPr>
              <w:noProof/>
            </w:rPr>
            <w:tab/>
          </w:r>
          <w:r>
            <w:rPr>
              <w:noProof/>
            </w:rPr>
            <w:fldChar w:fldCharType="begin"/>
          </w:r>
          <w:r>
            <w:rPr>
              <w:noProof/>
            </w:rPr>
            <w:instrText xml:space="preserve"> PAGEREF _Toc453224262 \h </w:instrText>
          </w:r>
          <w:r>
            <w:rPr>
              <w:noProof/>
            </w:rPr>
          </w:r>
          <w:r>
            <w:rPr>
              <w:noProof/>
            </w:rPr>
            <w:fldChar w:fldCharType="separate"/>
          </w:r>
          <w:r>
            <w:rPr>
              <w:noProof/>
            </w:rPr>
            <w:t>192</w:t>
          </w:r>
          <w:r>
            <w:rPr>
              <w:noProof/>
            </w:rPr>
            <w:fldChar w:fldCharType="end"/>
          </w:r>
        </w:p>
        <w:p w14:paraId="31ACD338" w14:textId="77777777" w:rsidR="00765797" w:rsidRDefault="00765797">
          <w:pPr>
            <w:pStyle w:val="TOC2"/>
            <w:tabs>
              <w:tab w:val="right" w:leader="dot" w:pos="9016"/>
            </w:tabs>
            <w:rPr>
              <w:rFonts w:asciiTheme="minorHAnsi" w:hAnsiTheme="minorHAnsi"/>
              <w:noProof/>
              <w:szCs w:val="24"/>
              <w:lang w:eastAsia="ja-JP"/>
            </w:rPr>
          </w:pPr>
          <w:r>
            <w:rPr>
              <w:noProof/>
            </w:rPr>
            <w:t>9.2 Implications of regulating the caviar trade in the EU</w:t>
          </w:r>
          <w:r>
            <w:rPr>
              <w:noProof/>
            </w:rPr>
            <w:tab/>
          </w:r>
          <w:r>
            <w:rPr>
              <w:noProof/>
            </w:rPr>
            <w:fldChar w:fldCharType="begin"/>
          </w:r>
          <w:r>
            <w:rPr>
              <w:noProof/>
            </w:rPr>
            <w:instrText xml:space="preserve"> PAGEREF _Toc453224263 \h </w:instrText>
          </w:r>
          <w:r>
            <w:rPr>
              <w:noProof/>
            </w:rPr>
          </w:r>
          <w:r>
            <w:rPr>
              <w:noProof/>
            </w:rPr>
            <w:fldChar w:fldCharType="separate"/>
          </w:r>
          <w:r>
            <w:rPr>
              <w:noProof/>
            </w:rPr>
            <w:t>194</w:t>
          </w:r>
          <w:r>
            <w:rPr>
              <w:noProof/>
            </w:rPr>
            <w:fldChar w:fldCharType="end"/>
          </w:r>
        </w:p>
        <w:p w14:paraId="4E2FC869" w14:textId="77777777" w:rsidR="00765797" w:rsidRDefault="00765797">
          <w:pPr>
            <w:pStyle w:val="TOC3"/>
            <w:tabs>
              <w:tab w:val="right" w:leader="dot" w:pos="9016"/>
            </w:tabs>
            <w:rPr>
              <w:rFonts w:asciiTheme="minorHAnsi" w:hAnsiTheme="minorHAnsi"/>
              <w:noProof/>
              <w:szCs w:val="24"/>
              <w:lang w:eastAsia="ja-JP"/>
            </w:rPr>
          </w:pPr>
          <w:r>
            <w:rPr>
              <w:noProof/>
            </w:rPr>
            <w:t>Illegal caviar trade and the caviar industry</w:t>
          </w:r>
          <w:r>
            <w:rPr>
              <w:noProof/>
            </w:rPr>
            <w:tab/>
          </w:r>
          <w:r>
            <w:rPr>
              <w:noProof/>
            </w:rPr>
            <w:fldChar w:fldCharType="begin"/>
          </w:r>
          <w:r>
            <w:rPr>
              <w:noProof/>
            </w:rPr>
            <w:instrText xml:space="preserve"> PAGEREF _Toc453224264 \h </w:instrText>
          </w:r>
          <w:r>
            <w:rPr>
              <w:noProof/>
            </w:rPr>
          </w:r>
          <w:r>
            <w:rPr>
              <w:noProof/>
            </w:rPr>
            <w:fldChar w:fldCharType="separate"/>
          </w:r>
          <w:r>
            <w:rPr>
              <w:noProof/>
            </w:rPr>
            <w:t>194</w:t>
          </w:r>
          <w:r>
            <w:rPr>
              <w:noProof/>
            </w:rPr>
            <w:fldChar w:fldCharType="end"/>
          </w:r>
        </w:p>
        <w:p w14:paraId="1A283F69" w14:textId="77777777" w:rsidR="00765797" w:rsidRDefault="00765797">
          <w:pPr>
            <w:pStyle w:val="TOC3"/>
            <w:tabs>
              <w:tab w:val="right" w:leader="dot" w:pos="9016"/>
            </w:tabs>
            <w:rPr>
              <w:rFonts w:asciiTheme="minorHAnsi" w:hAnsiTheme="minorHAnsi"/>
              <w:noProof/>
              <w:szCs w:val="24"/>
              <w:lang w:eastAsia="ja-JP"/>
            </w:rPr>
          </w:pPr>
          <w:r>
            <w:rPr>
              <w:noProof/>
            </w:rPr>
            <w:lastRenderedPageBreak/>
            <w:t>Hidden political ecologies</w:t>
          </w:r>
          <w:r>
            <w:rPr>
              <w:noProof/>
            </w:rPr>
            <w:tab/>
          </w:r>
          <w:r>
            <w:rPr>
              <w:noProof/>
            </w:rPr>
            <w:fldChar w:fldCharType="begin"/>
          </w:r>
          <w:r>
            <w:rPr>
              <w:noProof/>
            </w:rPr>
            <w:instrText xml:space="preserve"> PAGEREF _Toc453224265 \h </w:instrText>
          </w:r>
          <w:r>
            <w:rPr>
              <w:noProof/>
            </w:rPr>
          </w:r>
          <w:r>
            <w:rPr>
              <w:noProof/>
            </w:rPr>
            <w:fldChar w:fldCharType="separate"/>
          </w:r>
          <w:r>
            <w:rPr>
              <w:noProof/>
            </w:rPr>
            <w:t>196</w:t>
          </w:r>
          <w:r>
            <w:rPr>
              <w:noProof/>
            </w:rPr>
            <w:fldChar w:fldCharType="end"/>
          </w:r>
        </w:p>
        <w:p w14:paraId="15155BC4" w14:textId="77777777" w:rsidR="00765797" w:rsidRDefault="00765797">
          <w:pPr>
            <w:pStyle w:val="TOC3"/>
            <w:tabs>
              <w:tab w:val="right" w:leader="dot" w:pos="9016"/>
            </w:tabs>
            <w:rPr>
              <w:rFonts w:asciiTheme="minorHAnsi" w:hAnsiTheme="minorHAnsi"/>
              <w:noProof/>
              <w:szCs w:val="24"/>
              <w:lang w:eastAsia="ja-JP"/>
            </w:rPr>
          </w:pPr>
          <w:r>
            <w:rPr>
              <w:noProof/>
            </w:rPr>
            <w:t>Security and power</w:t>
          </w:r>
          <w:r>
            <w:rPr>
              <w:noProof/>
            </w:rPr>
            <w:tab/>
          </w:r>
          <w:r>
            <w:rPr>
              <w:noProof/>
            </w:rPr>
            <w:fldChar w:fldCharType="begin"/>
          </w:r>
          <w:r>
            <w:rPr>
              <w:noProof/>
            </w:rPr>
            <w:instrText xml:space="preserve"> PAGEREF _Toc453224266 \h </w:instrText>
          </w:r>
          <w:r>
            <w:rPr>
              <w:noProof/>
            </w:rPr>
          </w:r>
          <w:r>
            <w:rPr>
              <w:noProof/>
            </w:rPr>
            <w:fldChar w:fldCharType="separate"/>
          </w:r>
          <w:r>
            <w:rPr>
              <w:noProof/>
            </w:rPr>
            <w:t>197</w:t>
          </w:r>
          <w:r>
            <w:rPr>
              <w:noProof/>
            </w:rPr>
            <w:fldChar w:fldCharType="end"/>
          </w:r>
        </w:p>
        <w:p w14:paraId="6F6E1FA7" w14:textId="77777777" w:rsidR="00765797" w:rsidRDefault="00765797">
          <w:pPr>
            <w:pStyle w:val="TOC3"/>
            <w:tabs>
              <w:tab w:val="right" w:leader="dot" w:pos="9016"/>
            </w:tabs>
            <w:rPr>
              <w:rFonts w:asciiTheme="minorHAnsi" w:hAnsiTheme="minorHAnsi"/>
              <w:noProof/>
              <w:szCs w:val="24"/>
              <w:lang w:eastAsia="ja-JP"/>
            </w:rPr>
          </w:pPr>
          <w:r>
            <w:rPr>
              <w:noProof/>
            </w:rPr>
            <w:t>Sturgeon geopolitics and caviar diplomacy</w:t>
          </w:r>
          <w:r>
            <w:rPr>
              <w:noProof/>
            </w:rPr>
            <w:tab/>
          </w:r>
          <w:r>
            <w:rPr>
              <w:noProof/>
            </w:rPr>
            <w:fldChar w:fldCharType="begin"/>
          </w:r>
          <w:r>
            <w:rPr>
              <w:noProof/>
            </w:rPr>
            <w:instrText xml:space="preserve"> PAGEREF _Toc453224267 \h </w:instrText>
          </w:r>
          <w:r>
            <w:rPr>
              <w:noProof/>
            </w:rPr>
          </w:r>
          <w:r>
            <w:rPr>
              <w:noProof/>
            </w:rPr>
            <w:fldChar w:fldCharType="separate"/>
          </w:r>
          <w:r>
            <w:rPr>
              <w:noProof/>
            </w:rPr>
            <w:t>199</w:t>
          </w:r>
          <w:r>
            <w:rPr>
              <w:noProof/>
            </w:rPr>
            <w:fldChar w:fldCharType="end"/>
          </w:r>
        </w:p>
        <w:p w14:paraId="6EC1455F" w14:textId="77777777" w:rsidR="00765797" w:rsidRDefault="00765797">
          <w:pPr>
            <w:pStyle w:val="TOC2"/>
            <w:tabs>
              <w:tab w:val="right" w:leader="dot" w:pos="9016"/>
            </w:tabs>
            <w:rPr>
              <w:rFonts w:asciiTheme="minorHAnsi" w:hAnsiTheme="minorHAnsi"/>
              <w:noProof/>
              <w:szCs w:val="24"/>
              <w:lang w:eastAsia="ja-JP"/>
            </w:rPr>
          </w:pPr>
          <w:r>
            <w:rPr>
              <w:noProof/>
            </w:rPr>
            <w:t>9.3 Looking forward</w:t>
          </w:r>
          <w:r>
            <w:rPr>
              <w:noProof/>
            </w:rPr>
            <w:tab/>
          </w:r>
          <w:r>
            <w:rPr>
              <w:noProof/>
            </w:rPr>
            <w:fldChar w:fldCharType="begin"/>
          </w:r>
          <w:r>
            <w:rPr>
              <w:noProof/>
            </w:rPr>
            <w:instrText xml:space="preserve"> PAGEREF _Toc453224268 \h </w:instrText>
          </w:r>
          <w:r>
            <w:rPr>
              <w:noProof/>
            </w:rPr>
          </w:r>
          <w:r>
            <w:rPr>
              <w:noProof/>
            </w:rPr>
            <w:fldChar w:fldCharType="separate"/>
          </w:r>
          <w:r>
            <w:rPr>
              <w:noProof/>
            </w:rPr>
            <w:t>200</w:t>
          </w:r>
          <w:r>
            <w:rPr>
              <w:noProof/>
            </w:rPr>
            <w:fldChar w:fldCharType="end"/>
          </w:r>
        </w:p>
        <w:p w14:paraId="078F4986" w14:textId="77777777" w:rsidR="00765797" w:rsidRDefault="00765797">
          <w:pPr>
            <w:pStyle w:val="TOC1"/>
            <w:tabs>
              <w:tab w:val="right" w:leader="dot" w:pos="9016"/>
            </w:tabs>
            <w:rPr>
              <w:rFonts w:asciiTheme="minorHAnsi" w:hAnsiTheme="minorHAnsi"/>
              <w:noProof/>
              <w:szCs w:val="24"/>
              <w:lang w:eastAsia="ja-JP"/>
            </w:rPr>
          </w:pPr>
          <w:r>
            <w:rPr>
              <w:noProof/>
            </w:rPr>
            <w:t>Appendices</w:t>
          </w:r>
          <w:r>
            <w:rPr>
              <w:noProof/>
            </w:rPr>
            <w:tab/>
          </w:r>
          <w:r>
            <w:rPr>
              <w:noProof/>
            </w:rPr>
            <w:fldChar w:fldCharType="begin"/>
          </w:r>
          <w:r>
            <w:rPr>
              <w:noProof/>
            </w:rPr>
            <w:instrText xml:space="preserve"> PAGEREF _Toc453224269 \h </w:instrText>
          </w:r>
          <w:r>
            <w:rPr>
              <w:noProof/>
            </w:rPr>
          </w:r>
          <w:r>
            <w:rPr>
              <w:noProof/>
            </w:rPr>
            <w:fldChar w:fldCharType="separate"/>
          </w:r>
          <w:r>
            <w:rPr>
              <w:noProof/>
            </w:rPr>
            <w:t>203</w:t>
          </w:r>
          <w:r>
            <w:rPr>
              <w:noProof/>
            </w:rPr>
            <w:fldChar w:fldCharType="end"/>
          </w:r>
        </w:p>
        <w:p w14:paraId="1F043E79" w14:textId="77777777" w:rsidR="00765797" w:rsidRDefault="00765797">
          <w:pPr>
            <w:pStyle w:val="TOC2"/>
            <w:tabs>
              <w:tab w:val="right" w:leader="dot" w:pos="9016"/>
            </w:tabs>
            <w:rPr>
              <w:rFonts w:asciiTheme="minorHAnsi" w:hAnsiTheme="minorHAnsi"/>
              <w:noProof/>
              <w:szCs w:val="24"/>
              <w:lang w:eastAsia="ja-JP"/>
            </w:rPr>
          </w:pPr>
          <w:r>
            <w:rPr>
              <w:noProof/>
            </w:rPr>
            <w:t>Appendix A: Participant Information Sheet</w:t>
          </w:r>
          <w:r>
            <w:rPr>
              <w:noProof/>
            </w:rPr>
            <w:tab/>
          </w:r>
          <w:r>
            <w:rPr>
              <w:noProof/>
            </w:rPr>
            <w:fldChar w:fldCharType="begin"/>
          </w:r>
          <w:r>
            <w:rPr>
              <w:noProof/>
            </w:rPr>
            <w:instrText xml:space="preserve"> PAGEREF _Toc453224270 \h </w:instrText>
          </w:r>
          <w:r>
            <w:rPr>
              <w:noProof/>
            </w:rPr>
          </w:r>
          <w:r>
            <w:rPr>
              <w:noProof/>
            </w:rPr>
            <w:fldChar w:fldCharType="separate"/>
          </w:r>
          <w:r>
            <w:rPr>
              <w:noProof/>
            </w:rPr>
            <w:t>203</w:t>
          </w:r>
          <w:r>
            <w:rPr>
              <w:noProof/>
            </w:rPr>
            <w:fldChar w:fldCharType="end"/>
          </w:r>
        </w:p>
        <w:p w14:paraId="00DD628E" w14:textId="77777777" w:rsidR="00765797" w:rsidRDefault="00765797">
          <w:pPr>
            <w:pStyle w:val="TOC2"/>
            <w:tabs>
              <w:tab w:val="right" w:leader="dot" w:pos="9016"/>
            </w:tabs>
            <w:rPr>
              <w:rFonts w:asciiTheme="minorHAnsi" w:hAnsiTheme="minorHAnsi"/>
              <w:noProof/>
              <w:szCs w:val="24"/>
              <w:lang w:eastAsia="ja-JP"/>
            </w:rPr>
          </w:pPr>
          <w:r>
            <w:rPr>
              <w:noProof/>
            </w:rPr>
            <w:t>Appendix B: Textual materials studied</w:t>
          </w:r>
          <w:r>
            <w:rPr>
              <w:noProof/>
            </w:rPr>
            <w:tab/>
          </w:r>
          <w:r>
            <w:rPr>
              <w:noProof/>
            </w:rPr>
            <w:fldChar w:fldCharType="begin"/>
          </w:r>
          <w:r>
            <w:rPr>
              <w:noProof/>
            </w:rPr>
            <w:instrText xml:space="preserve"> PAGEREF _Toc453224271 \h </w:instrText>
          </w:r>
          <w:r>
            <w:rPr>
              <w:noProof/>
            </w:rPr>
          </w:r>
          <w:r>
            <w:rPr>
              <w:noProof/>
            </w:rPr>
            <w:fldChar w:fldCharType="separate"/>
          </w:r>
          <w:r>
            <w:rPr>
              <w:noProof/>
            </w:rPr>
            <w:t>207</w:t>
          </w:r>
          <w:r>
            <w:rPr>
              <w:noProof/>
            </w:rPr>
            <w:fldChar w:fldCharType="end"/>
          </w:r>
        </w:p>
        <w:p w14:paraId="481A96B6" w14:textId="77777777" w:rsidR="00765797" w:rsidRDefault="00765797">
          <w:pPr>
            <w:pStyle w:val="TOC2"/>
            <w:tabs>
              <w:tab w:val="right" w:leader="dot" w:pos="9016"/>
            </w:tabs>
            <w:rPr>
              <w:rFonts w:asciiTheme="minorHAnsi" w:hAnsiTheme="minorHAnsi"/>
              <w:noProof/>
              <w:szCs w:val="24"/>
              <w:lang w:eastAsia="ja-JP"/>
            </w:rPr>
          </w:pPr>
          <w:r w:rsidRPr="00E37474">
            <w:rPr>
              <w:noProof/>
              <w:shd w:val="clear" w:color="auto" w:fill="FFFFFF"/>
            </w:rPr>
            <w:t>Reference List:</w:t>
          </w:r>
          <w:r>
            <w:rPr>
              <w:noProof/>
            </w:rPr>
            <w:tab/>
          </w:r>
          <w:r>
            <w:rPr>
              <w:noProof/>
            </w:rPr>
            <w:fldChar w:fldCharType="begin"/>
          </w:r>
          <w:r>
            <w:rPr>
              <w:noProof/>
            </w:rPr>
            <w:instrText xml:space="preserve"> PAGEREF _Toc453224272 \h </w:instrText>
          </w:r>
          <w:r>
            <w:rPr>
              <w:noProof/>
            </w:rPr>
          </w:r>
          <w:r>
            <w:rPr>
              <w:noProof/>
            </w:rPr>
            <w:fldChar w:fldCharType="separate"/>
          </w:r>
          <w:r>
            <w:rPr>
              <w:noProof/>
            </w:rPr>
            <w:t>208</w:t>
          </w:r>
          <w:r>
            <w:rPr>
              <w:noProof/>
            </w:rPr>
            <w:fldChar w:fldCharType="end"/>
          </w:r>
        </w:p>
        <w:p w14:paraId="780A7124" w14:textId="2A8F13CC" w:rsidR="00042B6D" w:rsidRPr="001139CD" w:rsidRDefault="00CF44D0">
          <w:pPr>
            <w:rPr>
              <w:rFonts w:cs="Times New Roman"/>
            </w:rPr>
          </w:pPr>
          <w:r w:rsidRPr="00C60663">
            <w:rPr>
              <w:rFonts w:ascii="Garamond" w:hAnsi="Garamond" w:cs="Times New Roman"/>
              <w:b/>
              <w:bCs/>
              <w:noProof/>
              <w:lang w:val="en-US"/>
            </w:rPr>
            <w:fldChar w:fldCharType="end"/>
          </w:r>
        </w:p>
      </w:sdtContent>
    </w:sdt>
    <w:p w14:paraId="117A317D" w14:textId="0CFC2786" w:rsidR="003E71F8" w:rsidRPr="00DC33E3" w:rsidRDefault="003E71F8" w:rsidP="003E71F8">
      <w:pPr>
        <w:spacing w:line="259" w:lineRule="auto"/>
        <w:jc w:val="left"/>
        <w:rPr>
          <w:b/>
          <w:sz w:val="22"/>
        </w:rPr>
      </w:pPr>
      <w:r w:rsidRPr="00DC33E3">
        <w:rPr>
          <w:sz w:val="22"/>
        </w:rPr>
        <w:br w:type="page"/>
      </w:r>
    </w:p>
    <w:p w14:paraId="382B02C5" w14:textId="77777777" w:rsidR="000B08BF" w:rsidRPr="00DC33E3" w:rsidRDefault="000B08BF" w:rsidP="003E71F8">
      <w:pPr>
        <w:pStyle w:val="Heading3"/>
        <w:rPr>
          <w:sz w:val="22"/>
          <w:szCs w:val="22"/>
        </w:rPr>
      </w:pPr>
    </w:p>
    <w:p w14:paraId="51CC19E1" w14:textId="04A8A25A" w:rsidR="00042B6D" w:rsidRPr="00FC31BC" w:rsidRDefault="000B08BF" w:rsidP="00FF04FD">
      <w:pPr>
        <w:pStyle w:val="Heading3"/>
        <w:ind w:left="0" w:firstLine="480"/>
        <w:rPr>
          <w:sz w:val="22"/>
          <w:szCs w:val="22"/>
        </w:rPr>
      </w:pPr>
      <w:bookmarkStart w:id="2" w:name="_Toc453224177"/>
      <w:r w:rsidRPr="00DC33E3">
        <w:rPr>
          <w:sz w:val="22"/>
          <w:szCs w:val="22"/>
        </w:rPr>
        <w:t xml:space="preserve">List of </w:t>
      </w:r>
      <w:r w:rsidR="007C5DDB" w:rsidRPr="00DC33E3">
        <w:rPr>
          <w:sz w:val="22"/>
          <w:szCs w:val="22"/>
        </w:rPr>
        <w:t>Images</w:t>
      </w:r>
      <w:bookmarkEnd w:id="2"/>
      <w:r w:rsidR="007C5DDB" w:rsidRPr="00DC33E3">
        <w:rPr>
          <w:sz w:val="22"/>
          <w:szCs w:val="22"/>
        </w:rPr>
        <w:br/>
      </w:r>
    </w:p>
    <w:p w14:paraId="29994062" w14:textId="77777777" w:rsidR="00765797" w:rsidRPr="00765797" w:rsidRDefault="007C5DDB">
      <w:pPr>
        <w:pStyle w:val="TableofFigures"/>
        <w:tabs>
          <w:tab w:val="right" w:leader="dot" w:pos="9016"/>
        </w:tabs>
        <w:rPr>
          <w:rFonts w:asciiTheme="minorHAnsi" w:hAnsiTheme="minorHAnsi"/>
          <w:noProof/>
          <w:sz w:val="22"/>
          <w:lang w:eastAsia="ja-JP"/>
        </w:rPr>
      </w:pPr>
      <w:r w:rsidRPr="00765797">
        <w:rPr>
          <w:sz w:val="22"/>
        </w:rPr>
        <w:fldChar w:fldCharType="begin"/>
      </w:r>
      <w:r w:rsidRPr="00765797">
        <w:rPr>
          <w:sz w:val="22"/>
        </w:rPr>
        <w:instrText xml:space="preserve"> TOC \t "Heading 5" \c </w:instrText>
      </w:r>
      <w:r w:rsidRPr="00765797">
        <w:rPr>
          <w:sz w:val="22"/>
        </w:rPr>
        <w:fldChar w:fldCharType="separate"/>
      </w:r>
      <w:r w:rsidR="00765797" w:rsidRPr="00765797">
        <w:rPr>
          <w:noProof/>
          <w:sz w:val="22"/>
        </w:rPr>
        <w:t>Image 01: Tins of caviar on display at the Seafood Expo Global, Brussels, 2018</w:t>
      </w:r>
      <w:r w:rsidR="00765797" w:rsidRPr="00765797">
        <w:rPr>
          <w:noProof/>
          <w:sz w:val="22"/>
        </w:rPr>
        <w:tab/>
      </w:r>
      <w:r w:rsidR="00765797" w:rsidRPr="00765797">
        <w:rPr>
          <w:noProof/>
          <w:sz w:val="22"/>
        </w:rPr>
        <w:fldChar w:fldCharType="begin"/>
      </w:r>
      <w:r w:rsidR="00765797" w:rsidRPr="00765797">
        <w:rPr>
          <w:noProof/>
          <w:sz w:val="22"/>
        </w:rPr>
        <w:instrText xml:space="preserve"> PAGEREF _Toc453224273 \h </w:instrText>
      </w:r>
      <w:r w:rsidR="00765797" w:rsidRPr="00765797">
        <w:rPr>
          <w:noProof/>
          <w:sz w:val="22"/>
        </w:rPr>
      </w:r>
      <w:r w:rsidR="00765797" w:rsidRPr="00765797">
        <w:rPr>
          <w:noProof/>
          <w:sz w:val="22"/>
        </w:rPr>
        <w:fldChar w:fldCharType="separate"/>
      </w:r>
      <w:r w:rsidR="00765797" w:rsidRPr="00765797">
        <w:rPr>
          <w:noProof/>
          <w:sz w:val="22"/>
        </w:rPr>
        <w:t>1</w:t>
      </w:r>
      <w:r w:rsidR="00765797" w:rsidRPr="00765797">
        <w:rPr>
          <w:noProof/>
          <w:sz w:val="22"/>
        </w:rPr>
        <w:fldChar w:fldCharType="end"/>
      </w:r>
    </w:p>
    <w:p w14:paraId="7747B67B" w14:textId="77777777" w:rsidR="00765797" w:rsidRPr="00765797" w:rsidRDefault="00765797">
      <w:pPr>
        <w:pStyle w:val="TableofFigures"/>
        <w:tabs>
          <w:tab w:val="right" w:leader="dot" w:pos="9016"/>
        </w:tabs>
        <w:rPr>
          <w:rFonts w:asciiTheme="minorHAnsi" w:hAnsiTheme="minorHAnsi"/>
          <w:noProof/>
          <w:sz w:val="22"/>
          <w:lang w:eastAsia="ja-JP"/>
        </w:rPr>
      </w:pPr>
      <w:r w:rsidRPr="00765797">
        <w:rPr>
          <w:noProof/>
          <w:sz w:val="22"/>
        </w:rPr>
        <w:t>Image 4.1: Example of a company’s caviar label that adheres to CITES regulations.</w:t>
      </w:r>
      <w:r w:rsidRPr="00765797">
        <w:rPr>
          <w:noProof/>
          <w:sz w:val="22"/>
        </w:rPr>
        <w:tab/>
      </w:r>
      <w:r w:rsidRPr="00765797">
        <w:rPr>
          <w:noProof/>
          <w:sz w:val="22"/>
        </w:rPr>
        <w:fldChar w:fldCharType="begin"/>
      </w:r>
      <w:r w:rsidRPr="00765797">
        <w:rPr>
          <w:noProof/>
          <w:sz w:val="22"/>
        </w:rPr>
        <w:instrText xml:space="preserve"> PAGEREF _Toc453224274 \h </w:instrText>
      </w:r>
      <w:r w:rsidRPr="00765797">
        <w:rPr>
          <w:noProof/>
          <w:sz w:val="22"/>
        </w:rPr>
      </w:r>
      <w:r w:rsidRPr="00765797">
        <w:rPr>
          <w:noProof/>
          <w:sz w:val="22"/>
        </w:rPr>
        <w:fldChar w:fldCharType="separate"/>
      </w:r>
      <w:r w:rsidRPr="00765797">
        <w:rPr>
          <w:noProof/>
          <w:sz w:val="22"/>
        </w:rPr>
        <w:t>64</w:t>
      </w:r>
      <w:r w:rsidRPr="00765797">
        <w:rPr>
          <w:noProof/>
          <w:sz w:val="22"/>
        </w:rPr>
        <w:fldChar w:fldCharType="end"/>
      </w:r>
    </w:p>
    <w:p w14:paraId="15308672" w14:textId="77777777" w:rsidR="00765797" w:rsidRPr="00765797" w:rsidRDefault="00765797">
      <w:pPr>
        <w:pStyle w:val="TableofFigures"/>
        <w:tabs>
          <w:tab w:val="right" w:leader="dot" w:pos="9016"/>
        </w:tabs>
        <w:rPr>
          <w:rFonts w:asciiTheme="minorHAnsi" w:hAnsiTheme="minorHAnsi"/>
          <w:noProof/>
          <w:sz w:val="22"/>
          <w:lang w:eastAsia="ja-JP"/>
        </w:rPr>
      </w:pPr>
      <w:r w:rsidRPr="00765797">
        <w:rPr>
          <w:noProof/>
          <w:sz w:val="22"/>
        </w:rPr>
        <w:t>Image 4.2: Close up of an example of the CITES universal labelling system.</w:t>
      </w:r>
      <w:r w:rsidRPr="00765797">
        <w:rPr>
          <w:noProof/>
          <w:sz w:val="22"/>
        </w:rPr>
        <w:tab/>
      </w:r>
      <w:r w:rsidRPr="00765797">
        <w:rPr>
          <w:noProof/>
          <w:sz w:val="22"/>
        </w:rPr>
        <w:fldChar w:fldCharType="begin"/>
      </w:r>
      <w:r w:rsidRPr="00765797">
        <w:rPr>
          <w:noProof/>
          <w:sz w:val="22"/>
        </w:rPr>
        <w:instrText xml:space="preserve"> PAGEREF _Toc453224275 \h </w:instrText>
      </w:r>
      <w:r w:rsidRPr="00765797">
        <w:rPr>
          <w:noProof/>
          <w:sz w:val="22"/>
        </w:rPr>
      </w:r>
      <w:r w:rsidRPr="00765797">
        <w:rPr>
          <w:noProof/>
          <w:sz w:val="22"/>
        </w:rPr>
        <w:fldChar w:fldCharType="separate"/>
      </w:r>
      <w:r w:rsidRPr="00765797">
        <w:rPr>
          <w:noProof/>
          <w:sz w:val="22"/>
        </w:rPr>
        <w:t>65</w:t>
      </w:r>
      <w:r w:rsidRPr="00765797">
        <w:rPr>
          <w:noProof/>
          <w:sz w:val="22"/>
        </w:rPr>
        <w:fldChar w:fldCharType="end"/>
      </w:r>
    </w:p>
    <w:p w14:paraId="01A27D56" w14:textId="77777777" w:rsidR="00765797" w:rsidRPr="00765797" w:rsidRDefault="00765797">
      <w:pPr>
        <w:pStyle w:val="TableofFigures"/>
        <w:tabs>
          <w:tab w:val="right" w:leader="dot" w:pos="9016"/>
        </w:tabs>
        <w:rPr>
          <w:rFonts w:asciiTheme="minorHAnsi" w:hAnsiTheme="minorHAnsi"/>
          <w:noProof/>
          <w:sz w:val="22"/>
          <w:lang w:eastAsia="ja-JP"/>
        </w:rPr>
      </w:pPr>
      <w:r w:rsidRPr="00765797">
        <w:rPr>
          <w:noProof/>
          <w:sz w:val="22"/>
        </w:rPr>
        <w:t>Image 4.3: An example of a cosmetic face mask containing caviar extract</w:t>
      </w:r>
      <w:r w:rsidRPr="00765797">
        <w:rPr>
          <w:noProof/>
          <w:sz w:val="22"/>
        </w:rPr>
        <w:tab/>
      </w:r>
      <w:r w:rsidRPr="00765797">
        <w:rPr>
          <w:noProof/>
          <w:sz w:val="22"/>
        </w:rPr>
        <w:fldChar w:fldCharType="begin"/>
      </w:r>
      <w:r w:rsidRPr="00765797">
        <w:rPr>
          <w:noProof/>
          <w:sz w:val="22"/>
        </w:rPr>
        <w:instrText xml:space="preserve"> PAGEREF _Toc453224276 \h </w:instrText>
      </w:r>
      <w:r w:rsidRPr="00765797">
        <w:rPr>
          <w:noProof/>
          <w:sz w:val="22"/>
        </w:rPr>
      </w:r>
      <w:r w:rsidRPr="00765797">
        <w:rPr>
          <w:noProof/>
          <w:sz w:val="22"/>
        </w:rPr>
        <w:fldChar w:fldCharType="separate"/>
      </w:r>
      <w:r w:rsidRPr="00765797">
        <w:rPr>
          <w:noProof/>
          <w:sz w:val="22"/>
        </w:rPr>
        <w:t>82</w:t>
      </w:r>
      <w:r w:rsidRPr="00765797">
        <w:rPr>
          <w:noProof/>
          <w:sz w:val="22"/>
        </w:rPr>
        <w:fldChar w:fldCharType="end"/>
      </w:r>
    </w:p>
    <w:p w14:paraId="51AF0F61" w14:textId="77777777" w:rsidR="00765797" w:rsidRPr="00765797" w:rsidRDefault="00765797">
      <w:pPr>
        <w:pStyle w:val="TableofFigures"/>
        <w:tabs>
          <w:tab w:val="right" w:leader="dot" w:pos="9016"/>
        </w:tabs>
        <w:rPr>
          <w:rFonts w:asciiTheme="minorHAnsi" w:hAnsiTheme="minorHAnsi"/>
          <w:noProof/>
          <w:sz w:val="22"/>
          <w:lang w:eastAsia="ja-JP"/>
        </w:rPr>
      </w:pPr>
      <w:r w:rsidRPr="00765797">
        <w:rPr>
          <w:noProof/>
          <w:sz w:val="22"/>
          <w:lang w:val="en-US"/>
        </w:rPr>
        <w:t>Image 02: Un-labeled jars of fresh caviar, prior to being repackaged into smaller caviar tins</w:t>
      </w:r>
      <w:r w:rsidRPr="00765797">
        <w:rPr>
          <w:noProof/>
          <w:sz w:val="22"/>
        </w:rPr>
        <w:tab/>
      </w:r>
      <w:r w:rsidRPr="00765797">
        <w:rPr>
          <w:noProof/>
          <w:sz w:val="22"/>
        </w:rPr>
        <w:fldChar w:fldCharType="begin"/>
      </w:r>
      <w:r w:rsidRPr="00765797">
        <w:rPr>
          <w:noProof/>
          <w:sz w:val="22"/>
        </w:rPr>
        <w:instrText xml:space="preserve"> PAGEREF _Toc453224277 \h </w:instrText>
      </w:r>
      <w:r w:rsidRPr="00765797">
        <w:rPr>
          <w:noProof/>
          <w:sz w:val="22"/>
        </w:rPr>
      </w:r>
      <w:r w:rsidRPr="00765797">
        <w:rPr>
          <w:noProof/>
          <w:sz w:val="22"/>
        </w:rPr>
        <w:fldChar w:fldCharType="separate"/>
      </w:r>
      <w:r w:rsidRPr="00765797">
        <w:rPr>
          <w:noProof/>
          <w:sz w:val="22"/>
        </w:rPr>
        <w:t>94</w:t>
      </w:r>
      <w:r w:rsidRPr="00765797">
        <w:rPr>
          <w:noProof/>
          <w:sz w:val="22"/>
        </w:rPr>
        <w:fldChar w:fldCharType="end"/>
      </w:r>
    </w:p>
    <w:p w14:paraId="43EDCC7D" w14:textId="77777777" w:rsidR="00765797" w:rsidRPr="00765797" w:rsidRDefault="00765797">
      <w:pPr>
        <w:pStyle w:val="TableofFigures"/>
        <w:tabs>
          <w:tab w:val="right" w:leader="dot" w:pos="9016"/>
        </w:tabs>
        <w:rPr>
          <w:rFonts w:asciiTheme="minorHAnsi" w:hAnsiTheme="minorHAnsi"/>
          <w:noProof/>
          <w:sz w:val="22"/>
          <w:lang w:eastAsia="ja-JP"/>
        </w:rPr>
      </w:pPr>
      <w:r w:rsidRPr="00765797">
        <w:rPr>
          <w:noProof/>
          <w:sz w:val="22"/>
        </w:rPr>
        <w:t>Image 5.1: Traditional ‘Mother Tins’ of caviar</w:t>
      </w:r>
      <w:r w:rsidRPr="00765797">
        <w:rPr>
          <w:noProof/>
          <w:sz w:val="22"/>
        </w:rPr>
        <w:tab/>
      </w:r>
      <w:r w:rsidRPr="00765797">
        <w:rPr>
          <w:noProof/>
          <w:sz w:val="22"/>
        </w:rPr>
        <w:fldChar w:fldCharType="begin"/>
      </w:r>
      <w:r w:rsidRPr="00765797">
        <w:rPr>
          <w:noProof/>
          <w:sz w:val="22"/>
        </w:rPr>
        <w:instrText xml:space="preserve"> PAGEREF _Toc453224278 \h </w:instrText>
      </w:r>
      <w:r w:rsidRPr="00765797">
        <w:rPr>
          <w:noProof/>
          <w:sz w:val="22"/>
        </w:rPr>
      </w:r>
      <w:r w:rsidRPr="00765797">
        <w:rPr>
          <w:noProof/>
          <w:sz w:val="22"/>
        </w:rPr>
        <w:fldChar w:fldCharType="separate"/>
      </w:r>
      <w:r w:rsidRPr="00765797">
        <w:rPr>
          <w:noProof/>
          <w:sz w:val="22"/>
        </w:rPr>
        <w:t>107</w:t>
      </w:r>
      <w:r w:rsidRPr="00765797">
        <w:rPr>
          <w:noProof/>
          <w:sz w:val="22"/>
        </w:rPr>
        <w:fldChar w:fldCharType="end"/>
      </w:r>
    </w:p>
    <w:p w14:paraId="4DB1E519" w14:textId="77777777" w:rsidR="007C5DDB" w:rsidRPr="0025452A" w:rsidRDefault="007C5DDB" w:rsidP="00866CC0">
      <w:pPr>
        <w:rPr>
          <w:sz w:val="22"/>
        </w:rPr>
      </w:pPr>
      <w:r w:rsidRPr="00765797">
        <w:rPr>
          <w:sz w:val="22"/>
        </w:rPr>
        <w:fldChar w:fldCharType="end"/>
      </w:r>
    </w:p>
    <w:p w14:paraId="08FEA81C" w14:textId="5A554117" w:rsidR="000B08BF" w:rsidRPr="0025452A" w:rsidRDefault="00324502" w:rsidP="00324502">
      <w:pPr>
        <w:pStyle w:val="Heading3"/>
        <w:rPr>
          <w:sz w:val="22"/>
          <w:szCs w:val="22"/>
        </w:rPr>
      </w:pPr>
      <w:bookmarkStart w:id="3" w:name="_Toc453224178"/>
      <w:r w:rsidRPr="0025452A">
        <w:rPr>
          <w:sz w:val="22"/>
          <w:szCs w:val="22"/>
        </w:rPr>
        <w:t>List of Figures</w:t>
      </w:r>
      <w:bookmarkEnd w:id="3"/>
    </w:p>
    <w:p w14:paraId="2D475A52" w14:textId="77777777" w:rsidR="00765797" w:rsidRPr="00765797" w:rsidRDefault="00DF3CE2">
      <w:pPr>
        <w:pStyle w:val="TableofFigures"/>
        <w:tabs>
          <w:tab w:val="right" w:leader="dot" w:pos="9016"/>
        </w:tabs>
        <w:rPr>
          <w:rFonts w:asciiTheme="minorHAnsi" w:hAnsiTheme="minorHAnsi"/>
          <w:noProof/>
          <w:sz w:val="22"/>
          <w:lang w:eastAsia="ja-JP"/>
        </w:rPr>
      </w:pPr>
      <w:r w:rsidRPr="00765797">
        <w:rPr>
          <w:sz w:val="22"/>
        </w:rPr>
        <w:fldChar w:fldCharType="begin"/>
      </w:r>
      <w:r w:rsidRPr="00765797">
        <w:rPr>
          <w:sz w:val="22"/>
        </w:rPr>
        <w:instrText xml:space="preserve"> TOC \t "Heading 4" \c </w:instrText>
      </w:r>
      <w:r w:rsidRPr="00765797">
        <w:rPr>
          <w:sz w:val="22"/>
        </w:rPr>
        <w:fldChar w:fldCharType="separate"/>
      </w:r>
      <w:r w:rsidR="00765797" w:rsidRPr="00765797">
        <w:rPr>
          <w:noProof/>
          <w:sz w:val="22"/>
        </w:rPr>
        <w:t>Figure 4.1 Average retail price of Osetra caviar (euro/kg) 1981- 2015</w:t>
      </w:r>
      <w:r w:rsidR="00765797" w:rsidRPr="00765797">
        <w:rPr>
          <w:noProof/>
          <w:sz w:val="22"/>
        </w:rPr>
        <w:tab/>
      </w:r>
      <w:r w:rsidR="00765797" w:rsidRPr="00765797">
        <w:rPr>
          <w:noProof/>
          <w:sz w:val="22"/>
        </w:rPr>
        <w:fldChar w:fldCharType="begin"/>
      </w:r>
      <w:r w:rsidR="00765797" w:rsidRPr="00765797">
        <w:rPr>
          <w:noProof/>
          <w:sz w:val="22"/>
        </w:rPr>
        <w:instrText xml:space="preserve"> PAGEREF _Toc453224279 \h </w:instrText>
      </w:r>
      <w:r w:rsidR="00765797" w:rsidRPr="00765797">
        <w:rPr>
          <w:noProof/>
          <w:sz w:val="22"/>
        </w:rPr>
      </w:r>
      <w:r w:rsidR="00765797" w:rsidRPr="00765797">
        <w:rPr>
          <w:noProof/>
          <w:sz w:val="22"/>
        </w:rPr>
        <w:fldChar w:fldCharType="separate"/>
      </w:r>
      <w:r w:rsidR="00765797" w:rsidRPr="00765797">
        <w:rPr>
          <w:noProof/>
          <w:sz w:val="22"/>
        </w:rPr>
        <w:t>70</w:t>
      </w:r>
      <w:r w:rsidR="00765797" w:rsidRPr="00765797">
        <w:rPr>
          <w:noProof/>
          <w:sz w:val="22"/>
        </w:rPr>
        <w:fldChar w:fldCharType="end"/>
      </w:r>
    </w:p>
    <w:p w14:paraId="2560CA17" w14:textId="77777777" w:rsidR="00765797" w:rsidRPr="00765797" w:rsidRDefault="00765797">
      <w:pPr>
        <w:pStyle w:val="TableofFigures"/>
        <w:tabs>
          <w:tab w:val="right" w:leader="dot" w:pos="9016"/>
        </w:tabs>
        <w:rPr>
          <w:rFonts w:asciiTheme="minorHAnsi" w:hAnsiTheme="minorHAnsi"/>
          <w:noProof/>
          <w:sz w:val="22"/>
          <w:lang w:eastAsia="ja-JP"/>
        </w:rPr>
      </w:pPr>
      <w:r w:rsidRPr="00765797">
        <w:rPr>
          <w:noProof/>
          <w:sz w:val="22"/>
        </w:rPr>
        <w:t>Figure 4.2: Total seized caviar per year, 1999 - 2014 (kg)</w:t>
      </w:r>
      <w:r w:rsidRPr="00765797">
        <w:rPr>
          <w:noProof/>
          <w:sz w:val="22"/>
        </w:rPr>
        <w:tab/>
      </w:r>
      <w:r w:rsidRPr="00765797">
        <w:rPr>
          <w:noProof/>
          <w:sz w:val="22"/>
        </w:rPr>
        <w:fldChar w:fldCharType="begin"/>
      </w:r>
      <w:r w:rsidRPr="00765797">
        <w:rPr>
          <w:noProof/>
          <w:sz w:val="22"/>
        </w:rPr>
        <w:instrText xml:space="preserve"> PAGEREF _Toc453224280 \h </w:instrText>
      </w:r>
      <w:r w:rsidRPr="00765797">
        <w:rPr>
          <w:noProof/>
          <w:sz w:val="22"/>
        </w:rPr>
      </w:r>
      <w:r w:rsidRPr="00765797">
        <w:rPr>
          <w:noProof/>
          <w:sz w:val="22"/>
        </w:rPr>
        <w:fldChar w:fldCharType="separate"/>
      </w:r>
      <w:r w:rsidRPr="00765797">
        <w:rPr>
          <w:noProof/>
          <w:sz w:val="22"/>
        </w:rPr>
        <w:t>72</w:t>
      </w:r>
      <w:r w:rsidRPr="00765797">
        <w:rPr>
          <w:noProof/>
          <w:sz w:val="22"/>
        </w:rPr>
        <w:fldChar w:fldCharType="end"/>
      </w:r>
    </w:p>
    <w:p w14:paraId="0D35A714" w14:textId="77777777" w:rsidR="00765797" w:rsidRPr="00765797" w:rsidRDefault="00765797">
      <w:pPr>
        <w:pStyle w:val="TableofFigures"/>
        <w:tabs>
          <w:tab w:val="right" w:leader="dot" w:pos="9016"/>
        </w:tabs>
        <w:rPr>
          <w:rFonts w:asciiTheme="minorHAnsi" w:hAnsiTheme="minorHAnsi"/>
          <w:noProof/>
          <w:sz w:val="22"/>
          <w:lang w:eastAsia="ja-JP"/>
        </w:rPr>
      </w:pPr>
      <w:r w:rsidRPr="00765797">
        <w:rPr>
          <w:noProof/>
          <w:sz w:val="22"/>
        </w:rPr>
        <w:t>Figure 4.3: Exports of wild-sourced caviar and aquaculture caviar production (kg) 1998-2013.</w:t>
      </w:r>
      <w:r w:rsidRPr="00765797">
        <w:rPr>
          <w:noProof/>
          <w:sz w:val="22"/>
        </w:rPr>
        <w:tab/>
      </w:r>
      <w:r w:rsidRPr="00765797">
        <w:rPr>
          <w:noProof/>
          <w:sz w:val="22"/>
        </w:rPr>
        <w:fldChar w:fldCharType="begin"/>
      </w:r>
      <w:r w:rsidRPr="00765797">
        <w:rPr>
          <w:noProof/>
          <w:sz w:val="22"/>
        </w:rPr>
        <w:instrText xml:space="preserve"> PAGEREF _Toc453224281 \h </w:instrText>
      </w:r>
      <w:r w:rsidRPr="00765797">
        <w:rPr>
          <w:noProof/>
          <w:sz w:val="22"/>
        </w:rPr>
      </w:r>
      <w:r w:rsidRPr="00765797">
        <w:rPr>
          <w:noProof/>
          <w:sz w:val="22"/>
        </w:rPr>
        <w:fldChar w:fldCharType="separate"/>
      </w:r>
      <w:r w:rsidRPr="00765797">
        <w:rPr>
          <w:noProof/>
          <w:sz w:val="22"/>
        </w:rPr>
        <w:t>73</w:t>
      </w:r>
      <w:r w:rsidRPr="00765797">
        <w:rPr>
          <w:noProof/>
          <w:sz w:val="22"/>
        </w:rPr>
        <w:fldChar w:fldCharType="end"/>
      </w:r>
    </w:p>
    <w:p w14:paraId="5E57721F" w14:textId="77777777" w:rsidR="00765797" w:rsidRPr="00765797" w:rsidRDefault="00765797">
      <w:pPr>
        <w:pStyle w:val="TableofFigures"/>
        <w:tabs>
          <w:tab w:val="right" w:leader="dot" w:pos="9016"/>
        </w:tabs>
        <w:rPr>
          <w:rFonts w:asciiTheme="minorHAnsi" w:hAnsiTheme="minorHAnsi"/>
          <w:noProof/>
          <w:sz w:val="22"/>
          <w:lang w:eastAsia="ja-JP"/>
        </w:rPr>
      </w:pPr>
      <w:r w:rsidRPr="00765797">
        <w:rPr>
          <w:noProof/>
          <w:sz w:val="22"/>
        </w:rPr>
        <w:t>Figure 4.4: Number and quantity of caviar seizure records in the EU 2010 - 2016</w:t>
      </w:r>
      <w:r w:rsidRPr="00765797">
        <w:rPr>
          <w:noProof/>
          <w:sz w:val="22"/>
        </w:rPr>
        <w:tab/>
      </w:r>
      <w:r w:rsidRPr="00765797">
        <w:rPr>
          <w:noProof/>
          <w:sz w:val="22"/>
        </w:rPr>
        <w:fldChar w:fldCharType="begin"/>
      </w:r>
      <w:r w:rsidRPr="00765797">
        <w:rPr>
          <w:noProof/>
          <w:sz w:val="22"/>
        </w:rPr>
        <w:instrText xml:space="preserve"> PAGEREF _Toc453224282 \h </w:instrText>
      </w:r>
      <w:r w:rsidRPr="00765797">
        <w:rPr>
          <w:noProof/>
          <w:sz w:val="22"/>
        </w:rPr>
      </w:r>
      <w:r w:rsidRPr="00765797">
        <w:rPr>
          <w:noProof/>
          <w:sz w:val="22"/>
        </w:rPr>
        <w:fldChar w:fldCharType="separate"/>
      </w:r>
      <w:r w:rsidRPr="00765797">
        <w:rPr>
          <w:noProof/>
          <w:sz w:val="22"/>
        </w:rPr>
        <w:t>75</w:t>
      </w:r>
      <w:r w:rsidRPr="00765797">
        <w:rPr>
          <w:noProof/>
          <w:sz w:val="22"/>
        </w:rPr>
        <w:fldChar w:fldCharType="end"/>
      </w:r>
    </w:p>
    <w:p w14:paraId="5BC1F084" w14:textId="77777777" w:rsidR="00765797" w:rsidRPr="00765797" w:rsidRDefault="00765797">
      <w:pPr>
        <w:pStyle w:val="TableofFigures"/>
        <w:tabs>
          <w:tab w:val="right" w:leader="dot" w:pos="9016"/>
        </w:tabs>
        <w:rPr>
          <w:rFonts w:asciiTheme="minorHAnsi" w:hAnsiTheme="minorHAnsi"/>
          <w:noProof/>
          <w:sz w:val="22"/>
          <w:lang w:eastAsia="ja-JP"/>
        </w:rPr>
      </w:pPr>
      <w:r w:rsidRPr="00765797">
        <w:rPr>
          <w:noProof/>
          <w:sz w:val="22"/>
        </w:rPr>
        <w:t>Figure 6.1: Criteria that have to be met for wildlife farming to be suitable as a conservation tool.</w:t>
      </w:r>
      <w:r w:rsidRPr="00765797">
        <w:rPr>
          <w:noProof/>
          <w:sz w:val="22"/>
        </w:rPr>
        <w:tab/>
      </w:r>
      <w:r w:rsidRPr="00765797">
        <w:rPr>
          <w:noProof/>
          <w:sz w:val="22"/>
        </w:rPr>
        <w:fldChar w:fldCharType="begin"/>
      </w:r>
      <w:r w:rsidRPr="00765797">
        <w:rPr>
          <w:noProof/>
          <w:sz w:val="22"/>
        </w:rPr>
        <w:instrText xml:space="preserve"> PAGEREF _Toc453224283 \h </w:instrText>
      </w:r>
      <w:r w:rsidRPr="00765797">
        <w:rPr>
          <w:noProof/>
          <w:sz w:val="22"/>
        </w:rPr>
      </w:r>
      <w:r w:rsidRPr="00765797">
        <w:rPr>
          <w:noProof/>
          <w:sz w:val="22"/>
        </w:rPr>
        <w:fldChar w:fldCharType="separate"/>
      </w:r>
      <w:r w:rsidRPr="00765797">
        <w:rPr>
          <w:noProof/>
          <w:sz w:val="22"/>
        </w:rPr>
        <w:t>127</w:t>
      </w:r>
      <w:r w:rsidRPr="00765797">
        <w:rPr>
          <w:noProof/>
          <w:sz w:val="22"/>
        </w:rPr>
        <w:fldChar w:fldCharType="end"/>
      </w:r>
    </w:p>
    <w:p w14:paraId="3A34EF51" w14:textId="77777777" w:rsidR="00765797" w:rsidRPr="00765797" w:rsidRDefault="00765797">
      <w:pPr>
        <w:pStyle w:val="TableofFigures"/>
        <w:tabs>
          <w:tab w:val="right" w:leader="dot" w:pos="9016"/>
        </w:tabs>
        <w:rPr>
          <w:rFonts w:asciiTheme="minorHAnsi" w:hAnsiTheme="minorHAnsi"/>
          <w:noProof/>
          <w:sz w:val="22"/>
          <w:lang w:eastAsia="ja-JP"/>
        </w:rPr>
      </w:pPr>
      <w:r w:rsidRPr="00765797">
        <w:rPr>
          <w:noProof/>
          <w:sz w:val="22"/>
        </w:rPr>
        <w:t>Figure 8.1: Map of the Black Sea and Black Sea littoral states</w:t>
      </w:r>
      <w:r w:rsidRPr="00765797">
        <w:rPr>
          <w:noProof/>
          <w:sz w:val="22"/>
        </w:rPr>
        <w:tab/>
      </w:r>
      <w:r w:rsidRPr="00765797">
        <w:rPr>
          <w:noProof/>
          <w:sz w:val="22"/>
        </w:rPr>
        <w:fldChar w:fldCharType="begin"/>
      </w:r>
      <w:r w:rsidRPr="00765797">
        <w:rPr>
          <w:noProof/>
          <w:sz w:val="22"/>
        </w:rPr>
        <w:instrText xml:space="preserve"> PAGEREF _Toc453224284 \h </w:instrText>
      </w:r>
      <w:r w:rsidRPr="00765797">
        <w:rPr>
          <w:noProof/>
          <w:sz w:val="22"/>
        </w:rPr>
      </w:r>
      <w:r w:rsidRPr="00765797">
        <w:rPr>
          <w:noProof/>
          <w:sz w:val="22"/>
        </w:rPr>
        <w:fldChar w:fldCharType="separate"/>
      </w:r>
      <w:r w:rsidRPr="00765797">
        <w:rPr>
          <w:noProof/>
          <w:sz w:val="22"/>
        </w:rPr>
        <w:t>176</w:t>
      </w:r>
      <w:r w:rsidRPr="00765797">
        <w:rPr>
          <w:noProof/>
          <w:sz w:val="22"/>
        </w:rPr>
        <w:fldChar w:fldCharType="end"/>
      </w:r>
    </w:p>
    <w:p w14:paraId="1BCDB777" w14:textId="77777777" w:rsidR="00765797" w:rsidRPr="00765797" w:rsidRDefault="00765797">
      <w:pPr>
        <w:pStyle w:val="TableofFigures"/>
        <w:tabs>
          <w:tab w:val="right" w:leader="dot" w:pos="9016"/>
        </w:tabs>
        <w:rPr>
          <w:rFonts w:asciiTheme="minorHAnsi" w:hAnsiTheme="minorHAnsi"/>
          <w:noProof/>
          <w:sz w:val="22"/>
          <w:lang w:eastAsia="ja-JP"/>
        </w:rPr>
      </w:pPr>
      <w:r w:rsidRPr="00765797">
        <w:rPr>
          <w:noProof/>
          <w:sz w:val="22"/>
        </w:rPr>
        <w:t>Figure 8.2: Scheme of the Black Sea circulation and eddy system</w:t>
      </w:r>
      <w:r w:rsidRPr="00765797">
        <w:rPr>
          <w:noProof/>
          <w:sz w:val="22"/>
        </w:rPr>
        <w:tab/>
      </w:r>
      <w:r w:rsidRPr="00765797">
        <w:rPr>
          <w:noProof/>
          <w:sz w:val="22"/>
        </w:rPr>
        <w:fldChar w:fldCharType="begin"/>
      </w:r>
      <w:r w:rsidRPr="00765797">
        <w:rPr>
          <w:noProof/>
          <w:sz w:val="22"/>
        </w:rPr>
        <w:instrText xml:space="preserve"> PAGEREF _Toc453224285 \h </w:instrText>
      </w:r>
      <w:r w:rsidRPr="00765797">
        <w:rPr>
          <w:noProof/>
          <w:sz w:val="22"/>
        </w:rPr>
      </w:r>
      <w:r w:rsidRPr="00765797">
        <w:rPr>
          <w:noProof/>
          <w:sz w:val="22"/>
        </w:rPr>
        <w:fldChar w:fldCharType="separate"/>
      </w:r>
      <w:r w:rsidRPr="00765797">
        <w:rPr>
          <w:noProof/>
          <w:sz w:val="22"/>
        </w:rPr>
        <w:t>179</w:t>
      </w:r>
      <w:r w:rsidRPr="00765797">
        <w:rPr>
          <w:noProof/>
          <w:sz w:val="22"/>
        </w:rPr>
        <w:fldChar w:fldCharType="end"/>
      </w:r>
    </w:p>
    <w:p w14:paraId="2C83E0D6" w14:textId="76798E5F" w:rsidR="00324502" w:rsidRPr="0025452A" w:rsidRDefault="00DF3CE2" w:rsidP="00324502">
      <w:pPr>
        <w:rPr>
          <w:sz w:val="22"/>
        </w:rPr>
      </w:pPr>
      <w:r w:rsidRPr="00765797">
        <w:rPr>
          <w:sz w:val="22"/>
        </w:rPr>
        <w:fldChar w:fldCharType="end"/>
      </w:r>
      <w:bookmarkStart w:id="4" w:name="_GoBack"/>
      <w:bookmarkEnd w:id="4"/>
    </w:p>
    <w:p w14:paraId="3FFE309C" w14:textId="497A613B" w:rsidR="00324502" w:rsidRPr="0025452A" w:rsidRDefault="00324502" w:rsidP="00324502">
      <w:pPr>
        <w:pStyle w:val="Heading3"/>
        <w:rPr>
          <w:sz w:val="22"/>
          <w:szCs w:val="22"/>
        </w:rPr>
      </w:pPr>
      <w:bookmarkStart w:id="5" w:name="_Toc453224179"/>
      <w:r w:rsidRPr="0025452A">
        <w:rPr>
          <w:sz w:val="22"/>
          <w:szCs w:val="22"/>
        </w:rPr>
        <w:t>List of Tables</w:t>
      </w:r>
      <w:bookmarkEnd w:id="5"/>
    </w:p>
    <w:p w14:paraId="3E8CD84D" w14:textId="77777777" w:rsidR="00765797" w:rsidRPr="00765797" w:rsidRDefault="00324502">
      <w:pPr>
        <w:pStyle w:val="TableofFigures"/>
        <w:tabs>
          <w:tab w:val="right" w:leader="dot" w:pos="9016"/>
        </w:tabs>
        <w:rPr>
          <w:rFonts w:asciiTheme="minorHAnsi" w:hAnsiTheme="minorHAnsi"/>
          <w:noProof/>
          <w:sz w:val="22"/>
          <w:lang w:eastAsia="ja-JP"/>
        </w:rPr>
      </w:pPr>
      <w:r w:rsidRPr="00765797">
        <w:rPr>
          <w:sz w:val="22"/>
        </w:rPr>
        <w:fldChar w:fldCharType="begin"/>
      </w:r>
      <w:r w:rsidRPr="00765797">
        <w:rPr>
          <w:sz w:val="22"/>
        </w:rPr>
        <w:instrText xml:space="preserve"> TOC \t "Heading 6" \c </w:instrText>
      </w:r>
      <w:r w:rsidRPr="00765797">
        <w:rPr>
          <w:sz w:val="22"/>
        </w:rPr>
        <w:fldChar w:fldCharType="separate"/>
      </w:r>
      <w:r w:rsidR="00765797" w:rsidRPr="00765797">
        <w:rPr>
          <w:noProof/>
          <w:sz w:val="22"/>
        </w:rPr>
        <w:t>Table 4.1: Total EU Caviar seizures by year, 1999 - 2007.</w:t>
      </w:r>
      <w:r w:rsidR="00765797" w:rsidRPr="00765797">
        <w:rPr>
          <w:noProof/>
          <w:sz w:val="22"/>
        </w:rPr>
        <w:tab/>
      </w:r>
      <w:r w:rsidR="00765797" w:rsidRPr="00765797">
        <w:rPr>
          <w:noProof/>
          <w:sz w:val="22"/>
        </w:rPr>
        <w:fldChar w:fldCharType="begin"/>
      </w:r>
      <w:r w:rsidR="00765797" w:rsidRPr="00765797">
        <w:rPr>
          <w:noProof/>
          <w:sz w:val="22"/>
        </w:rPr>
        <w:instrText xml:space="preserve"> PAGEREF _Toc453224286 \h </w:instrText>
      </w:r>
      <w:r w:rsidR="00765797" w:rsidRPr="00765797">
        <w:rPr>
          <w:noProof/>
          <w:sz w:val="22"/>
        </w:rPr>
      </w:r>
      <w:r w:rsidR="00765797" w:rsidRPr="00765797">
        <w:rPr>
          <w:noProof/>
          <w:sz w:val="22"/>
        </w:rPr>
        <w:fldChar w:fldCharType="separate"/>
      </w:r>
      <w:r w:rsidR="00765797" w:rsidRPr="00765797">
        <w:rPr>
          <w:noProof/>
          <w:sz w:val="22"/>
        </w:rPr>
        <w:t>74</w:t>
      </w:r>
      <w:r w:rsidR="00765797" w:rsidRPr="00765797">
        <w:rPr>
          <w:noProof/>
          <w:sz w:val="22"/>
        </w:rPr>
        <w:fldChar w:fldCharType="end"/>
      </w:r>
    </w:p>
    <w:p w14:paraId="3C52CE1A" w14:textId="77777777" w:rsidR="00765797" w:rsidRPr="00765797" w:rsidRDefault="00765797">
      <w:pPr>
        <w:pStyle w:val="TableofFigures"/>
        <w:tabs>
          <w:tab w:val="right" w:leader="dot" w:pos="9016"/>
        </w:tabs>
        <w:rPr>
          <w:rFonts w:asciiTheme="minorHAnsi" w:hAnsiTheme="minorHAnsi"/>
          <w:noProof/>
          <w:sz w:val="22"/>
          <w:lang w:eastAsia="ja-JP"/>
        </w:rPr>
      </w:pPr>
      <w:r w:rsidRPr="00765797">
        <w:rPr>
          <w:noProof/>
          <w:sz w:val="22"/>
        </w:rPr>
        <w:t>Table 4.2 Significant international seizures of caviar in the EU (2012- 2017)</w:t>
      </w:r>
      <w:r w:rsidRPr="00765797">
        <w:rPr>
          <w:noProof/>
          <w:sz w:val="22"/>
        </w:rPr>
        <w:tab/>
      </w:r>
      <w:r w:rsidRPr="00765797">
        <w:rPr>
          <w:noProof/>
          <w:sz w:val="22"/>
        </w:rPr>
        <w:fldChar w:fldCharType="begin"/>
      </w:r>
      <w:r w:rsidRPr="00765797">
        <w:rPr>
          <w:noProof/>
          <w:sz w:val="22"/>
        </w:rPr>
        <w:instrText xml:space="preserve"> PAGEREF _Toc453224287 \h </w:instrText>
      </w:r>
      <w:r w:rsidRPr="00765797">
        <w:rPr>
          <w:noProof/>
          <w:sz w:val="22"/>
        </w:rPr>
      </w:r>
      <w:r w:rsidRPr="00765797">
        <w:rPr>
          <w:noProof/>
          <w:sz w:val="22"/>
        </w:rPr>
        <w:fldChar w:fldCharType="separate"/>
      </w:r>
      <w:r w:rsidRPr="00765797">
        <w:rPr>
          <w:noProof/>
          <w:sz w:val="22"/>
        </w:rPr>
        <w:t>80</w:t>
      </w:r>
      <w:r w:rsidRPr="00765797">
        <w:rPr>
          <w:noProof/>
          <w:sz w:val="22"/>
        </w:rPr>
        <w:fldChar w:fldCharType="end"/>
      </w:r>
    </w:p>
    <w:p w14:paraId="4FB983E6" w14:textId="77777777" w:rsidR="00765797" w:rsidRPr="00765797" w:rsidRDefault="00765797">
      <w:pPr>
        <w:pStyle w:val="TableofFigures"/>
        <w:tabs>
          <w:tab w:val="right" w:leader="dot" w:pos="9016"/>
        </w:tabs>
        <w:rPr>
          <w:rFonts w:asciiTheme="minorHAnsi" w:hAnsiTheme="minorHAnsi"/>
          <w:noProof/>
          <w:sz w:val="22"/>
          <w:lang w:eastAsia="ja-JP"/>
        </w:rPr>
      </w:pPr>
      <w:r w:rsidRPr="00765797">
        <w:rPr>
          <w:noProof/>
          <w:sz w:val="22"/>
        </w:rPr>
        <w:t>Table 8.1: Annex 3 of CITES Resolution Conf 12.7 - Overview about stocks shared by range States and respective species</w:t>
      </w:r>
      <w:r w:rsidRPr="00765797">
        <w:rPr>
          <w:noProof/>
          <w:sz w:val="22"/>
        </w:rPr>
        <w:tab/>
      </w:r>
      <w:r w:rsidRPr="00765797">
        <w:rPr>
          <w:noProof/>
          <w:sz w:val="22"/>
        </w:rPr>
        <w:fldChar w:fldCharType="begin"/>
      </w:r>
      <w:r w:rsidRPr="00765797">
        <w:rPr>
          <w:noProof/>
          <w:sz w:val="22"/>
        </w:rPr>
        <w:instrText xml:space="preserve"> PAGEREF _Toc453224288 \h </w:instrText>
      </w:r>
      <w:r w:rsidRPr="00765797">
        <w:rPr>
          <w:noProof/>
          <w:sz w:val="22"/>
        </w:rPr>
      </w:r>
      <w:r w:rsidRPr="00765797">
        <w:rPr>
          <w:noProof/>
          <w:sz w:val="22"/>
        </w:rPr>
        <w:fldChar w:fldCharType="separate"/>
      </w:r>
      <w:r w:rsidRPr="00765797">
        <w:rPr>
          <w:noProof/>
          <w:sz w:val="22"/>
        </w:rPr>
        <w:t>177</w:t>
      </w:r>
      <w:r w:rsidRPr="00765797">
        <w:rPr>
          <w:noProof/>
          <w:sz w:val="22"/>
        </w:rPr>
        <w:fldChar w:fldCharType="end"/>
      </w:r>
    </w:p>
    <w:p w14:paraId="1B060133" w14:textId="77777777" w:rsidR="00765797" w:rsidRPr="00765797" w:rsidRDefault="00765797">
      <w:pPr>
        <w:pStyle w:val="TableofFigures"/>
        <w:tabs>
          <w:tab w:val="right" w:leader="dot" w:pos="9016"/>
        </w:tabs>
        <w:rPr>
          <w:rFonts w:asciiTheme="minorHAnsi" w:hAnsiTheme="minorHAnsi"/>
          <w:noProof/>
          <w:sz w:val="22"/>
          <w:lang w:eastAsia="ja-JP"/>
        </w:rPr>
      </w:pPr>
      <w:r w:rsidRPr="00765797">
        <w:rPr>
          <w:noProof/>
          <w:sz w:val="22"/>
        </w:rPr>
        <w:t>Table 8.2: The proposed changes to Annex 3 of CITES Resolution 12.7 put forward by the Russian Federation at CITES CoP17</w:t>
      </w:r>
      <w:r w:rsidRPr="00765797">
        <w:rPr>
          <w:noProof/>
          <w:sz w:val="22"/>
        </w:rPr>
        <w:tab/>
      </w:r>
      <w:r w:rsidRPr="00765797">
        <w:rPr>
          <w:noProof/>
          <w:sz w:val="22"/>
        </w:rPr>
        <w:fldChar w:fldCharType="begin"/>
      </w:r>
      <w:r w:rsidRPr="00765797">
        <w:rPr>
          <w:noProof/>
          <w:sz w:val="22"/>
        </w:rPr>
        <w:instrText xml:space="preserve"> PAGEREF _Toc453224289 \h </w:instrText>
      </w:r>
      <w:r w:rsidRPr="00765797">
        <w:rPr>
          <w:noProof/>
          <w:sz w:val="22"/>
        </w:rPr>
      </w:r>
      <w:r w:rsidRPr="00765797">
        <w:rPr>
          <w:noProof/>
          <w:sz w:val="22"/>
        </w:rPr>
        <w:fldChar w:fldCharType="separate"/>
      </w:r>
      <w:r w:rsidRPr="00765797">
        <w:rPr>
          <w:noProof/>
          <w:sz w:val="22"/>
        </w:rPr>
        <w:t>178</w:t>
      </w:r>
      <w:r w:rsidRPr="00765797">
        <w:rPr>
          <w:noProof/>
          <w:sz w:val="22"/>
        </w:rPr>
        <w:fldChar w:fldCharType="end"/>
      </w:r>
    </w:p>
    <w:p w14:paraId="39615773" w14:textId="52CDE981" w:rsidR="001D2FB0" w:rsidRDefault="00324502" w:rsidP="00EE6F36">
      <w:r w:rsidRPr="00765797">
        <w:rPr>
          <w:sz w:val="22"/>
        </w:rPr>
        <w:fldChar w:fldCharType="end"/>
      </w:r>
    </w:p>
    <w:p w14:paraId="4D2B9D57" w14:textId="0571ECFB" w:rsidR="00324502" w:rsidRDefault="00633BEF" w:rsidP="00633BEF">
      <w:pPr>
        <w:pStyle w:val="Heading3"/>
      </w:pPr>
      <w:bookmarkStart w:id="6" w:name="_Toc453224180"/>
      <w:r>
        <w:lastRenderedPageBreak/>
        <w:t>List of Acronyms</w:t>
      </w:r>
      <w:bookmarkEnd w:id="6"/>
      <w:r>
        <w:t xml:space="preserve"> </w:t>
      </w:r>
    </w:p>
    <w:p w14:paraId="7E9D181F" w14:textId="77777777" w:rsidR="00633BEF" w:rsidRPr="004D76DC" w:rsidRDefault="00633BEF" w:rsidP="00633BEF">
      <w:pPr>
        <w:rPr>
          <w:rFonts w:cs="Times New Roman"/>
          <w:sz w:val="22"/>
        </w:rPr>
      </w:pPr>
    </w:p>
    <w:p w14:paraId="155BA7CA" w14:textId="77777777" w:rsidR="00A10BF2" w:rsidRDefault="00A10BF2" w:rsidP="00A10BF2">
      <w:pPr>
        <w:rPr>
          <w:rFonts w:eastAsia="Times New Roman" w:cs="Times New Roman"/>
          <w:sz w:val="20"/>
          <w:szCs w:val="20"/>
          <w:lang w:eastAsia="en-US"/>
        </w:rPr>
      </w:pPr>
      <w:r>
        <w:rPr>
          <w:rFonts w:cs="Times New Roman"/>
          <w:sz w:val="22"/>
        </w:rPr>
        <w:t>ANPA</w:t>
      </w:r>
      <w:r>
        <w:rPr>
          <w:rFonts w:cs="Times New Roman"/>
          <w:sz w:val="22"/>
        </w:rPr>
        <w:tab/>
      </w:r>
      <w:r>
        <w:rPr>
          <w:rFonts w:cs="Times New Roman"/>
          <w:sz w:val="22"/>
        </w:rPr>
        <w:tab/>
      </w:r>
      <w:r w:rsidRPr="00A10BF2">
        <w:rPr>
          <w:rFonts w:eastAsia="Times New Roman" w:cs="Times New Roman"/>
          <w:sz w:val="22"/>
          <w:shd w:val="clear" w:color="auto" w:fill="FFFFFF"/>
          <w:lang w:eastAsia="en-US"/>
        </w:rPr>
        <w:t>Agenţia Naţională pentru Pescuit şi Acvacultură</w:t>
      </w:r>
      <w:r>
        <w:rPr>
          <w:rFonts w:eastAsia="Times New Roman" w:cs="Times New Roman"/>
          <w:sz w:val="20"/>
          <w:szCs w:val="20"/>
          <w:lang w:eastAsia="en-US"/>
        </w:rPr>
        <w:t xml:space="preserve"> </w:t>
      </w:r>
    </w:p>
    <w:p w14:paraId="7DD2B04B" w14:textId="3F22DA73" w:rsidR="00A10BF2" w:rsidRPr="00A10BF2" w:rsidRDefault="00A10BF2" w:rsidP="00A10BF2">
      <w:pPr>
        <w:ind w:left="720" w:firstLine="720"/>
        <w:rPr>
          <w:rFonts w:eastAsia="Times New Roman" w:cs="Times New Roman"/>
          <w:sz w:val="20"/>
          <w:szCs w:val="20"/>
          <w:lang w:eastAsia="en-US"/>
        </w:rPr>
      </w:pPr>
      <w:r>
        <w:rPr>
          <w:rFonts w:eastAsia="Times New Roman" w:cs="Times New Roman"/>
          <w:sz w:val="20"/>
          <w:szCs w:val="20"/>
          <w:lang w:eastAsia="en-US"/>
        </w:rPr>
        <w:t>(</w:t>
      </w:r>
      <w:r>
        <w:rPr>
          <w:rFonts w:cs="Times New Roman"/>
          <w:sz w:val="22"/>
        </w:rPr>
        <w:t>Romanian National Agency for Fisheries and Aquaculture</w:t>
      </w:r>
      <w:r w:rsidR="0062230A">
        <w:rPr>
          <w:rFonts w:cs="Times New Roman"/>
          <w:sz w:val="22"/>
        </w:rPr>
        <w:t xml:space="preserve"> – also see NAFA</w:t>
      </w:r>
      <w:r>
        <w:rPr>
          <w:rFonts w:cs="Times New Roman"/>
          <w:sz w:val="22"/>
        </w:rPr>
        <w:t>)</w:t>
      </w:r>
    </w:p>
    <w:p w14:paraId="740CA0B3" w14:textId="382A96B5" w:rsidR="005A029A" w:rsidRDefault="005A029A" w:rsidP="00633BEF">
      <w:pPr>
        <w:rPr>
          <w:rFonts w:cs="Times New Roman"/>
          <w:sz w:val="22"/>
        </w:rPr>
      </w:pPr>
      <w:r>
        <w:rPr>
          <w:rFonts w:cs="Times New Roman"/>
          <w:sz w:val="22"/>
        </w:rPr>
        <w:t>APHA</w:t>
      </w:r>
      <w:r>
        <w:rPr>
          <w:rFonts w:cs="Times New Roman"/>
          <w:sz w:val="22"/>
        </w:rPr>
        <w:tab/>
      </w:r>
      <w:r>
        <w:rPr>
          <w:rFonts w:cs="Times New Roman"/>
          <w:sz w:val="22"/>
        </w:rPr>
        <w:tab/>
        <w:t>Animal Plant Health Agency, UK Government executive agency</w:t>
      </w:r>
    </w:p>
    <w:p w14:paraId="3CEE467A" w14:textId="1C128B4B" w:rsidR="006F5932" w:rsidRDefault="006F5932" w:rsidP="00633BEF">
      <w:pPr>
        <w:rPr>
          <w:rFonts w:cs="Times New Roman"/>
          <w:sz w:val="22"/>
        </w:rPr>
      </w:pPr>
      <w:r>
        <w:rPr>
          <w:rFonts w:cs="Times New Roman"/>
          <w:sz w:val="22"/>
        </w:rPr>
        <w:t xml:space="preserve">BFN </w:t>
      </w:r>
      <w:r>
        <w:rPr>
          <w:rFonts w:cs="Times New Roman"/>
          <w:sz w:val="22"/>
        </w:rPr>
        <w:tab/>
      </w:r>
      <w:r>
        <w:rPr>
          <w:rFonts w:cs="Times New Roman"/>
          <w:sz w:val="22"/>
        </w:rPr>
        <w:tab/>
        <w:t xml:space="preserve">German Federal Agency for Nature Conservation </w:t>
      </w:r>
    </w:p>
    <w:p w14:paraId="4BACFDE7" w14:textId="46955A9D" w:rsidR="00633BEF" w:rsidRPr="004D76DC" w:rsidRDefault="00633BEF" w:rsidP="00633BEF">
      <w:pPr>
        <w:rPr>
          <w:rFonts w:cs="Times New Roman"/>
          <w:sz w:val="22"/>
        </w:rPr>
      </w:pPr>
      <w:r w:rsidRPr="004D76DC">
        <w:rPr>
          <w:rFonts w:cs="Times New Roman"/>
          <w:sz w:val="22"/>
        </w:rPr>
        <w:t xml:space="preserve">CDA </w:t>
      </w:r>
      <w:r w:rsidRPr="004D76DC">
        <w:rPr>
          <w:rFonts w:cs="Times New Roman"/>
          <w:sz w:val="22"/>
        </w:rPr>
        <w:tab/>
      </w:r>
      <w:r w:rsidRPr="004D76DC">
        <w:rPr>
          <w:rFonts w:cs="Times New Roman"/>
          <w:sz w:val="22"/>
        </w:rPr>
        <w:tab/>
        <w:t xml:space="preserve">Critical Discourse Analysis </w:t>
      </w:r>
    </w:p>
    <w:p w14:paraId="6BB34D47" w14:textId="5B49C9DB" w:rsidR="00633BEF" w:rsidRDefault="00633BEF" w:rsidP="00633BEF">
      <w:pPr>
        <w:rPr>
          <w:rFonts w:cs="Times New Roman"/>
          <w:sz w:val="22"/>
        </w:rPr>
      </w:pPr>
      <w:r w:rsidRPr="004D76DC">
        <w:rPr>
          <w:rFonts w:cs="Times New Roman"/>
          <w:sz w:val="22"/>
        </w:rPr>
        <w:t>CITES</w:t>
      </w:r>
      <w:r w:rsidRPr="004D76DC">
        <w:rPr>
          <w:rFonts w:cs="Times New Roman"/>
          <w:sz w:val="22"/>
        </w:rPr>
        <w:tab/>
      </w:r>
      <w:r w:rsidRPr="004D76DC">
        <w:rPr>
          <w:rFonts w:cs="Times New Roman"/>
          <w:sz w:val="22"/>
        </w:rPr>
        <w:tab/>
      </w:r>
      <w:r w:rsidR="004D76DC" w:rsidRPr="004D76DC">
        <w:rPr>
          <w:rFonts w:eastAsia="Times New Roman" w:cs="Times New Roman"/>
          <w:sz w:val="22"/>
          <w:shd w:val="clear" w:color="auto" w:fill="FFFFFF"/>
          <w:lang w:eastAsia="en-US"/>
        </w:rPr>
        <w:t>Convention on International Trade in Endangered Species of Wild Fauna and Flora</w:t>
      </w:r>
      <w:r w:rsidRPr="004D76DC">
        <w:rPr>
          <w:rFonts w:cs="Times New Roman"/>
          <w:sz w:val="22"/>
        </w:rPr>
        <w:t xml:space="preserve"> </w:t>
      </w:r>
    </w:p>
    <w:p w14:paraId="09BAF9AD" w14:textId="2B9A5F43" w:rsidR="0025063D" w:rsidRDefault="0025063D" w:rsidP="00633BEF">
      <w:pPr>
        <w:rPr>
          <w:rFonts w:cs="Times New Roman"/>
          <w:sz w:val="22"/>
        </w:rPr>
      </w:pPr>
      <w:r>
        <w:rPr>
          <w:rFonts w:cs="Times New Roman"/>
          <w:sz w:val="22"/>
        </w:rPr>
        <w:t>CITES CoP</w:t>
      </w:r>
      <w:r>
        <w:rPr>
          <w:rFonts w:cs="Times New Roman"/>
          <w:sz w:val="22"/>
        </w:rPr>
        <w:tab/>
        <w:t>CITES Conference of the Parties</w:t>
      </w:r>
    </w:p>
    <w:p w14:paraId="1BFC8ADA" w14:textId="4267A011" w:rsidR="00F82746" w:rsidRDefault="00F82746" w:rsidP="00633BEF">
      <w:pPr>
        <w:rPr>
          <w:rFonts w:cs="Times New Roman"/>
          <w:sz w:val="22"/>
        </w:rPr>
      </w:pPr>
      <w:r>
        <w:rPr>
          <w:rFonts w:cs="Times New Roman"/>
          <w:sz w:val="22"/>
        </w:rPr>
        <w:t>DDBRA</w:t>
      </w:r>
      <w:r>
        <w:rPr>
          <w:rFonts w:cs="Times New Roman"/>
          <w:sz w:val="22"/>
        </w:rPr>
        <w:tab/>
        <w:t xml:space="preserve">Danube Delta Biosphere Reserve Authority </w:t>
      </w:r>
    </w:p>
    <w:p w14:paraId="2819EE9A" w14:textId="18206ADD" w:rsidR="0054691E" w:rsidRPr="004D76DC" w:rsidRDefault="0054691E" w:rsidP="00633BEF">
      <w:pPr>
        <w:rPr>
          <w:rFonts w:eastAsia="Times New Roman" w:cs="Times New Roman"/>
          <w:sz w:val="22"/>
          <w:lang w:eastAsia="en-US"/>
        </w:rPr>
      </w:pPr>
      <w:r>
        <w:rPr>
          <w:rFonts w:cs="Times New Roman"/>
          <w:sz w:val="22"/>
        </w:rPr>
        <w:t xml:space="preserve">DG DEVCO </w:t>
      </w:r>
      <w:r>
        <w:rPr>
          <w:rFonts w:cs="Times New Roman"/>
          <w:sz w:val="22"/>
        </w:rPr>
        <w:tab/>
        <w:t>Directorate General for International Cooperation and Development</w:t>
      </w:r>
      <w:r w:rsidR="00B91A3C">
        <w:rPr>
          <w:rFonts w:cs="Times New Roman"/>
          <w:sz w:val="22"/>
        </w:rPr>
        <w:t>, Eur. Comm.</w:t>
      </w:r>
    </w:p>
    <w:p w14:paraId="1EEA173B" w14:textId="198C3F6D" w:rsidR="004D76DC" w:rsidRPr="004D76DC" w:rsidRDefault="004D76DC" w:rsidP="00633BEF">
      <w:pPr>
        <w:rPr>
          <w:rFonts w:cs="Times New Roman"/>
          <w:sz w:val="22"/>
        </w:rPr>
      </w:pPr>
      <w:r w:rsidRPr="004D76DC">
        <w:rPr>
          <w:rFonts w:cs="Times New Roman"/>
          <w:sz w:val="22"/>
        </w:rPr>
        <w:t>DG ENV</w:t>
      </w:r>
      <w:r w:rsidRPr="004D76DC">
        <w:rPr>
          <w:rFonts w:cs="Times New Roman"/>
          <w:sz w:val="22"/>
        </w:rPr>
        <w:tab/>
        <w:t>Directorate General for the Environment, European Commission</w:t>
      </w:r>
    </w:p>
    <w:p w14:paraId="158A0695" w14:textId="3918D61A" w:rsidR="004D76DC" w:rsidRDefault="004D76DC" w:rsidP="00633BEF">
      <w:pPr>
        <w:rPr>
          <w:rFonts w:cs="Times New Roman"/>
          <w:sz w:val="22"/>
        </w:rPr>
      </w:pPr>
      <w:r w:rsidRPr="004D76DC">
        <w:rPr>
          <w:rFonts w:cs="Times New Roman"/>
          <w:sz w:val="22"/>
        </w:rPr>
        <w:t>DG MARE</w:t>
      </w:r>
      <w:r w:rsidRPr="004D76DC">
        <w:rPr>
          <w:rFonts w:cs="Times New Roman"/>
          <w:sz w:val="22"/>
        </w:rPr>
        <w:tab/>
        <w:t>Directorate General for Maritime Affairs and Fisheries, European Commission</w:t>
      </w:r>
    </w:p>
    <w:p w14:paraId="282C3D0F" w14:textId="442F2285" w:rsidR="004078F9" w:rsidRDefault="004078F9" w:rsidP="00633BEF">
      <w:pPr>
        <w:rPr>
          <w:rFonts w:cs="Times New Roman"/>
          <w:sz w:val="22"/>
        </w:rPr>
      </w:pPr>
      <w:r>
        <w:rPr>
          <w:rFonts w:cs="Times New Roman"/>
          <w:sz w:val="22"/>
        </w:rPr>
        <w:t>DG MOVE</w:t>
      </w:r>
      <w:r>
        <w:rPr>
          <w:rFonts w:cs="Times New Roman"/>
          <w:sz w:val="22"/>
        </w:rPr>
        <w:tab/>
        <w:t xml:space="preserve">Directorate General for Mobility and Transport, European Commission </w:t>
      </w:r>
    </w:p>
    <w:p w14:paraId="08DA7FE9" w14:textId="2EB07122" w:rsidR="0054691E" w:rsidRDefault="0054691E" w:rsidP="00633BEF">
      <w:pPr>
        <w:rPr>
          <w:rFonts w:cs="Times New Roman"/>
          <w:sz w:val="22"/>
        </w:rPr>
      </w:pPr>
      <w:r>
        <w:rPr>
          <w:rFonts w:cs="Times New Roman"/>
          <w:sz w:val="22"/>
        </w:rPr>
        <w:t>DG REGIO</w:t>
      </w:r>
      <w:r>
        <w:rPr>
          <w:rFonts w:cs="Times New Roman"/>
          <w:sz w:val="22"/>
        </w:rPr>
        <w:tab/>
      </w:r>
      <w:r w:rsidR="00B91A3C">
        <w:rPr>
          <w:rFonts w:cs="Times New Roman"/>
          <w:sz w:val="22"/>
        </w:rPr>
        <w:t xml:space="preserve">Directorate General for Regional and Urban Policy, European Commission </w:t>
      </w:r>
    </w:p>
    <w:p w14:paraId="5F4C1963" w14:textId="0576D957" w:rsidR="004078F9" w:rsidRDefault="004078F9" w:rsidP="00633BEF">
      <w:pPr>
        <w:rPr>
          <w:rFonts w:cs="Times New Roman"/>
          <w:sz w:val="22"/>
        </w:rPr>
      </w:pPr>
      <w:r>
        <w:rPr>
          <w:rFonts w:cs="Times New Roman"/>
          <w:sz w:val="22"/>
        </w:rPr>
        <w:t>DG TRADE</w:t>
      </w:r>
      <w:r>
        <w:rPr>
          <w:rFonts w:cs="Times New Roman"/>
          <w:sz w:val="22"/>
        </w:rPr>
        <w:tab/>
        <w:t xml:space="preserve">Directorate General for Trade, European Commission </w:t>
      </w:r>
    </w:p>
    <w:p w14:paraId="0675DB03" w14:textId="725FB51D" w:rsidR="00F82746" w:rsidRDefault="00F82746" w:rsidP="00633BEF">
      <w:pPr>
        <w:rPr>
          <w:rFonts w:cs="Times New Roman"/>
          <w:sz w:val="22"/>
        </w:rPr>
      </w:pPr>
      <w:r>
        <w:rPr>
          <w:rFonts w:cs="Times New Roman"/>
          <w:sz w:val="22"/>
        </w:rPr>
        <w:t>DSTF</w:t>
      </w:r>
      <w:r>
        <w:rPr>
          <w:rFonts w:cs="Times New Roman"/>
          <w:sz w:val="22"/>
        </w:rPr>
        <w:tab/>
      </w:r>
      <w:r>
        <w:rPr>
          <w:rFonts w:cs="Times New Roman"/>
          <w:sz w:val="22"/>
        </w:rPr>
        <w:tab/>
        <w:t>Danube Sturgeon Task Force</w:t>
      </w:r>
    </w:p>
    <w:p w14:paraId="2F99218B" w14:textId="20A890BD" w:rsidR="003C435B" w:rsidRPr="004D76DC" w:rsidRDefault="003C435B" w:rsidP="00633BEF">
      <w:pPr>
        <w:rPr>
          <w:rFonts w:cs="Times New Roman"/>
          <w:sz w:val="22"/>
        </w:rPr>
      </w:pPr>
      <w:r>
        <w:rPr>
          <w:rFonts w:cs="Times New Roman"/>
          <w:sz w:val="22"/>
        </w:rPr>
        <w:t>EEAS</w:t>
      </w:r>
      <w:r>
        <w:rPr>
          <w:rFonts w:cs="Times New Roman"/>
          <w:sz w:val="22"/>
        </w:rPr>
        <w:tab/>
      </w:r>
      <w:r>
        <w:rPr>
          <w:rFonts w:cs="Times New Roman"/>
          <w:sz w:val="22"/>
        </w:rPr>
        <w:tab/>
        <w:t>European External Action Service</w:t>
      </w:r>
    </w:p>
    <w:p w14:paraId="3BDDBD6F" w14:textId="44B927C9" w:rsidR="00633BEF" w:rsidRDefault="00633BEF" w:rsidP="00633BEF">
      <w:pPr>
        <w:rPr>
          <w:rFonts w:cs="Times New Roman"/>
          <w:sz w:val="22"/>
        </w:rPr>
      </w:pPr>
      <w:r w:rsidRPr="004D76DC">
        <w:rPr>
          <w:rFonts w:cs="Times New Roman"/>
          <w:sz w:val="22"/>
        </w:rPr>
        <w:t>EU</w:t>
      </w:r>
      <w:r w:rsidRPr="004D76DC">
        <w:rPr>
          <w:rFonts w:cs="Times New Roman"/>
          <w:sz w:val="22"/>
        </w:rPr>
        <w:tab/>
      </w:r>
      <w:r w:rsidRPr="004D76DC">
        <w:rPr>
          <w:rFonts w:cs="Times New Roman"/>
          <w:sz w:val="22"/>
        </w:rPr>
        <w:tab/>
        <w:t xml:space="preserve">European Union </w:t>
      </w:r>
    </w:p>
    <w:p w14:paraId="5CB40E1F" w14:textId="028EAD62" w:rsidR="00F82746" w:rsidRPr="004D76DC" w:rsidRDefault="00F82746" w:rsidP="00633BEF">
      <w:pPr>
        <w:rPr>
          <w:rFonts w:cs="Times New Roman"/>
          <w:sz w:val="22"/>
        </w:rPr>
      </w:pPr>
      <w:r>
        <w:rPr>
          <w:rFonts w:cs="Times New Roman"/>
          <w:sz w:val="22"/>
        </w:rPr>
        <w:t>EUSDR</w:t>
      </w:r>
      <w:r>
        <w:rPr>
          <w:rFonts w:cs="Times New Roman"/>
          <w:sz w:val="22"/>
        </w:rPr>
        <w:tab/>
        <w:t>EU Strategy for the Danube Region</w:t>
      </w:r>
    </w:p>
    <w:p w14:paraId="60ACA21E" w14:textId="5527B0D4" w:rsidR="0025063D" w:rsidRDefault="00633BEF" w:rsidP="00633BEF">
      <w:pPr>
        <w:rPr>
          <w:rFonts w:cs="Times New Roman"/>
          <w:sz w:val="22"/>
        </w:rPr>
      </w:pPr>
      <w:r w:rsidRPr="004D76DC">
        <w:rPr>
          <w:rFonts w:cs="Times New Roman"/>
          <w:sz w:val="22"/>
        </w:rPr>
        <w:t>EU WTR</w:t>
      </w:r>
      <w:r w:rsidRPr="004D76DC">
        <w:rPr>
          <w:rFonts w:cs="Times New Roman"/>
          <w:sz w:val="22"/>
        </w:rPr>
        <w:tab/>
        <w:t>EU Wildlife Trade Regulations</w:t>
      </w:r>
      <w:r w:rsidR="0025063D">
        <w:rPr>
          <w:rFonts w:cs="Times New Roman"/>
          <w:sz w:val="22"/>
        </w:rPr>
        <w:tab/>
      </w:r>
    </w:p>
    <w:p w14:paraId="7DE4D7DE" w14:textId="4F3A6B64" w:rsidR="003F5B83" w:rsidRDefault="003F5B83" w:rsidP="00633BEF">
      <w:pPr>
        <w:rPr>
          <w:rFonts w:cs="Times New Roman"/>
          <w:sz w:val="22"/>
        </w:rPr>
      </w:pPr>
      <w:r>
        <w:rPr>
          <w:rFonts w:cs="Times New Roman"/>
          <w:sz w:val="22"/>
        </w:rPr>
        <w:t>HEP</w:t>
      </w:r>
      <w:r>
        <w:rPr>
          <w:rFonts w:cs="Times New Roman"/>
          <w:sz w:val="22"/>
        </w:rPr>
        <w:tab/>
      </w:r>
      <w:r>
        <w:rPr>
          <w:rFonts w:cs="Times New Roman"/>
          <w:sz w:val="22"/>
        </w:rPr>
        <w:tab/>
        <w:t xml:space="preserve">Hydro-electric power </w:t>
      </w:r>
    </w:p>
    <w:p w14:paraId="350B11E8" w14:textId="04BAC1AF" w:rsidR="004A3730" w:rsidRDefault="004A3730" w:rsidP="00633BEF">
      <w:pPr>
        <w:rPr>
          <w:rFonts w:cs="Times New Roman"/>
          <w:sz w:val="22"/>
        </w:rPr>
      </w:pPr>
      <w:r>
        <w:rPr>
          <w:rFonts w:cs="Times New Roman"/>
          <w:sz w:val="22"/>
        </w:rPr>
        <w:t>ICIA</w:t>
      </w:r>
      <w:r>
        <w:rPr>
          <w:rFonts w:cs="Times New Roman"/>
          <w:sz w:val="22"/>
        </w:rPr>
        <w:tab/>
      </w:r>
      <w:r>
        <w:rPr>
          <w:rFonts w:cs="Times New Roman"/>
          <w:sz w:val="22"/>
        </w:rPr>
        <w:tab/>
        <w:t xml:space="preserve">International Caviar Importers Association </w:t>
      </w:r>
    </w:p>
    <w:p w14:paraId="369E2E37" w14:textId="10760DCF" w:rsidR="00F82746" w:rsidRPr="004D76DC" w:rsidRDefault="00F82746" w:rsidP="00633BEF">
      <w:pPr>
        <w:rPr>
          <w:rFonts w:cs="Times New Roman"/>
          <w:sz w:val="22"/>
        </w:rPr>
      </w:pPr>
      <w:r>
        <w:rPr>
          <w:rFonts w:cs="Times New Roman"/>
          <w:sz w:val="22"/>
        </w:rPr>
        <w:t>ICPDR</w:t>
      </w:r>
      <w:r>
        <w:rPr>
          <w:rFonts w:cs="Times New Roman"/>
          <w:sz w:val="22"/>
        </w:rPr>
        <w:tab/>
      </w:r>
      <w:r>
        <w:rPr>
          <w:rFonts w:cs="Times New Roman"/>
          <w:sz w:val="22"/>
        </w:rPr>
        <w:tab/>
        <w:t xml:space="preserve">International Commission for the Protection of the Danube River </w:t>
      </w:r>
    </w:p>
    <w:p w14:paraId="0CB3F23A" w14:textId="084BC0CE" w:rsidR="009F134C" w:rsidRPr="004D76DC" w:rsidRDefault="009F134C" w:rsidP="00633BEF">
      <w:pPr>
        <w:rPr>
          <w:rFonts w:cs="Times New Roman"/>
          <w:sz w:val="22"/>
        </w:rPr>
      </w:pPr>
      <w:r w:rsidRPr="004D76DC">
        <w:rPr>
          <w:rFonts w:cs="Times New Roman"/>
          <w:sz w:val="22"/>
        </w:rPr>
        <w:t>ISS8</w:t>
      </w:r>
      <w:r w:rsidRPr="004D76DC">
        <w:rPr>
          <w:rFonts w:cs="Times New Roman"/>
          <w:sz w:val="22"/>
        </w:rPr>
        <w:tab/>
      </w:r>
      <w:r w:rsidRPr="004D76DC">
        <w:rPr>
          <w:rFonts w:cs="Times New Roman"/>
          <w:sz w:val="22"/>
        </w:rPr>
        <w:tab/>
        <w:t>8</w:t>
      </w:r>
      <w:r w:rsidRPr="004D76DC">
        <w:rPr>
          <w:rFonts w:cs="Times New Roman"/>
          <w:sz w:val="22"/>
          <w:vertAlign w:val="superscript"/>
        </w:rPr>
        <w:t>th</w:t>
      </w:r>
      <w:r w:rsidRPr="004D76DC">
        <w:rPr>
          <w:rFonts w:cs="Times New Roman"/>
          <w:sz w:val="22"/>
        </w:rPr>
        <w:t xml:space="preserve"> I</w:t>
      </w:r>
      <w:r w:rsidR="005B292F">
        <w:rPr>
          <w:rFonts w:cs="Times New Roman"/>
          <w:sz w:val="22"/>
        </w:rPr>
        <w:t>nternational Sturgeon Symposium</w:t>
      </w:r>
    </w:p>
    <w:p w14:paraId="0E382968" w14:textId="5FE0BC84" w:rsidR="00633BEF" w:rsidRDefault="00633BEF" w:rsidP="00633BEF">
      <w:pPr>
        <w:rPr>
          <w:rFonts w:cs="Times New Roman"/>
          <w:sz w:val="22"/>
        </w:rPr>
      </w:pPr>
      <w:r w:rsidRPr="004D76DC">
        <w:rPr>
          <w:rFonts w:cs="Times New Roman"/>
          <w:sz w:val="22"/>
        </w:rPr>
        <w:t>IUCN</w:t>
      </w:r>
      <w:r w:rsidRPr="004D76DC">
        <w:rPr>
          <w:rFonts w:cs="Times New Roman"/>
          <w:sz w:val="22"/>
        </w:rPr>
        <w:tab/>
      </w:r>
      <w:r w:rsidRPr="004D76DC">
        <w:rPr>
          <w:rFonts w:cs="Times New Roman"/>
          <w:sz w:val="22"/>
        </w:rPr>
        <w:tab/>
        <w:t xml:space="preserve">International Union for Conservation of Nature </w:t>
      </w:r>
    </w:p>
    <w:p w14:paraId="434E86A5" w14:textId="36903E2F" w:rsidR="003A4514" w:rsidRDefault="003A4514" w:rsidP="00633BEF">
      <w:pPr>
        <w:rPr>
          <w:rFonts w:cs="Times New Roman"/>
          <w:sz w:val="22"/>
        </w:rPr>
      </w:pPr>
      <w:r>
        <w:rPr>
          <w:rFonts w:cs="Times New Roman"/>
          <w:sz w:val="22"/>
        </w:rPr>
        <w:lastRenderedPageBreak/>
        <w:t>IWT</w:t>
      </w:r>
      <w:r>
        <w:rPr>
          <w:rFonts w:cs="Times New Roman"/>
          <w:sz w:val="22"/>
        </w:rPr>
        <w:tab/>
      </w:r>
      <w:r>
        <w:rPr>
          <w:rFonts w:cs="Times New Roman"/>
          <w:sz w:val="22"/>
        </w:rPr>
        <w:tab/>
        <w:t>Illegal Wildlife Trade</w:t>
      </w:r>
    </w:p>
    <w:p w14:paraId="1721B7F7" w14:textId="3DA42C36" w:rsidR="00B91A3C" w:rsidRDefault="00B91A3C" w:rsidP="00633BEF">
      <w:pPr>
        <w:rPr>
          <w:rFonts w:eastAsia="Times New Roman" w:cs="Times New Roman"/>
          <w:sz w:val="22"/>
          <w:shd w:val="clear" w:color="auto" w:fill="FFFFFF"/>
          <w:lang w:eastAsia="en-US"/>
        </w:rPr>
      </w:pPr>
      <w:r>
        <w:rPr>
          <w:rFonts w:cs="Times New Roman"/>
          <w:sz w:val="22"/>
        </w:rPr>
        <w:t>JASPERS</w:t>
      </w:r>
      <w:r>
        <w:rPr>
          <w:rFonts w:cs="Times New Roman"/>
          <w:sz w:val="22"/>
        </w:rPr>
        <w:tab/>
      </w:r>
      <w:r w:rsidRPr="00B91A3C">
        <w:rPr>
          <w:rFonts w:eastAsia="Times New Roman" w:cs="Times New Roman"/>
          <w:sz w:val="22"/>
          <w:shd w:val="clear" w:color="auto" w:fill="FFFFFF"/>
          <w:lang w:eastAsia="en-US"/>
        </w:rPr>
        <w:t>Joint Assistance to Support Projects in </w:t>
      </w:r>
      <w:r w:rsidRPr="00B91A3C">
        <w:rPr>
          <w:rFonts w:eastAsia="Times New Roman" w:cs="Times New Roman"/>
          <w:bCs/>
          <w:sz w:val="22"/>
          <w:lang w:eastAsia="en-US"/>
        </w:rPr>
        <w:t>European</w:t>
      </w:r>
      <w:r w:rsidRPr="00B91A3C">
        <w:rPr>
          <w:rFonts w:eastAsia="Times New Roman" w:cs="Times New Roman"/>
          <w:sz w:val="22"/>
          <w:shd w:val="clear" w:color="auto" w:fill="FFFFFF"/>
          <w:lang w:eastAsia="en-US"/>
        </w:rPr>
        <w:t> Regions</w:t>
      </w:r>
      <w:r>
        <w:rPr>
          <w:rFonts w:eastAsia="Times New Roman" w:cs="Times New Roman"/>
          <w:sz w:val="22"/>
          <w:shd w:val="clear" w:color="auto" w:fill="FFFFFF"/>
          <w:lang w:eastAsia="en-US"/>
        </w:rPr>
        <w:t>, European Investment Bank</w:t>
      </w:r>
    </w:p>
    <w:p w14:paraId="6F4E9829" w14:textId="35303F47" w:rsidR="0062230A" w:rsidRPr="00B91A3C" w:rsidRDefault="0062230A" w:rsidP="00633BEF">
      <w:pPr>
        <w:rPr>
          <w:rFonts w:eastAsia="Times New Roman" w:cs="Times New Roman"/>
          <w:sz w:val="20"/>
          <w:szCs w:val="20"/>
          <w:lang w:eastAsia="en-US"/>
        </w:rPr>
      </w:pPr>
      <w:r>
        <w:rPr>
          <w:rFonts w:eastAsia="Times New Roman" w:cs="Times New Roman"/>
          <w:sz w:val="22"/>
          <w:shd w:val="clear" w:color="auto" w:fill="FFFFFF"/>
          <w:lang w:eastAsia="en-US"/>
        </w:rPr>
        <w:t>NAFA</w:t>
      </w:r>
      <w:r>
        <w:rPr>
          <w:rFonts w:eastAsia="Times New Roman" w:cs="Times New Roman"/>
          <w:sz w:val="22"/>
          <w:shd w:val="clear" w:color="auto" w:fill="FFFFFF"/>
          <w:lang w:eastAsia="en-US"/>
        </w:rPr>
        <w:tab/>
      </w:r>
      <w:r>
        <w:rPr>
          <w:rFonts w:eastAsia="Times New Roman" w:cs="Times New Roman"/>
          <w:sz w:val="22"/>
          <w:shd w:val="clear" w:color="auto" w:fill="FFFFFF"/>
          <w:lang w:eastAsia="en-US"/>
        </w:rPr>
        <w:tab/>
        <w:t>National Agency for Fisheries and Aquaculture, Romania (also see ANPA)</w:t>
      </w:r>
    </w:p>
    <w:p w14:paraId="41F0FED1" w14:textId="3BA305E5" w:rsidR="00B91A3C" w:rsidRPr="004D76DC" w:rsidRDefault="00B91A3C" w:rsidP="00633BEF">
      <w:pPr>
        <w:rPr>
          <w:rFonts w:cs="Times New Roman"/>
          <w:sz w:val="22"/>
        </w:rPr>
      </w:pPr>
      <w:r>
        <w:rPr>
          <w:rFonts w:cs="Times New Roman"/>
          <w:sz w:val="22"/>
        </w:rPr>
        <w:t>NATO</w:t>
      </w:r>
      <w:r>
        <w:rPr>
          <w:rFonts w:cs="Times New Roman"/>
          <w:sz w:val="22"/>
        </w:rPr>
        <w:tab/>
      </w:r>
      <w:r>
        <w:rPr>
          <w:rFonts w:cs="Times New Roman"/>
          <w:sz w:val="22"/>
        </w:rPr>
        <w:tab/>
        <w:t xml:space="preserve">North Atlantic Treaty Organisation </w:t>
      </w:r>
    </w:p>
    <w:p w14:paraId="099056B6" w14:textId="5B12AC51" w:rsidR="00633BEF" w:rsidRPr="004D76DC" w:rsidRDefault="004D76DC" w:rsidP="00633BEF">
      <w:pPr>
        <w:rPr>
          <w:rFonts w:cs="Times New Roman"/>
          <w:sz w:val="22"/>
        </w:rPr>
      </w:pPr>
      <w:r>
        <w:rPr>
          <w:rFonts w:cs="Times New Roman"/>
          <w:sz w:val="22"/>
        </w:rPr>
        <w:t>NGO</w:t>
      </w:r>
      <w:r>
        <w:rPr>
          <w:rFonts w:cs="Times New Roman"/>
          <w:sz w:val="22"/>
        </w:rPr>
        <w:tab/>
      </w:r>
      <w:r>
        <w:rPr>
          <w:rFonts w:cs="Times New Roman"/>
          <w:sz w:val="22"/>
        </w:rPr>
        <w:tab/>
        <w:t>Non-</w:t>
      </w:r>
      <w:r w:rsidR="00633BEF" w:rsidRPr="004D76DC">
        <w:rPr>
          <w:rFonts w:cs="Times New Roman"/>
          <w:sz w:val="22"/>
        </w:rPr>
        <w:t>Governmental Organisation</w:t>
      </w:r>
    </w:p>
    <w:p w14:paraId="4742B0C8" w14:textId="38D1CD9F" w:rsidR="00633BEF" w:rsidRDefault="00633BEF" w:rsidP="00633BEF">
      <w:pPr>
        <w:rPr>
          <w:rFonts w:cs="Times New Roman"/>
          <w:sz w:val="22"/>
        </w:rPr>
      </w:pPr>
      <w:r w:rsidRPr="004D76DC">
        <w:rPr>
          <w:rFonts w:cs="Times New Roman"/>
          <w:sz w:val="22"/>
        </w:rPr>
        <w:t>NWCU</w:t>
      </w:r>
      <w:r w:rsidRPr="004D76DC">
        <w:rPr>
          <w:rFonts w:cs="Times New Roman"/>
          <w:sz w:val="22"/>
        </w:rPr>
        <w:tab/>
      </w:r>
      <w:r w:rsidR="004D76DC">
        <w:rPr>
          <w:rFonts w:cs="Times New Roman"/>
          <w:sz w:val="22"/>
        </w:rPr>
        <w:tab/>
      </w:r>
      <w:r w:rsidRPr="004D76DC">
        <w:rPr>
          <w:rFonts w:cs="Times New Roman"/>
          <w:sz w:val="22"/>
        </w:rPr>
        <w:t xml:space="preserve">National Wildlife Crime Unit (UK) </w:t>
      </w:r>
    </w:p>
    <w:p w14:paraId="79773DDE" w14:textId="6E8D5B57" w:rsidR="006231A5" w:rsidRDefault="006231A5" w:rsidP="00633BEF">
      <w:pPr>
        <w:rPr>
          <w:rFonts w:cs="Times New Roman"/>
          <w:sz w:val="22"/>
        </w:rPr>
      </w:pPr>
      <w:r>
        <w:rPr>
          <w:rFonts w:cs="Times New Roman"/>
          <w:sz w:val="22"/>
        </w:rPr>
        <w:t>SIRA</w:t>
      </w:r>
      <w:r>
        <w:rPr>
          <w:rFonts w:cs="Times New Roman"/>
          <w:sz w:val="22"/>
        </w:rPr>
        <w:tab/>
      </w:r>
      <w:r>
        <w:rPr>
          <w:rFonts w:cs="Times New Roman"/>
          <w:sz w:val="22"/>
        </w:rPr>
        <w:tab/>
        <w:t>Stable Isotope Ratio Analysis</w:t>
      </w:r>
    </w:p>
    <w:p w14:paraId="0DAC46F1" w14:textId="252A3E81" w:rsidR="0025063D" w:rsidRPr="004D76DC" w:rsidRDefault="0025063D" w:rsidP="00633BEF">
      <w:pPr>
        <w:rPr>
          <w:rFonts w:cs="Times New Roman"/>
          <w:sz w:val="22"/>
        </w:rPr>
      </w:pPr>
      <w:r>
        <w:rPr>
          <w:rFonts w:cs="Times New Roman"/>
          <w:sz w:val="22"/>
        </w:rPr>
        <w:t>TRAFFIC</w:t>
      </w:r>
      <w:r>
        <w:rPr>
          <w:rFonts w:cs="Times New Roman"/>
          <w:sz w:val="22"/>
        </w:rPr>
        <w:tab/>
        <w:t xml:space="preserve">The Wildlife Trade Monitoring Network </w:t>
      </w:r>
    </w:p>
    <w:p w14:paraId="63F15ED2" w14:textId="3DCF9247" w:rsidR="00633BEF" w:rsidRDefault="00633BEF" w:rsidP="00633BEF">
      <w:pPr>
        <w:rPr>
          <w:rFonts w:cs="Times New Roman"/>
          <w:sz w:val="22"/>
        </w:rPr>
      </w:pPr>
      <w:r w:rsidRPr="004D76DC">
        <w:rPr>
          <w:rFonts w:cs="Times New Roman"/>
          <w:sz w:val="22"/>
        </w:rPr>
        <w:t>UN</w:t>
      </w:r>
      <w:r w:rsidRPr="004D76DC">
        <w:rPr>
          <w:rFonts w:cs="Times New Roman"/>
          <w:sz w:val="22"/>
        </w:rPr>
        <w:tab/>
      </w:r>
      <w:r w:rsidRPr="004D76DC">
        <w:rPr>
          <w:rFonts w:cs="Times New Roman"/>
          <w:sz w:val="22"/>
        </w:rPr>
        <w:tab/>
        <w:t>United Nations</w:t>
      </w:r>
    </w:p>
    <w:p w14:paraId="7833AE97" w14:textId="2269CA30" w:rsidR="00B91A3C" w:rsidRDefault="00E16252" w:rsidP="00633BEF">
      <w:pPr>
        <w:rPr>
          <w:rFonts w:cs="Times New Roman"/>
          <w:sz w:val="22"/>
        </w:rPr>
      </w:pPr>
      <w:r>
        <w:rPr>
          <w:rFonts w:cs="Times New Roman"/>
          <w:sz w:val="22"/>
        </w:rPr>
        <w:t>UNCAC</w:t>
      </w:r>
      <w:r>
        <w:rPr>
          <w:rFonts w:cs="Times New Roman"/>
          <w:sz w:val="22"/>
        </w:rPr>
        <w:tab/>
        <w:t>United Nations</w:t>
      </w:r>
      <w:r w:rsidR="00B91A3C">
        <w:rPr>
          <w:rFonts w:cs="Times New Roman"/>
          <w:sz w:val="22"/>
        </w:rPr>
        <w:t xml:space="preserve"> Convention Against Corruption </w:t>
      </w:r>
    </w:p>
    <w:p w14:paraId="5F2EE2FC" w14:textId="7C86BEEB" w:rsidR="00B91A3C" w:rsidRDefault="00E16252" w:rsidP="00633BEF">
      <w:pPr>
        <w:rPr>
          <w:rFonts w:cs="Times New Roman"/>
          <w:sz w:val="22"/>
        </w:rPr>
      </w:pPr>
      <w:r>
        <w:rPr>
          <w:rFonts w:cs="Times New Roman"/>
          <w:sz w:val="22"/>
        </w:rPr>
        <w:t>UNEP-WCMC</w:t>
      </w:r>
      <w:r>
        <w:rPr>
          <w:rFonts w:cs="Times New Roman"/>
          <w:sz w:val="22"/>
        </w:rPr>
        <w:tab/>
        <w:t>United Nations</w:t>
      </w:r>
      <w:r w:rsidR="0025063D">
        <w:rPr>
          <w:rFonts w:cs="Times New Roman"/>
          <w:sz w:val="22"/>
        </w:rPr>
        <w:t xml:space="preserve"> Environment Programme World Conservation Monitoring Centre </w:t>
      </w:r>
    </w:p>
    <w:p w14:paraId="07E320F3" w14:textId="187CFFAC" w:rsidR="00E16252" w:rsidRPr="004D76DC" w:rsidRDefault="00E16252" w:rsidP="00633BEF">
      <w:pPr>
        <w:rPr>
          <w:rFonts w:cs="Times New Roman"/>
          <w:sz w:val="22"/>
        </w:rPr>
      </w:pPr>
      <w:r>
        <w:rPr>
          <w:rFonts w:cs="Times New Roman"/>
          <w:sz w:val="22"/>
        </w:rPr>
        <w:t>UNECE</w:t>
      </w:r>
      <w:r>
        <w:rPr>
          <w:rFonts w:cs="Times New Roman"/>
          <w:sz w:val="22"/>
        </w:rPr>
        <w:tab/>
        <w:t>United Nations Economic Commission for Europe</w:t>
      </w:r>
    </w:p>
    <w:p w14:paraId="6AC20EC0" w14:textId="736BC54F" w:rsidR="00633BEF" w:rsidRDefault="00E16252" w:rsidP="00633BEF">
      <w:pPr>
        <w:rPr>
          <w:rFonts w:cs="Times New Roman"/>
          <w:sz w:val="22"/>
        </w:rPr>
      </w:pPr>
      <w:r>
        <w:rPr>
          <w:rFonts w:cs="Times New Roman"/>
          <w:sz w:val="22"/>
        </w:rPr>
        <w:t xml:space="preserve">UNODC </w:t>
      </w:r>
      <w:r>
        <w:rPr>
          <w:rFonts w:cs="Times New Roman"/>
          <w:sz w:val="22"/>
        </w:rPr>
        <w:tab/>
        <w:t>United Nations</w:t>
      </w:r>
      <w:r w:rsidR="00635CA0">
        <w:rPr>
          <w:rFonts w:cs="Times New Roman"/>
          <w:sz w:val="22"/>
        </w:rPr>
        <w:t xml:space="preserve"> O</w:t>
      </w:r>
      <w:r w:rsidR="00633BEF" w:rsidRPr="004D76DC">
        <w:rPr>
          <w:rFonts w:cs="Times New Roman"/>
          <w:sz w:val="22"/>
        </w:rPr>
        <w:t>ffice on Drugs and Crime</w:t>
      </w:r>
    </w:p>
    <w:p w14:paraId="7825EE8A" w14:textId="4DB19E8B" w:rsidR="00B91A3C" w:rsidRPr="004D76DC" w:rsidRDefault="00E16252" w:rsidP="00633BEF">
      <w:pPr>
        <w:rPr>
          <w:rFonts w:cs="Times New Roman"/>
          <w:sz w:val="22"/>
        </w:rPr>
      </w:pPr>
      <w:r>
        <w:rPr>
          <w:rFonts w:cs="Times New Roman"/>
          <w:sz w:val="22"/>
        </w:rPr>
        <w:t>UNTOC</w:t>
      </w:r>
      <w:r>
        <w:rPr>
          <w:rFonts w:cs="Times New Roman"/>
          <w:sz w:val="22"/>
        </w:rPr>
        <w:tab/>
        <w:t xml:space="preserve">United Nations </w:t>
      </w:r>
      <w:r w:rsidR="00B91A3C">
        <w:rPr>
          <w:rFonts w:cs="Times New Roman"/>
          <w:sz w:val="22"/>
        </w:rPr>
        <w:t>Convention on Transnational Organized Crime</w:t>
      </w:r>
    </w:p>
    <w:p w14:paraId="1FE5F547" w14:textId="53FF709F" w:rsidR="00633BEF" w:rsidRPr="004D76DC" w:rsidRDefault="00633BEF" w:rsidP="00633BEF">
      <w:pPr>
        <w:rPr>
          <w:rFonts w:cs="Times New Roman"/>
          <w:sz w:val="22"/>
        </w:rPr>
      </w:pPr>
      <w:r w:rsidRPr="004D76DC">
        <w:rPr>
          <w:rFonts w:cs="Times New Roman"/>
          <w:sz w:val="22"/>
        </w:rPr>
        <w:t xml:space="preserve">USFWS </w:t>
      </w:r>
      <w:r w:rsidRPr="004D76DC">
        <w:rPr>
          <w:rFonts w:cs="Times New Roman"/>
          <w:sz w:val="22"/>
        </w:rPr>
        <w:tab/>
        <w:t>United States Fish and Wildlife Service</w:t>
      </w:r>
    </w:p>
    <w:p w14:paraId="7264E571" w14:textId="23C30C19" w:rsidR="009F134C" w:rsidRPr="004D76DC" w:rsidRDefault="009F134C" w:rsidP="00633BEF">
      <w:pPr>
        <w:rPr>
          <w:rFonts w:cs="Times New Roman"/>
          <w:sz w:val="22"/>
        </w:rPr>
      </w:pPr>
      <w:r w:rsidRPr="004D76DC">
        <w:rPr>
          <w:rFonts w:cs="Times New Roman"/>
          <w:sz w:val="22"/>
        </w:rPr>
        <w:t>WSCS</w:t>
      </w:r>
      <w:r w:rsidRPr="004D76DC">
        <w:rPr>
          <w:rFonts w:cs="Times New Roman"/>
          <w:sz w:val="22"/>
        </w:rPr>
        <w:tab/>
      </w:r>
      <w:r w:rsidRPr="004D76DC">
        <w:rPr>
          <w:rFonts w:cs="Times New Roman"/>
          <w:sz w:val="22"/>
        </w:rPr>
        <w:tab/>
        <w:t>World Sturgeon Conservation Society</w:t>
      </w:r>
    </w:p>
    <w:p w14:paraId="249B803E" w14:textId="3D2AB577" w:rsidR="00633BEF" w:rsidRDefault="00A10BF2" w:rsidP="00633BEF">
      <w:pPr>
        <w:rPr>
          <w:rFonts w:cs="Times New Roman"/>
          <w:sz w:val="22"/>
        </w:rPr>
      </w:pPr>
      <w:r>
        <w:rPr>
          <w:rFonts w:cs="Times New Roman"/>
          <w:sz w:val="22"/>
        </w:rPr>
        <w:t>WWF</w:t>
      </w:r>
      <w:r>
        <w:rPr>
          <w:rFonts w:cs="Times New Roman"/>
          <w:sz w:val="22"/>
        </w:rPr>
        <w:tab/>
      </w:r>
      <w:r>
        <w:rPr>
          <w:rFonts w:cs="Times New Roman"/>
          <w:sz w:val="22"/>
        </w:rPr>
        <w:tab/>
        <w:t>World Wide F</w:t>
      </w:r>
      <w:r w:rsidR="006158FE">
        <w:rPr>
          <w:rFonts w:cs="Times New Roman"/>
          <w:sz w:val="22"/>
        </w:rPr>
        <w:t>und for Nature</w:t>
      </w:r>
    </w:p>
    <w:p w14:paraId="7DF36EDD" w14:textId="77777777" w:rsidR="005F6E3A" w:rsidRDefault="005F6E3A" w:rsidP="00633BEF">
      <w:pPr>
        <w:sectPr w:rsidR="005F6E3A" w:rsidSect="00BE1811">
          <w:pgSz w:w="11906" w:h="16838"/>
          <w:pgMar w:top="1440" w:right="1440" w:bottom="1440" w:left="1440" w:header="708" w:footer="708" w:gutter="0"/>
          <w:pgNumType w:fmt="lowerRoman"/>
          <w:cols w:space="708"/>
          <w:docGrid w:linePitch="360"/>
        </w:sectPr>
      </w:pPr>
    </w:p>
    <w:p w14:paraId="7A25D67F" w14:textId="3C4AF9DE" w:rsidR="00F35C20" w:rsidRPr="00F35C20" w:rsidRDefault="00974B80" w:rsidP="00F35C20">
      <w:pPr>
        <w:pStyle w:val="Heading1"/>
        <w:jc w:val="both"/>
        <w:rPr>
          <w:rFonts w:cs="Times New Roman"/>
          <w:b w:val="0"/>
          <w:u w:val="none"/>
        </w:rPr>
      </w:pPr>
      <w:r w:rsidRPr="00974B80">
        <w:rPr>
          <w:rFonts w:cs="Times New Roman"/>
          <w:b w:val="0"/>
          <w:noProof/>
          <w:u w:val="none"/>
          <w:lang w:val="en-US" w:eastAsia="en-US"/>
        </w:rPr>
        <w:lastRenderedPageBreak/>
        <w:drawing>
          <wp:inline distT="0" distB="0" distL="0" distR="0" wp14:anchorId="36E0F6DA" wp14:editId="30BE8354">
            <wp:extent cx="5584371" cy="6128385"/>
            <wp:effectExtent l="0" t="0" r="3810" b="0"/>
            <wp:docPr id="16" name="Picture 1" descr="IMG_20180425_121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MG_20180425_121643.jpg"/>
                    <pic:cNvPicPr>
                      <a:picLocks noChangeAspect="1"/>
                    </pic:cNvPicPr>
                  </pic:nvPicPr>
                  <pic:blipFill rotWithShape="1">
                    <a:blip r:embed="rId13">
                      <a:extLst>
                        <a:ext uri="{28A0092B-C50C-407E-A947-70E740481C1C}">
                          <a14:useLocalDpi xmlns:a14="http://schemas.microsoft.com/office/drawing/2010/main" val="0"/>
                        </a:ext>
                      </a:extLst>
                    </a:blip>
                    <a:srcRect t="10080" r="927" b="5209"/>
                    <a:stretch/>
                  </pic:blipFill>
                  <pic:spPr bwMode="auto">
                    <a:xfrm>
                      <a:off x="0" y="0"/>
                      <a:ext cx="5586043" cy="6130220"/>
                    </a:xfrm>
                    <a:prstGeom prst="rect">
                      <a:avLst/>
                    </a:prstGeom>
                    <a:ln>
                      <a:noFill/>
                    </a:ln>
                    <a:extLst>
                      <a:ext uri="{53640926-AAD7-44d8-BBD7-CCE9431645EC}">
                        <a14:shadowObscured xmlns:a14="http://schemas.microsoft.com/office/drawing/2010/main"/>
                      </a:ext>
                    </a:extLst>
                  </pic:spPr>
                </pic:pic>
              </a:graphicData>
            </a:graphic>
          </wp:inline>
        </w:drawing>
      </w:r>
    </w:p>
    <w:p w14:paraId="342C8C8D" w14:textId="1F9BCBEB" w:rsidR="00F35C20" w:rsidRDefault="009023E6" w:rsidP="008D2CBC">
      <w:pPr>
        <w:pStyle w:val="Heading5"/>
      </w:pPr>
      <w:bookmarkStart w:id="7" w:name="_Toc453224273"/>
      <w:r>
        <w:t>Image 0</w:t>
      </w:r>
      <w:r w:rsidR="008D2CBC">
        <w:t xml:space="preserve">1: </w:t>
      </w:r>
      <w:r w:rsidR="00F35C20" w:rsidRPr="00F35C20">
        <w:t>Tins of caviar on display at the Seafood Expo Global, Brussels, 2018</w:t>
      </w:r>
      <w:bookmarkEnd w:id="7"/>
      <w:r w:rsidR="00F35C20" w:rsidRPr="00F35C20">
        <w:t xml:space="preserve"> </w:t>
      </w:r>
    </w:p>
    <w:p w14:paraId="3D867BB4" w14:textId="2C18D052" w:rsidR="00F35C20" w:rsidRPr="00F35C20" w:rsidRDefault="00F35C20" w:rsidP="008D2CBC">
      <w:pPr>
        <w:jc w:val="left"/>
        <w:rPr>
          <w:sz w:val="22"/>
        </w:rPr>
        <w:sectPr w:rsidR="00F35C20" w:rsidRPr="00F35C20" w:rsidSect="00BE1811">
          <w:footerReference w:type="default" r:id="rId14"/>
          <w:pgSz w:w="11906" w:h="16838"/>
          <w:pgMar w:top="1440" w:right="1440" w:bottom="1440" w:left="1440" w:header="708" w:footer="708" w:gutter="0"/>
          <w:pgNumType w:start="1"/>
          <w:cols w:space="708"/>
          <w:titlePg/>
          <w:docGrid w:linePitch="360"/>
        </w:sectPr>
      </w:pPr>
      <w:r w:rsidRPr="00F35C20">
        <w:rPr>
          <w:sz w:val="22"/>
        </w:rPr>
        <w:t>(Source: Author’s photograph)</w:t>
      </w:r>
    </w:p>
    <w:p w14:paraId="065D71A4" w14:textId="4132C59B" w:rsidR="001139CD" w:rsidRPr="001139CD" w:rsidRDefault="00FC2BD1" w:rsidP="001139CD">
      <w:pPr>
        <w:pStyle w:val="Heading1"/>
        <w:rPr>
          <w:rFonts w:cs="Times New Roman"/>
        </w:rPr>
      </w:pPr>
      <w:bookmarkStart w:id="8" w:name="_Toc453224181"/>
      <w:r>
        <w:rPr>
          <w:rFonts w:cs="Times New Roman"/>
        </w:rPr>
        <w:lastRenderedPageBreak/>
        <w:t>Chapter 1</w:t>
      </w:r>
      <w:r w:rsidR="001139CD" w:rsidRPr="001139CD">
        <w:rPr>
          <w:rFonts w:cs="Times New Roman"/>
        </w:rPr>
        <w:t>: Introduction</w:t>
      </w:r>
      <w:bookmarkEnd w:id="8"/>
    </w:p>
    <w:p w14:paraId="49DD419F" w14:textId="2B35871A" w:rsidR="001139CD" w:rsidRPr="001139CD" w:rsidRDefault="001139CD" w:rsidP="001139CD">
      <w:pPr>
        <w:pStyle w:val="Heading2"/>
        <w:spacing w:line="360" w:lineRule="auto"/>
        <w:rPr>
          <w:rFonts w:cs="Times New Roman"/>
        </w:rPr>
      </w:pPr>
      <w:bookmarkStart w:id="9" w:name="_Toc453224182"/>
      <w:r w:rsidRPr="001139CD">
        <w:rPr>
          <w:rFonts w:cs="Times New Roman"/>
        </w:rPr>
        <w:t>1.0 Introduction</w:t>
      </w:r>
      <w:bookmarkEnd w:id="9"/>
      <w:r w:rsidRPr="001139CD">
        <w:rPr>
          <w:rFonts w:cs="Times New Roman"/>
        </w:rPr>
        <w:t xml:space="preserve"> </w:t>
      </w:r>
    </w:p>
    <w:p w14:paraId="4434534B" w14:textId="77777777" w:rsidR="005B292F" w:rsidRDefault="001139CD" w:rsidP="001139CD">
      <w:pPr>
        <w:rPr>
          <w:rFonts w:cs="Times New Roman"/>
          <w:color w:val="000000"/>
          <w:sz w:val="22"/>
        </w:rPr>
      </w:pPr>
      <w:r w:rsidRPr="001139CD">
        <w:rPr>
          <w:rFonts w:cs="Times New Roman"/>
          <w:color w:val="000000"/>
          <w:sz w:val="22"/>
        </w:rPr>
        <w:t>This thesis is about caviar. More specifically the thesis examines the geopolitical-ecological impacts resulting from the regulation of the caviar trade in the European Union over the last quarter of a century</w:t>
      </w:r>
      <w:r w:rsidRPr="005B292F">
        <w:rPr>
          <w:rStyle w:val="FootnoteReference"/>
        </w:rPr>
        <w:footnoteReference w:id="1"/>
      </w:r>
      <w:r w:rsidRPr="001139CD">
        <w:rPr>
          <w:rFonts w:cs="Times New Roman"/>
          <w:color w:val="000000"/>
          <w:sz w:val="22"/>
        </w:rPr>
        <w:t xml:space="preserve">. </w:t>
      </w:r>
      <w:r w:rsidR="005B292F">
        <w:rPr>
          <w:rFonts w:cs="Times New Roman"/>
          <w:color w:val="000000"/>
          <w:sz w:val="22"/>
        </w:rPr>
        <w:t xml:space="preserve">Geopolitical ecology refers to how environmental discourses and interventions are mediated through foreign policy agendas, and subsequently shape ecologies with multi-scalar geopolitical effects. </w:t>
      </w:r>
    </w:p>
    <w:p w14:paraId="482B4E92" w14:textId="266C402F" w:rsidR="001139CD" w:rsidRPr="001139CD" w:rsidRDefault="001139CD" w:rsidP="005B292F">
      <w:pPr>
        <w:ind w:firstLine="720"/>
        <w:rPr>
          <w:rFonts w:cs="Times New Roman"/>
          <w:color w:val="000000"/>
          <w:sz w:val="22"/>
        </w:rPr>
      </w:pPr>
      <w:r w:rsidRPr="001139CD">
        <w:rPr>
          <w:rFonts w:cs="Times New Roman"/>
          <w:color w:val="000000"/>
          <w:sz w:val="22"/>
        </w:rPr>
        <w:t xml:space="preserve">The main argument I develop is twofold. First, I argue that the EU caviar trade regulations have </w:t>
      </w:r>
      <w:r w:rsidR="005D5667">
        <w:rPr>
          <w:rFonts w:cs="Times New Roman"/>
          <w:color w:val="000000"/>
          <w:sz w:val="22"/>
        </w:rPr>
        <w:t xml:space="preserve">legislative </w:t>
      </w:r>
      <w:r w:rsidRPr="001139CD">
        <w:rPr>
          <w:rFonts w:cs="Times New Roman"/>
          <w:color w:val="000000"/>
          <w:sz w:val="22"/>
        </w:rPr>
        <w:t>gaps and grey areas</w:t>
      </w:r>
      <w:r w:rsidR="00A628A7">
        <w:rPr>
          <w:rFonts w:cs="Times New Roman"/>
          <w:color w:val="000000"/>
          <w:sz w:val="22"/>
        </w:rPr>
        <w:t xml:space="preserve"> that produce </w:t>
      </w:r>
      <w:r w:rsidRPr="001139CD">
        <w:rPr>
          <w:rFonts w:cs="Times New Roman"/>
          <w:color w:val="000000"/>
          <w:sz w:val="22"/>
        </w:rPr>
        <w:t xml:space="preserve">unintended geopolitical-ecological consequences, which impact upon: dynamics of illegal caviar trade; the operations of the legal caviar industry; and the broader geopolitics of the EU. The second aspect of my argument is that caviar and sturgeon (the fish from which caviar is rendered) are geopolitical subjects and actors. </w:t>
      </w:r>
    </w:p>
    <w:p w14:paraId="407220C3" w14:textId="1E89FCB9" w:rsidR="001139CD" w:rsidRPr="001139CD" w:rsidRDefault="001139CD" w:rsidP="001139CD">
      <w:pPr>
        <w:rPr>
          <w:rFonts w:cs="Times New Roman"/>
          <w:color w:val="000000"/>
          <w:sz w:val="22"/>
        </w:rPr>
      </w:pPr>
      <w:r w:rsidRPr="001139CD">
        <w:rPr>
          <w:rFonts w:cs="Times New Roman"/>
          <w:color w:val="000000"/>
          <w:sz w:val="22"/>
        </w:rPr>
        <w:tab/>
        <w:t xml:space="preserve">To strengthen this argument, I develop </w:t>
      </w:r>
      <w:r w:rsidRPr="001139CD">
        <w:rPr>
          <w:rFonts w:cs="Times New Roman"/>
          <w:i/>
          <w:color w:val="000000"/>
          <w:sz w:val="22"/>
        </w:rPr>
        <w:t xml:space="preserve">‘more-than-human geopolitical ecology’ </w:t>
      </w:r>
      <w:r w:rsidR="005B292F">
        <w:rPr>
          <w:rFonts w:cs="Times New Roman"/>
          <w:color w:val="000000"/>
          <w:sz w:val="22"/>
        </w:rPr>
        <w:t xml:space="preserve">as </w:t>
      </w:r>
      <w:r w:rsidRPr="001139CD">
        <w:rPr>
          <w:rFonts w:cs="Times New Roman"/>
          <w:color w:val="000000"/>
          <w:sz w:val="22"/>
        </w:rPr>
        <w:t>a theoretical framework. This approach theorises the consti</w:t>
      </w:r>
      <w:r w:rsidR="00A628A7">
        <w:rPr>
          <w:rFonts w:cs="Times New Roman"/>
          <w:color w:val="000000"/>
          <w:sz w:val="22"/>
        </w:rPr>
        <w:t xml:space="preserve">tutive role of nonhuman </w:t>
      </w:r>
      <w:r w:rsidR="005B292F">
        <w:rPr>
          <w:rFonts w:cs="Times New Roman"/>
          <w:color w:val="000000"/>
          <w:sz w:val="22"/>
        </w:rPr>
        <w:t>actors</w:t>
      </w:r>
      <w:r w:rsidRPr="001139CD">
        <w:rPr>
          <w:rFonts w:cs="Times New Roman"/>
          <w:color w:val="000000"/>
          <w:sz w:val="22"/>
        </w:rPr>
        <w:t xml:space="preserve"> in co-producing matters of environmental and ecological geopolitics alongside human actors. </w:t>
      </w:r>
      <w:r w:rsidR="008266E9">
        <w:rPr>
          <w:rFonts w:cs="Times New Roman"/>
          <w:color w:val="000000"/>
          <w:sz w:val="22"/>
        </w:rPr>
        <w:t xml:space="preserve">When I refer to geopolitics throughout this thesis, I am making reference to the manner in which both physical and human geographical phenomena shape the processes of international relations. Building upon this, </w:t>
      </w:r>
      <w:r w:rsidRPr="001139CD">
        <w:rPr>
          <w:rFonts w:cs="Times New Roman"/>
          <w:color w:val="000000"/>
          <w:sz w:val="22"/>
        </w:rPr>
        <w:t xml:space="preserve">I emphasise the importance of conceptualising nonhumans as geopolitical actors, and by extension the realm of geopolitics as inherently more-than-human. By deploying this theoretical framework I give nuanced explanations for how gaps and grey areas in caviar trade regulations variably result in the entanglement of caviar and sturgeon with EU geopolitics. </w:t>
      </w:r>
    </w:p>
    <w:p w14:paraId="755FBDFD" w14:textId="32C5725F" w:rsidR="001139CD" w:rsidRPr="001139CD" w:rsidRDefault="008854D5" w:rsidP="001139CD">
      <w:pPr>
        <w:rPr>
          <w:rFonts w:cs="Times New Roman"/>
          <w:color w:val="000000"/>
          <w:sz w:val="22"/>
        </w:rPr>
      </w:pPr>
      <w:r>
        <w:rPr>
          <w:rFonts w:cs="Times New Roman"/>
          <w:color w:val="000000"/>
          <w:sz w:val="22"/>
        </w:rPr>
        <w:tab/>
        <w:t xml:space="preserve">This thesis adds a novel </w:t>
      </w:r>
      <w:r w:rsidR="001139CD" w:rsidRPr="001139CD">
        <w:rPr>
          <w:rFonts w:cs="Times New Roman"/>
          <w:color w:val="000000"/>
          <w:sz w:val="22"/>
        </w:rPr>
        <w:t xml:space="preserve">perspective to social science research on illegal caviar trade. Existing studies have examined the links between </w:t>
      </w:r>
      <w:r>
        <w:rPr>
          <w:rFonts w:cs="Times New Roman"/>
          <w:color w:val="000000"/>
          <w:sz w:val="22"/>
        </w:rPr>
        <w:t>illegal caviar trade and</w:t>
      </w:r>
      <w:r w:rsidR="00611A99">
        <w:rPr>
          <w:rFonts w:cs="Times New Roman"/>
          <w:color w:val="000000"/>
          <w:sz w:val="22"/>
        </w:rPr>
        <w:t xml:space="preserve"> organis</w:t>
      </w:r>
      <w:r w:rsidR="001139CD" w:rsidRPr="001139CD">
        <w:rPr>
          <w:rFonts w:cs="Times New Roman"/>
          <w:color w:val="000000"/>
          <w:sz w:val="22"/>
        </w:rPr>
        <w:t xml:space="preserve">ed crime </w:t>
      </w:r>
      <w:r w:rsidR="001139CD" w:rsidRPr="001139CD">
        <w:rPr>
          <w:rFonts w:cs="Times New Roman"/>
          <w:color w:val="000000"/>
          <w:sz w:val="22"/>
        </w:rPr>
        <w:fldChar w:fldCharType="begin" w:fldLock="1"/>
      </w:r>
      <w:r w:rsidR="00EC7F7E">
        <w:rPr>
          <w:rFonts w:cs="Times New Roman"/>
          <w:color w:val="000000"/>
          <w:sz w:val="22"/>
        </w:rPr>
        <w:instrText>ADDIN CSL_CITATION {"citationItems":[{"id":"ITEM-1","itemData":{"DOI":"10.1007/s12117-016-9264-5","ISBN":"0165-1684","ISSN":"19364830","abstract":"The trade in caviar has a rich and colorful history, influenced over thousands of years by many cultures, societies and in the last decades by regulation. The value of caviar is historically discovered in the context of social change, political relationships and environmental change. The role of organized crime is described, as the scarcity of caviar has offered the unique opportunity to fish illegally, smuggle and trade contraband to mainly European countries with millions in profits. This study highlights that these criminal networks manifest themselves at all levels of the trade: from the poaching areas where organized criminal groups cooperate with law enforcers and possess top-notch equipment to major smuggling operations in the hands of sophisticated criminal networks. Although due to overexploitation ‘wild caviar’ is increasingly difficult to obtain, the demand in the context of exclusivity and scarcity remains intact by the upper class society desire for edible gold.","author":[{"dropping-particle":"","family":"Uhm","given":"Daan","non-dropping-particle":"van","parse-names":false,"suffix":""},{"dropping-particle":"","family":"Siegel","given":"Dina","non-dropping-particle":"","parse-names":false,"suffix":""}],"container-title":"Trends in Organized Crime","id":"ITEM-1","issue":"1","issued":{"date-parts":[["2016"]]},"page":"67-87","title":"The illegal trade in black caviar","type":"article-journal","volume":"19"},"uris":["http://www.mendeley.com/documents/?uuid=34c9ccf8-422d-4c42-a907-21a3eb6a28ad"]},{"id":"ITEM-2","itemData":{"DOI":"10.1007/s12117-014-9214-z","ISBN":"1211701492","ISSN":"19364830","abstract":"The Volga-Caspian basin, once the largest habitat of sturgeon species, became a hotbed of wildlife crime in the 1990s. With the rising demand for caviar in various parts of the world, caviar trafficking has grown to unprecedented levels, having put Caspian sturgeons under the risk of absolute extinction. Two decades later, as the Caspian sturgeon populations have been radically depleted, North American supplies of sturgeon species are targeted by criminal masterminds as an alternative illicit source of black caviar. This article identifies some of the trends in the development of the illicit market in black caviar. The analysis utilizes the idea of criminogenic asymmetries developed by Nikos Passas to examine the dynamics of and the driving forces behind this illicit market. Beyond the application of Passas' framework, the article offers a detailed descriptive analysis of poaching activities and caviar trafficking schemes based on data retrieved from public reports, court files, news media and interviews with officials and journalists.","author":[{"dropping-particle":"","family":"Zabyelina","given":"Yuliya G.","non-dropping-particle":"","parse-names":false,"suffix":""}],"container-title":"Trends in Organized Crime","id":"ITEM-2","issue":"3","issued":{"date-parts":[["2014"]]},"page":"181-198","title":"The \"fishy\" business: A qualitative analysis of the illicit market in black caviar","type":"article-journal","volume":"17"},"uris":["http://www.mendeley.com/documents/?uuid=1616d308-87d3-4886-a73a-8249113c67b7"]}],"mendeley":{"formattedCitation":"(Zabyelina, 2014; van Uhm and Siegel, 2016)","plainTextFormattedCitation":"(Zabyelina, 2014; van Uhm and Siegel, 2016)","previouslyFormattedCitation":"(Zabyelina, 2014; van Uhm and Siegel, 2016)"},"properties":{"noteIndex":0},"schema":"https://github.com/citation-style-language/schema/raw/master/csl-citation.json"}</w:instrText>
      </w:r>
      <w:r w:rsidR="001139CD" w:rsidRPr="001139CD">
        <w:rPr>
          <w:rFonts w:cs="Times New Roman"/>
          <w:color w:val="000000"/>
          <w:sz w:val="22"/>
        </w:rPr>
        <w:fldChar w:fldCharType="separate"/>
      </w:r>
      <w:r w:rsidR="00042533" w:rsidRPr="00042533">
        <w:rPr>
          <w:rFonts w:cs="Times New Roman"/>
          <w:noProof/>
          <w:color w:val="000000"/>
          <w:sz w:val="22"/>
        </w:rPr>
        <w:t>(Zabyelina, 2014; van Uhm and Siegel, 2016)</w:t>
      </w:r>
      <w:r w:rsidR="001139CD" w:rsidRPr="001139CD">
        <w:rPr>
          <w:rFonts w:cs="Times New Roman"/>
          <w:color w:val="000000"/>
          <w:sz w:val="22"/>
        </w:rPr>
        <w:fldChar w:fldCharType="end"/>
      </w:r>
      <w:r w:rsidR="001139CD" w:rsidRPr="001139CD">
        <w:rPr>
          <w:rFonts w:cs="Times New Roman"/>
          <w:color w:val="000000"/>
          <w:sz w:val="22"/>
        </w:rPr>
        <w:t xml:space="preserve"> and corruption </w:t>
      </w:r>
      <w:r w:rsidR="001139CD" w:rsidRPr="001139CD">
        <w:rPr>
          <w:rFonts w:cs="Times New Roman"/>
          <w:color w:val="000000"/>
          <w:sz w:val="22"/>
        </w:rPr>
        <w:fldChar w:fldCharType="begin" w:fldLock="1"/>
      </w:r>
      <w:r w:rsidR="00280EB6">
        <w:rPr>
          <w:rFonts w:cs="Times New Roman"/>
          <w:color w:val="000000"/>
          <w:sz w:val="22"/>
        </w:rPr>
        <w:instrText>ADDIN CSL_CITATION {"citationItems":[{"id":"ITEM-1","itemData":{"ISBN":"9781911646051","abstract":"The illegal exploitation of the world's fl ora and fauna is a serious and growing problem globally, negatively impacting economic and social development, security and governance. Wildlife and forest crime has all the hallmarks of transnational organized crime and frequently involves other forms of seri-ous crime such as fraud, money laundering and corruption. Transnational organized criminal networks are moving poached or illegally harvested wildlife using a variety of smuggling techniques, often by means of existing infrastruc-tures and well-developed routes used for the traffi cking of drugs, people, weapons, counterfeit goods and other forms of contraband. All links in this traffi cking chain are facili-tated by varying levels of corruption – both in the public and private sectors. Yet in spite of all the negative impacts, wildlife and forest crime continues to be viewed as being outside 'main-stream crime' by many in the law enforcement community, governments and the public. Despite the transnational and organized nature of this illicit trade, the response varies signif-icantly from one region to another. Successful investigations and prosecutions are few, an indication of the low priority often given to this issue. When addressing corruption linked to wildlife and forest crime, efforts are haphazard, if any.","author":[{"dropping-particle":"","family":"Musing, L., Harris, L., Williams, A., Parry- Jones, R., van Uhm, D., Wyatt","given":"T.","non-dropping-particle":"","parse-names":false,"suffix":""}],"id":"ITEM-1","issued":{"date-parts":[["2019"]]},"title":"Corruption and Wildlife crime: A focus on caviar trade","type":"book"},"uris":["http://www.mendeley.com/documents/?uuid=a55a63cf-6b7f-4a17-8fad-345667ee03ac"]}],"mendeley":{"formattedCitation":"(Musing, L., Harris, L., Williams, A., Parry- Jones, R., van Uhm, D., Wyatt, 2019)","manualFormatting":"(Musing et al 2019)","plainTextFormattedCitation":"(Musing, L., Harris, L., Williams, A., Parry- Jones, R., van Uhm, D., Wyatt, 2019)","previouslyFormattedCitation":"(Musing, L., Harris, L., Williams, A., Parry- Jones, R., van Uhm, D., Wyatt, 2019)"},"properties":{"noteIndex":0},"schema":"https://github.com/citation-style-language/schema/raw/master/csl-citation.json"}</w:instrText>
      </w:r>
      <w:r w:rsidR="001139CD" w:rsidRPr="001139CD">
        <w:rPr>
          <w:rFonts w:cs="Times New Roman"/>
          <w:color w:val="000000"/>
          <w:sz w:val="22"/>
        </w:rPr>
        <w:fldChar w:fldCharType="separate"/>
      </w:r>
      <w:r w:rsidR="001C2D87">
        <w:rPr>
          <w:rFonts w:cs="Times New Roman"/>
          <w:noProof/>
          <w:color w:val="000000"/>
          <w:sz w:val="22"/>
        </w:rPr>
        <w:t>(Musing</w:t>
      </w:r>
      <w:r w:rsidR="001139CD" w:rsidRPr="001139CD">
        <w:rPr>
          <w:rFonts w:cs="Times New Roman"/>
          <w:noProof/>
          <w:color w:val="000000"/>
          <w:sz w:val="22"/>
        </w:rPr>
        <w:t xml:space="preserve"> </w:t>
      </w:r>
      <w:r w:rsidR="001139CD" w:rsidRPr="001139CD">
        <w:rPr>
          <w:rFonts w:cs="Times New Roman"/>
          <w:i/>
          <w:noProof/>
          <w:color w:val="000000"/>
          <w:sz w:val="22"/>
        </w:rPr>
        <w:t>et al</w:t>
      </w:r>
      <w:r w:rsidR="001139CD" w:rsidRPr="001139CD">
        <w:rPr>
          <w:rFonts w:cs="Times New Roman"/>
          <w:noProof/>
          <w:color w:val="000000"/>
          <w:sz w:val="22"/>
        </w:rPr>
        <w:t xml:space="preserve"> 2019)</w:t>
      </w:r>
      <w:r w:rsidR="001139CD" w:rsidRPr="001139CD">
        <w:rPr>
          <w:rFonts w:cs="Times New Roman"/>
          <w:color w:val="000000"/>
          <w:sz w:val="22"/>
        </w:rPr>
        <w:fldChar w:fldCharType="end"/>
      </w:r>
      <w:r w:rsidR="001139CD" w:rsidRPr="001139CD">
        <w:rPr>
          <w:rFonts w:cs="Times New Roman"/>
          <w:color w:val="000000"/>
          <w:sz w:val="22"/>
        </w:rPr>
        <w:t>; yet limited attention has been paid to the actors and processes driving the criminalization of caviar trafficking and sturgeon poaching</w:t>
      </w:r>
      <w:r>
        <w:rPr>
          <w:rFonts w:cs="Times New Roman"/>
          <w:color w:val="000000"/>
          <w:sz w:val="22"/>
        </w:rPr>
        <w:t xml:space="preserve"> globally</w:t>
      </w:r>
      <w:r w:rsidR="001139CD" w:rsidRPr="001139CD">
        <w:rPr>
          <w:rFonts w:cs="Times New Roman"/>
          <w:color w:val="000000"/>
          <w:sz w:val="22"/>
        </w:rPr>
        <w:t>. My research therefore responds to the distinct need for detailed examination of the caviar trade regulations and their structural impacts</w:t>
      </w:r>
      <w:r>
        <w:rPr>
          <w:rFonts w:cs="Times New Roman"/>
          <w:color w:val="000000"/>
          <w:sz w:val="22"/>
        </w:rPr>
        <w:t>, with a particular focus on</w:t>
      </w:r>
      <w:r w:rsidR="001139CD" w:rsidRPr="001139CD">
        <w:rPr>
          <w:rFonts w:cs="Times New Roman"/>
          <w:color w:val="000000"/>
          <w:sz w:val="22"/>
        </w:rPr>
        <w:t xml:space="preserve"> the European Union.</w:t>
      </w:r>
    </w:p>
    <w:p w14:paraId="663CC30E" w14:textId="6961F369" w:rsidR="001139CD" w:rsidRPr="00CF44D0" w:rsidRDefault="001139CD" w:rsidP="00CF44D0">
      <w:pPr>
        <w:ind w:firstLine="720"/>
        <w:rPr>
          <w:rFonts w:cs="Times New Roman"/>
          <w:color w:val="000000"/>
          <w:sz w:val="22"/>
        </w:rPr>
      </w:pPr>
      <w:r w:rsidRPr="001139CD">
        <w:rPr>
          <w:rFonts w:cs="Times New Roman"/>
          <w:color w:val="000000"/>
          <w:sz w:val="22"/>
        </w:rPr>
        <w:t xml:space="preserve">The remainder of this introduction provides greater context to the arguments that I have outlined above. In section 1.1 I outline the research questions underpinning this thesis. In section 1.2 I situate these research questions by contextualizing the caviar trade in the EU; and identifying some of the gaps in existing research on illegal caviar trade generally, and more specifically on illegal caviar </w:t>
      </w:r>
      <w:r w:rsidRPr="001139CD">
        <w:rPr>
          <w:rFonts w:cs="Times New Roman"/>
          <w:color w:val="000000"/>
          <w:sz w:val="22"/>
        </w:rPr>
        <w:lastRenderedPageBreak/>
        <w:t xml:space="preserve">trade in the European Union. </w:t>
      </w:r>
      <w:r w:rsidR="005B292F">
        <w:rPr>
          <w:rFonts w:cs="Times New Roman"/>
          <w:color w:val="000000"/>
          <w:sz w:val="22"/>
        </w:rPr>
        <w:t xml:space="preserve">In </w:t>
      </w:r>
      <w:r w:rsidRPr="001139CD">
        <w:rPr>
          <w:rFonts w:cs="Times New Roman"/>
          <w:color w:val="000000"/>
          <w:sz w:val="22"/>
        </w:rPr>
        <w:t xml:space="preserve">section 1.3 I describe the original contribution to knowledge that my thesis makes. Finally section 1.4 provides a summary of the content and main argument of each </w:t>
      </w:r>
      <w:r w:rsidR="005B292F">
        <w:rPr>
          <w:rFonts w:cs="Times New Roman"/>
          <w:color w:val="000000"/>
          <w:sz w:val="22"/>
        </w:rPr>
        <w:t>thesis chapter in turn.</w:t>
      </w:r>
      <w:r w:rsidRPr="001139CD">
        <w:rPr>
          <w:rFonts w:cs="Times New Roman"/>
          <w:color w:val="000000"/>
          <w:sz w:val="22"/>
        </w:rPr>
        <w:t xml:space="preserve"> </w:t>
      </w:r>
    </w:p>
    <w:p w14:paraId="4413D790" w14:textId="77777777" w:rsidR="001139CD" w:rsidRPr="001139CD" w:rsidRDefault="001139CD" w:rsidP="001139CD">
      <w:pPr>
        <w:pStyle w:val="Heading2"/>
        <w:spacing w:line="360" w:lineRule="auto"/>
        <w:rPr>
          <w:rFonts w:cs="Times New Roman"/>
        </w:rPr>
      </w:pPr>
      <w:bookmarkStart w:id="10" w:name="_Toc453224183"/>
      <w:r w:rsidRPr="001139CD">
        <w:rPr>
          <w:rFonts w:cs="Times New Roman"/>
        </w:rPr>
        <w:t>1.1 Research Questions</w:t>
      </w:r>
      <w:bookmarkEnd w:id="10"/>
      <w:r w:rsidRPr="001139CD">
        <w:rPr>
          <w:rFonts w:cs="Times New Roman"/>
        </w:rPr>
        <w:t xml:space="preserve"> </w:t>
      </w:r>
    </w:p>
    <w:p w14:paraId="1454590F" w14:textId="5B8E4BD0" w:rsidR="001139CD" w:rsidRPr="001139CD" w:rsidRDefault="001139CD" w:rsidP="001139CD">
      <w:pPr>
        <w:rPr>
          <w:rFonts w:cs="Times New Roman"/>
          <w:color w:val="000000"/>
          <w:sz w:val="22"/>
        </w:rPr>
      </w:pPr>
      <w:r w:rsidRPr="001139CD">
        <w:rPr>
          <w:rFonts w:cs="Times New Roman"/>
          <w:color w:val="000000"/>
          <w:sz w:val="22"/>
        </w:rPr>
        <w:t>An overarching research question and a series of complementary sub-questions guide this PhD thesis. These research questions are theoretically informed, and acted as the foundation for my data collection and analysis. The questions are as follows:</w:t>
      </w:r>
    </w:p>
    <w:p w14:paraId="4D33A158" w14:textId="7CFF455F" w:rsidR="001139CD" w:rsidRPr="001139CD" w:rsidRDefault="001139CD" w:rsidP="001139CD">
      <w:pPr>
        <w:rPr>
          <w:rFonts w:cs="Times New Roman"/>
          <w:b/>
          <w:color w:val="000000"/>
          <w:sz w:val="22"/>
        </w:rPr>
      </w:pPr>
      <w:r w:rsidRPr="001139CD">
        <w:rPr>
          <w:rFonts w:cs="Times New Roman"/>
          <w:b/>
          <w:color w:val="000000"/>
          <w:sz w:val="22"/>
        </w:rPr>
        <w:t xml:space="preserve">What are the geopolitical-ecological implications of regulating the caviar trade in the European Union? </w:t>
      </w:r>
    </w:p>
    <w:p w14:paraId="50C18263" w14:textId="77777777" w:rsidR="001139CD" w:rsidRPr="001139CD" w:rsidRDefault="001139CD" w:rsidP="001139CD">
      <w:pPr>
        <w:pStyle w:val="ListParagraph"/>
        <w:numPr>
          <w:ilvl w:val="0"/>
          <w:numId w:val="15"/>
        </w:numPr>
        <w:spacing w:after="0"/>
        <w:rPr>
          <w:rFonts w:cs="Times New Roman"/>
          <w:color w:val="000000"/>
          <w:sz w:val="22"/>
        </w:rPr>
      </w:pPr>
      <w:r w:rsidRPr="001139CD">
        <w:rPr>
          <w:rFonts w:cs="Times New Roman"/>
          <w:color w:val="000000"/>
          <w:sz w:val="22"/>
        </w:rPr>
        <w:t xml:space="preserve">How has the caviar industry in the EU changed as a result of regulating sturgeon crimes and caviar trade? </w:t>
      </w:r>
    </w:p>
    <w:p w14:paraId="2AB40382" w14:textId="77777777" w:rsidR="001139CD" w:rsidRPr="001139CD" w:rsidRDefault="001139CD" w:rsidP="001139CD">
      <w:pPr>
        <w:pStyle w:val="ListParagraph"/>
        <w:numPr>
          <w:ilvl w:val="1"/>
          <w:numId w:val="15"/>
        </w:numPr>
        <w:spacing w:after="0"/>
        <w:rPr>
          <w:rFonts w:cs="Times New Roman"/>
          <w:color w:val="000000"/>
          <w:sz w:val="22"/>
        </w:rPr>
      </w:pPr>
      <w:r w:rsidRPr="001139CD">
        <w:rPr>
          <w:rFonts w:cs="Times New Roman"/>
          <w:color w:val="000000"/>
          <w:sz w:val="22"/>
        </w:rPr>
        <w:t xml:space="preserve">How do key actors who are affected by caviar trade policy discursively frame these changes? </w:t>
      </w:r>
    </w:p>
    <w:p w14:paraId="56F74926" w14:textId="77777777" w:rsidR="001139CD" w:rsidRPr="001139CD" w:rsidRDefault="001139CD" w:rsidP="001139CD">
      <w:pPr>
        <w:pStyle w:val="ListParagraph"/>
        <w:numPr>
          <w:ilvl w:val="0"/>
          <w:numId w:val="15"/>
        </w:numPr>
        <w:spacing w:after="0"/>
        <w:rPr>
          <w:rFonts w:cs="Times New Roman"/>
          <w:color w:val="000000"/>
          <w:sz w:val="22"/>
        </w:rPr>
      </w:pPr>
      <w:r w:rsidRPr="001139CD">
        <w:rPr>
          <w:rFonts w:cs="Times New Roman"/>
          <w:color w:val="000000"/>
          <w:sz w:val="22"/>
        </w:rPr>
        <w:t xml:space="preserve">What are the legislative gaps, grey areas, absences or weaknesses in caviar trade policies? </w:t>
      </w:r>
    </w:p>
    <w:p w14:paraId="67BE161D" w14:textId="77777777" w:rsidR="001139CD" w:rsidRPr="001139CD" w:rsidRDefault="001139CD" w:rsidP="001139CD">
      <w:pPr>
        <w:pStyle w:val="ListParagraph"/>
        <w:numPr>
          <w:ilvl w:val="1"/>
          <w:numId w:val="15"/>
        </w:numPr>
        <w:spacing w:after="0"/>
        <w:rPr>
          <w:rFonts w:cs="Times New Roman"/>
          <w:color w:val="000000"/>
          <w:sz w:val="22"/>
        </w:rPr>
      </w:pPr>
      <w:r w:rsidRPr="001139CD">
        <w:rPr>
          <w:rFonts w:cs="Times New Roman"/>
          <w:color w:val="000000"/>
          <w:sz w:val="22"/>
        </w:rPr>
        <w:t xml:space="preserve">How do gaps and grey areas in policy enable sturgeon crimes and illegal caviar trade to continue? </w:t>
      </w:r>
    </w:p>
    <w:p w14:paraId="0263322D" w14:textId="2100F587" w:rsidR="001139CD" w:rsidRPr="001139CD" w:rsidRDefault="001139CD" w:rsidP="001139CD">
      <w:pPr>
        <w:pStyle w:val="ListParagraph"/>
        <w:numPr>
          <w:ilvl w:val="1"/>
          <w:numId w:val="15"/>
        </w:numPr>
        <w:spacing w:after="0"/>
        <w:rPr>
          <w:rFonts w:cs="Times New Roman"/>
          <w:color w:val="000000"/>
          <w:sz w:val="22"/>
        </w:rPr>
      </w:pPr>
      <w:r w:rsidRPr="001139CD">
        <w:rPr>
          <w:rFonts w:cs="Times New Roman"/>
          <w:color w:val="000000"/>
          <w:sz w:val="22"/>
        </w:rPr>
        <w:t xml:space="preserve">What other dynamics have these regulatory </w:t>
      </w:r>
      <w:r w:rsidR="005B292F">
        <w:rPr>
          <w:rFonts w:cs="Times New Roman"/>
          <w:color w:val="000000"/>
          <w:sz w:val="22"/>
        </w:rPr>
        <w:t>ambiguities</w:t>
      </w:r>
      <w:r w:rsidRPr="001139CD">
        <w:rPr>
          <w:rFonts w:cs="Times New Roman"/>
          <w:color w:val="000000"/>
          <w:sz w:val="22"/>
        </w:rPr>
        <w:t xml:space="preserve"> created or contributed to?</w:t>
      </w:r>
    </w:p>
    <w:p w14:paraId="3288A172" w14:textId="77777777" w:rsidR="001139CD" w:rsidRPr="001139CD" w:rsidRDefault="001139CD" w:rsidP="001139CD">
      <w:pPr>
        <w:pStyle w:val="ListParagraph"/>
        <w:ind w:left="1440"/>
        <w:rPr>
          <w:rFonts w:cs="Times New Roman"/>
          <w:color w:val="000000"/>
          <w:sz w:val="22"/>
        </w:rPr>
      </w:pPr>
    </w:p>
    <w:p w14:paraId="3EA655A1" w14:textId="77777777" w:rsidR="001139CD" w:rsidRPr="001139CD" w:rsidRDefault="001139CD" w:rsidP="001139CD">
      <w:pPr>
        <w:pStyle w:val="ListParagraph"/>
        <w:numPr>
          <w:ilvl w:val="0"/>
          <w:numId w:val="15"/>
        </w:numPr>
        <w:spacing w:after="0"/>
        <w:rPr>
          <w:rFonts w:cs="Times New Roman"/>
          <w:color w:val="000000"/>
          <w:sz w:val="22"/>
        </w:rPr>
      </w:pPr>
      <w:r w:rsidRPr="001139CD">
        <w:rPr>
          <w:rFonts w:cs="Times New Roman"/>
          <w:color w:val="000000"/>
          <w:sz w:val="22"/>
        </w:rPr>
        <w:t xml:space="preserve">How and why are the impacts of the regulatory changes geopolitical? </w:t>
      </w:r>
    </w:p>
    <w:p w14:paraId="5A4C1639" w14:textId="7883BF7A" w:rsidR="001139CD" w:rsidRDefault="001139CD" w:rsidP="001139CD">
      <w:pPr>
        <w:pStyle w:val="ListParagraph"/>
        <w:numPr>
          <w:ilvl w:val="1"/>
          <w:numId w:val="15"/>
        </w:numPr>
        <w:spacing w:after="0"/>
        <w:rPr>
          <w:rFonts w:cs="Times New Roman"/>
          <w:color w:val="000000"/>
          <w:sz w:val="22"/>
        </w:rPr>
      </w:pPr>
      <w:r w:rsidRPr="001139CD">
        <w:rPr>
          <w:rFonts w:cs="Times New Roman"/>
          <w:color w:val="000000"/>
          <w:sz w:val="22"/>
        </w:rPr>
        <w:t>How are sturgeon and caviar constituted as geopolitical subjects and actors?</w:t>
      </w:r>
    </w:p>
    <w:p w14:paraId="7155B20A" w14:textId="77777777" w:rsidR="00611A99" w:rsidRPr="00611A99" w:rsidRDefault="00611A99" w:rsidP="005B292F">
      <w:pPr>
        <w:pStyle w:val="ListParagraph"/>
        <w:spacing w:after="0"/>
        <w:ind w:left="1440"/>
        <w:rPr>
          <w:rFonts w:cs="Times New Roman"/>
          <w:color w:val="000000"/>
          <w:sz w:val="22"/>
        </w:rPr>
      </w:pPr>
    </w:p>
    <w:p w14:paraId="33FD8012" w14:textId="77777777" w:rsidR="001139CD" w:rsidRPr="001139CD" w:rsidRDefault="001139CD" w:rsidP="001139CD">
      <w:pPr>
        <w:pStyle w:val="Heading2"/>
        <w:spacing w:line="360" w:lineRule="auto"/>
        <w:rPr>
          <w:rFonts w:cs="Times New Roman"/>
        </w:rPr>
      </w:pPr>
      <w:bookmarkStart w:id="11" w:name="_Toc453224184"/>
      <w:r w:rsidRPr="001139CD">
        <w:rPr>
          <w:rFonts w:cs="Times New Roman"/>
        </w:rPr>
        <w:t>1.2 Background and rationale of the research</w:t>
      </w:r>
      <w:bookmarkEnd w:id="11"/>
      <w:r w:rsidRPr="001139CD">
        <w:rPr>
          <w:rFonts w:cs="Times New Roman"/>
        </w:rPr>
        <w:t xml:space="preserve"> </w:t>
      </w:r>
    </w:p>
    <w:p w14:paraId="1F26F394" w14:textId="4D141DC7" w:rsidR="001139CD" w:rsidRPr="001139CD" w:rsidRDefault="001139CD" w:rsidP="001139CD">
      <w:pPr>
        <w:rPr>
          <w:rFonts w:cs="Times New Roman"/>
          <w:color w:val="000000"/>
          <w:sz w:val="22"/>
        </w:rPr>
      </w:pPr>
      <w:r w:rsidRPr="001139CD">
        <w:rPr>
          <w:rFonts w:cs="Times New Roman"/>
          <w:color w:val="000000"/>
          <w:sz w:val="22"/>
        </w:rPr>
        <w:t>I started my PhD journey in Autumn 2016 with a broad aim to study the European Union’s approach to tackling wildlife trafficking. The EU Action Plan against Wildlife trafficking</w:t>
      </w:r>
      <w:r w:rsidRPr="005B292F">
        <w:rPr>
          <w:rStyle w:val="FootnoteReference"/>
        </w:rPr>
        <w:footnoteReference w:id="2"/>
      </w:r>
      <w:r w:rsidRPr="001139CD">
        <w:rPr>
          <w:rFonts w:cs="Times New Roman"/>
          <w:color w:val="000000"/>
          <w:sz w:val="22"/>
        </w:rPr>
        <w:t>, which was launched earlier in the same year, was influential in inspiring my research trajectory. The Action Plan against Wildlife trafficking is not a legally binding instrument, but outlines a series of sugges</w:t>
      </w:r>
      <w:r w:rsidR="005B292F">
        <w:rPr>
          <w:rFonts w:cs="Times New Roman"/>
          <w:color w:val="000000"/>
          <w:sz w:val="22"/>
        </w:rPr>
        <w:t>ted measures to be taken by EU Member S</w:t>
      </w:r>
      <w:r w:rsidRPr="001139CD">
        <w:rPr>
          <w:rFonts w:cs="Times New Roman"/>
          <w:color w:val="000000"/>
          <w:sz w:val="22"/>
        </w:rPr>
        <w:t xml:space="preserve">tates and EU institutions in order to achieve </w:t>
      </w:r>
      <w:r w:rsidR="00F705AD">
        <w:rPr>
          <w:rFonts w:cs="Times New Roman"/>
          <w:color w:val="000000"/>
          <w:sz w:val="22"/>
        </w:rPr>
        <w:t xml:space="preserve">the </w:t>
      </w:r>
      <w:r w:rsidRPr="001139CD">
        <w:rPr>
          <w:rFonts w:cs="Times New Roman"/>
          <w:color w:val="000000"/>
          <w:sz w:val="22"/>
        </w:rPr>
        <w:t xml:space="preserve">following </w:t>
      </w:r>
      <w:r w:rsidR="00F705AD">
        <w:rPr>
          <w:rFonts w:cs="Times New Roman"/>
          <w:color w:val="000000"/>
          <w:sz w:val="22"/>
        </w:rPr>
        <w:t xml:space="preserve">three </w:t>
      </w:r>
      <w:r w:rsidRPr="001139CD">
        <w:rPr>
          <w:rFonts w:cs="Times New Roman"/>
          <w:color w:val="000000"/>
          <w:sz w:val="22"/>
        </w:rPr>
        <w:t>priorities:</w:t>
      </w:r>
    </w:p>
    <w:p w14:paraId="345B41B8" w14:textId="77777777" w:rsidR="001139CD" w:rsidRPr="001139CD" w:rsidRDefault="001139CD" w:rsidP="001139CD">
      <w:pPr>
        <w:pStyle w:val="ListParagraph"/>
        <w:numPr>
          <w:ilvl w:val="0"/>
          <w:numId w:val="17"/>
        </w:numPr>
        <w:spacing w:after="0"/>
        <w:rPr>
          <w:rFonts w:cs="Times New Roman"/>
          <w:color w:val="000000"/>
          <w:sz w:val="22"/>
        </w:rPr>
      </w:pPr>
      <w:r w:rsidRPr="001139CD">
        <w:rPr>
          <w:rFonts w:cs="Times New Roman"/>
          <w:color w:val="000000"/>
          <w:sz w:val="22"/>
        </w:rPr>
        <w:t>Preventing wildlife trafficking and addressing its root causes</w:t>
      </w:r>
    </w:p>
    <w:p w14:paraId="2BF4F83A" w14:textId="77777777" w:rsidR="001139CD" w:rsidRPr="001139CD" w:rsidRDefault="001139CD" w:rsidP="001139CD">
      <w:pPr>
        <w:pStyle w:val="ListParagraph"/>
        <w:numPr>
          <w:ilvl w:val="0"/>
          <w:numId w:val="17"/>
        </w:numPr>
        <w:spacing w:after="0"/>
        <w:rPr>
          <w:rFonts w:cs="Times New Roman"/>
          <w:color w:val="000000"/>
          <w:sz w:val="22"/>
        </w:rPr>
      </w:pPr>
      <w:r w:rsidRPr="001139CD">
        <w:rPr>
          <w:rFonts w:cs="Times New Roman"/>
          <w:color w:val="000000"/>
          <w:sz w:val="22"/>
        </w:rPr>
        <w:t>Implementing and enforcing existing rules and combating organised crime more effectively</w:t>
      </w:r>
    </w:p>
    <w:p w14:paraId="6FE38E60" w14:textId="77777777" w:rsidR="001139CD" w:rsidRPr="001139CD" w:rsidRDefault="001139CD" w:rsidP="001139CD">
      <w:pPr>
        <w:pStyle w:val="ListParagraph"/>
        <w:numPr>
          <w:ilvl w:val="0"/>
          <w:numId w:val="17"/>
        </w:numPr>
        <w:spacing w:after="0"/>
        <w:rPr>
          <w:rFonts w:cs="Times New Roman"/>
          <w:color w:val="000000"/>
          <w:sz w:val="22"/>
        </w:rPr>
      </w:pPr>
      <w:r w:rsidRPr="001139CD">
        <w:rPr>
          <w:rFonts w:cs="Times New Roman"/>
          <w:color w:val="000000"/>
          <w:sz w:val="22"/>
        </w:rPr>
        <w:t xml:space="preserve">Strengthening the global partnership of source, consumer and transit countries against wildlife trafficking </w:t>
      </w:r>
    </w:p>
    <w:p w14:paraId="089D1656" w14:textId="12D3AFA1" w:rsidR="00611A99" w:rsidRDefault="00611A99" w:rsidP="001139CD">
      <w:pPr>
        <w:rPr>
          <w:rFonts w:cs="Times New Roman"/>
          <w:color w:val="000000"/>
          <w:sz w:val="22"/>
        </w:rPr>
      </w:pPr>
      <w:r>
        <w:rPr>
          <w:rFonts w:cs="Times New Roman"/>
          <w:color w:val="000000"/>
          <w:sz w:val="22"/>
        </w:rPr>
        <w:fldChar w:fldCharType="begin" w:fldLock="1"/>
      </w:r>
      <w:r w:rsidR="004A2BF2">
        <w:rPr>
          <w:rFonts w:cs="Times New Roman"/>
          <w:color w:val="000000"/>
          <w:sz w:val="22"/>
        </w:rPr>
        <w:instrText>ADDIN CSL_CITATION {"citationItems":[{"id":"ITEM-1","itemData":{"DOI":"10.2779/016138","ISBN":"ISBN 978-92-79-55076-8","author":[{"dropping-particle":"","family":"European Commission","given":"","non-dropping-particle":"","parse-names":false,"suffix":""}],"id":"ITEM-1","issued":{"date-parts":[["2016"]]},"page":"COM (2016) 87","title":"EU Action Plan against Wildlife Trafficking (COM (2016) 87 final)","type":"article-journal"},"uris":["http://www.mendeley.com/documents/?uuid=0a6ecdef-0299-32a7-ab3e-c936c7bd90c4"]}],"mendeley":{"formattedCitation":"(European Commission, 2016)","manualFormatting":"(European Commission, 2016:10)","plainTextFormattedCitation":"(European Commission, 2016)","previouslyFormattedCitation":"(European Commission, 2016)"},"properties":{"noteIndex":0},"schema":"https://github.com/citation-style-language/schema/raw/master/csl-citation.json"}</w:instrText>
      </w:r>
      <w:r>
        <w:rPr>
          <w:rFonts w:cs="Times New Roman"/>
          <w:color w:val="000000"/>
          <w:sz w:val="22"/>
        </w:rPr>
        <w:fldChar w:fldCharType="separate"/>
      </w:r>
      <w:r w:rsidRPr="00611A99">
        <w:rPr>
          <w:rFonts w:cs="Times New Roman"/>
          <w:noProof/>
          <w:color w:val="000000"/>
          <w:sz w:val="22"/>
        </w:rPr>
        <w:t>(European Commission, 2016</w:t>
      </w:r>
      <w:r>
        <w:rPr>
          <w:rFonts w:cs="Times New Roman"/>
          <w:noProof/>
          <w:color w:val="000000"/>
          <w:sz w:val="22"/>
        </w:rPr>
        <w:t>:10</w:t>
      </w:r>
      <w:r w:rsidRPr="00611A99">
        <w:rPr>
          <w:rFonts w:cs="Times New Roman"/>
          <w:noProof/>
          <w:color w:val="000000"/>
          <w:sz w:val="22"/>
        </w:rPr>
        <w:t>)</w:t>
      </w:r>
      <w:r>
        <w:rPr>
          <w:rFonts w:cs="Times New Roman"/>
          <w:color w:val="000000"/>
          <w:sz w:val="22"/>
        </w:rPr>
        <w:fldChar w:fldCharType="end"/>
      </w:r>
    </w:p>
    <w:p w14:paraId="07429A99" w14:textId="0B829B5A" w:rsidR="001139CD" w:rsidRDefault="001139CD" w:rsidP="001139CD">
      <w:pPr>
        <w:rPr>
          <w:rFonts w:cs="Times New Roman"/>
          <w:color w:val="000000"/>
          <w:sz w:val="22"/>
        </w:rPr>
      </w:pPr>
      <w:r w:rsidRPr="001139CD">
        <w:rPr>
          <w:rFonts w:cs="Times New Roman"/>
          <w:color w:val="000000"/>
          <w:sz w:val="22"/>
        </w:rPr>
        <w:lastRenderedPageBreak/>
        <w:t>T</w:t>
      </w:r>
      <w:r w:rsidR="00F705AD">
        <w:rPr>
          <w:rFonts w:cs="Times New Roman"/>
          <w:color w:val="000000"/>
          <w:sz w:val="22"/>
        </w:rPr>
        <w:t>he Action Plan recognises that “</w:t>
      </w:r>
      <w:r w:rsidRPr="001139CD">
        <w:rPr>
          <w:rFonts w:cs="Times New Roman"/>
          <w:color w:val="000000"/>
          <w:sz w:val="22"/>
        </w:rPr>
        <w:t>Europe is currently a destination market and a hub for traffick</w:t>
      </w:r>
      <w:r w:rsidR="00611A99">
        <w:rPr>
          <w:rFonts w:cs="Times New Roman"/>
          <w:color w:val="000000"/>
          <w:sz w:val="22"/>
        </w:rPr>
        <w:t>ing in transit to other regions</w:t>
      </w:r>
      <w:r w:rsidR="00F705AD">
        <w:rPr>
          <w:rFonts w:cs="Times New Roman"/>
          <w:color w:val="000000"/>
          <w:sz w:val="22"/>
        </w:rPr>
        <w:t xml:space="preserve">” </w:t>
      </w:r>
      <w:r w:rsidRPr="001139CD">
        <w:rPr>
          <w:rFonts w:cs="Times New Roman"/>
          <w:color w:val="000000"/>
          <w:sz w:val="22"/>
        </w:rPr>
        <w:fldChar w:fldCharType="begin" w:fldLock="1"/>
      </w:r>
      <w:r w:rsidRPr="001139CD">
        <w:rPr>
          <w:rFonts w:cs="Times New Roman"/>
          <w:color w:val="000000"/>
          <w:sz w:val="22"/>
        </w:rPr>
        <w:instrText>ADDIN CSL_CITATION {"citationItems":[{"id":"ITEM-1","itemData":{"DOI":"10.2779/016138","ISBN":"ISBN 978-92-79-55076-8","author":[{"dropping-particle":"","family":"European Commission","given":"","non-dropping-particle":"","parse-names":false,"suffix":""}],"id":"ITEM-1","issued":{"date-parts":[["2016"]]},"page":"COM (2016) 87","title":"EU Action Plan against Wildlife Trafficking (COM (2016) 87 final)","type":"article-journal"},"uris":["http://www.mendeley.com/documents/?uuid=0a6ecdef-0299-32a7-ab3e-c936c7bd90c4"]}],"mendeley":{"formattedCitation":"(European Commission, 2016)","manualFormatting":"(European Commission, 2016: 7)","plainTextFormattedCitation":"(European Commission, 2016)","previouslyFormattedCitation":"(European Commission, 2016)"},"properties":{"noteIndex":0},"schema":"https://github.com/citation-style-language/schema/raw/master/csl-citation.json"}</w:instrText>
      </w:r>
      <w:r w:rsidRPr="001139CD">
        <w:rPr>
          <w:rFonts w:cs="Times New Roman"/>
          <w:color w:val="000000"/>
          <w:sz w:val="22"/>
        </w:rPr>
        <w:fldChar w:fldCharType="separate"/>
      </w:r>
      <w:r w:rsidRPr="001139CD">
        <w:rPr>
          <w:rFonts w:cs="Times New Roman"/>
          <w:noProof/>
          <w:color w:val="000000"/>
          <w:sz w:val="22"/>
        </w:rPr>
        <w:t>(European Commission, 2016: 7)</w:t>
      </w:r>
      <w:r w:rsidRPr="001139CD">
        <w:rPr>
          <w:rFonts w:cs="Times New Roman"/>
          <w:color w:val="000000"/>
          <w:sz w:val="22"/>
        </w:rPr>
        <w:fldChar w:fldCharType="end"/>
      </w:r>
      <w:r w:rsidRPr="001139CD">
        <w:rPr>
          <w:rFonts w:cs="Times New Roman"/>
          <w:color w:val="000000"/>
          <w:sz w:val="22"/>
        </w:rPr>
        <w:t xml:space="preserve">; citing trade in ivory, rhino horn, and imports of reptiles and exotic birds as wildlife trafficking issues that implicate the EU. </w:t>
      </w:r>
      <w:r w:rsidR="00F705AD">
        <w:rPr>
          <w:rFonts w:cs="Times New Roman"/>
          <w:color w:val="000000"/>
          <w:sz w:val="22"/>
        </w:rPr>
        <w:t>The EU is also noted as</w:t>
      </w:r>
      <w:r w:rsidR="00436515">
        <w:rPr>
          <w:rFonts w:cs="Times New Roman"/>
          <w:color w:val="000000"/>
          <w:sz w:val="22"/>
        </w:rPr>
        <w:t xml:space="preserve"> “</w:t>
      </w:r>
      <w:r w:rsidRPr="001139CD">
        <w:rPr>
          <w:rFonts w:cs="Times New Roman"/>
          <w:color w:val="000000"/>
          <w:sz w:val="22"/>
        </w:rPr>
        <w:t>a region from which certain specie</w:t>
      </w:r>
      <w:r w:rsidR="00436515">
        <w:rPr>
          <w:rFonts w:cs="Times New Roman"/>
          <w:color w:val="000000"/>
          <w:sz w:val="22"/>
        </w:rPr>
        <w:t>s are sourced for illegal trade”</w:t>
      </w:r>
      <w:r w:rsidRPr="001139CD">
        <w:rPr>
          <w:rFonts w:cs="Times New Roman"/>
          <w:color w:val="000000"/>
          <w:sz w:val="22"/>
        </w:rPr>
        <w:t xml:space="preserve"> (ibid); and the trade in European eels to Asia is given as an example. However, notable by its absence in the EU Action Plan against Wildlife trafficking, are references to trafficking in European species for consumption </w:t>
      </w:r>
      <w:r w:rsidRPr="001139CD">
        <w:rPr>
          <w:rFonts w:cs="Times New Roman"/>
          <w:i/>
          <w:color w:val="000000"/>
          <w:sz w:val="22"/>
        </w:rPr>
        <w:t>within</w:t>
      </w:r>
      <w:r w:rsidRPr="001139CD">
        <w:rPr>
          <w:rFonts w:cs="Times New Roman"/>
          <w:color w:val="000000"/>
          <w:sz w:val="22"/>
        </w:rPr>
        <w:t xml:space="preserve"> the EU.</w:t>
      </w:r>
      <w:r w:rsidRPr="001139CD">
        <w:rPr>
          <w:rFonts w:cs="Times New Roman"/>
        </w:rPr>
        <w:t xml:space="preserve"> </w:t>
      </w:r>
      <w:r w:rsidRPr="001139CD">
        <w:rPr>
          <w:rFonts w:cs="Times New Roman"/>
          <w:color w:val="000000"/>
          <w:sz w:val="22"/>
        </w:rPr>
        <w:t>This is a glaring omission.</w:t>
      </w:r>
      <w:r w:rsidRPr="001139CD">
        <w:rPr>
          <w:rFonts w:cs="Times New Roman"/>
        </w:rPr>
        <w:t xml:space="preserve"> </w:t>
      </w:r>
      <w:r w:rsidRPr="001139CD">
        <w:rPr>
          <w:rFonts w:cs="Times New Roman"/>
          <w:color w:val="000000"/>
          <w:sz w:val="22"/>
        </w:rPr>
        <w:t xml:space="preserve">Intra-European wildlife trade is a largely overlooked issue and I wanted to draw attention to Europe’s role as a ‘silent hub’ for illegal wildlife trade </w:t>
      </w:r>
      <w:r w:rsidR="004A2BF2">
        <w:rPr>
          <w:rFonts w:cs="Times New Roman"/>
          <w:color w:val="000000"/>
          <w:sz w:val="22"/>
        </w:rPr>
        <w:fldChar w:fldCharType="begin" w:fldLock="1"/>
      </w:r>
      <w:r w:rsidR="009D7673">
        <w:rPr>
          <w:rFonts w:cs="Times New Roman"/>
          <w:color w:val="000000"/>
          <w:sz w:val="22"/>
        </w:rPr>
        <w:instrText>ADDIN CSL_CITATION {"citationItems":[{"id":"ITEM-1","itemData":{"URL":"https://www.dw.com/en/europe-a-silent-hub-of-illegal-wildlife-trade/a-37183459","accessed":{"date-parts":[["2020","5","26"]]},"author":[{"dropping-particle":"","family":"Banos-Ruiz","given":"Irene","non-dropping-particle":"","parse-names":false,"suffix":""}],"container-title":"Deutsche Welle","id":"ITEM-1","issued":{"date-parts":[["2017"]]},"title":"Europe, a silent hub of illegal wildlife trade","type":"webpage"},"uris":["http://www.mendeley.com/documents/?uuid=2c5d0174-e164-368a-aa2e-ee229aacb726"]}],"mendeley":{"formattedCitation":"(Banos-Ruiz, 2017)","plainTextFormattedCitation":"(Banos-Ruiz, 2017)","previouslyFormattedCitation":"(Banos-Ruiz, 2017)"},"properties":{"noteIndex":0},"schema":"https://github.com/citation-style-language/schema/raw/master/csl-citation.json"}</w:instrText>
      </w:r>
      <w:r w:rsidR="004A2BF2">
        <w:rPr>
          <w:rFonts w:cs="Times New Roman"/>
          <w:color w:val="000000"/>
          <w:sz w:val="22"/>
        </w:rPr>
        <w:fldChar w:fldCharType="separate"/>
      </w:r>
      <w:r w:rsidR="004A2BF2" w:rsidRPr="004A2BF2">
        <w:rPr>
          <w:rFonts w:cs="Times New Roman"/>
          <w:noProof/>
          <w:color w:val="000000"/>
          <w:sz w:val="22"/>
        </w:rPr>
        <w:t>(Banos-Ruiz, 2017)</w:t>
      </w:r>
      <w:r w:rsidR="004A2BF2">
        <w:rPr>
          <w:rFonts w:cs="Times New Roman"/>
          <w:color w:val="000000"/>
          <w:sz w:val="22"/>
        </w:rPr>
        <w:fldChar w:fldCharType="end"/>
      </w:r>
      <w:r w:rsidR="004A2BF2">
        <w:rPr>
          <w:rFonts w:cs="Times New Roman"/>
          <w:color w:val="000000"/>
          <w:sz w:val="22"/>
        </w:rPr>
        <w:t xml:space="preserve">. </w:t>
      </w:r>
      <w:r w:rsidRPr="001139CD">
        <w:rPr>
          <w:rFonts w:cs="Times New Roman"/>
          <w:color w:val="000000"/>
          <w:sz w:val="22"/>
        </w:rPr>
        <w:t>As such, I decided to ground my analysis of the EU’s approach to combatting wildlife trafficking by researching a wildlife trade that was particularly ‘European’ in its dimensions. To this extent, I decided to study the EU’s approach to tackling illegal caviar trade, given that the EU is a source, transit</w:t>
      </w:r>
      <w:r w:rsidR="004A2BF2">
        <w:rPr>
          <w:rFonts w:cs="Times New Roman"/>
          <w:color w:val="000000"/>
          <w:sz w:val="22"/>
        </w:rPr>
        <w:t>,</w:t>
      </w:r>
      <w:r w:rsidRPr="001139CD">
        <w:rPr>
          <w:rFonts w:cs="Times New Roman"/>
          <w:color w:val="000000"/>
          <w:sz w:val="22"/>
        </w:rPr>
        <w:t xml:space="preserve"> and market for trafficked caviar. Moreover, the international trade in caviar has undergone significant regulation since 1998 in order to tackle caviar trafficking and sturgeon poaching. I was interested in assessing how the caviar trade regulations manifest in the EU, and with what impacts. </w:t>
      </w:r>
    </w:p>
    <w:p w14:paraId="6011CA0B" w14:textId="77777777" w:rsidR="00E71290" w:rsidRPr="001139CD" w:rsidRDefault="00E71290" w:rsidP="001139CD">
      <w:pPr>
        <w:rPr>
          <w:rFonts w:cs="Times New Roman"/>
          <w:color w:val="000000"/>
          <w:sz w:val="22"/>
        </w:rPr>
      </w:pPr>
    </w:p>
    <w:p w14:paraId="21318AD1" w14:textId="77777777" w:rsidR="001139CD" w:rsidRPr="001139CD" w:rsidRDefault="001139CD" w:rsidP="001139CD">
      <w:pPr>
        <w:pStyle w:val="Heading3"/>
        <w:spacing w:line="360" w:lineRule="auto"/>
        <w:rPr>
          <w:rFonts w:cs="Times New Roman"/>
        </w:rPr>
      </w:pPr>
      <w:bookmarkStart w:id="12" w:name="_Toc453224185"/>
      <w:r w:rsidRPr="001139CD">
        <w:rPr>
          <w:rFonts w:cs="Times New Roman"/>
        </w:rPr>
        <w:t>1.2.1 Caviar trade in the EU</w:t>
      </w:r>
      <w:bookmarkEnd w:id="12"/>
      <w:r w:rsidRPr="001139CD">
        <w:rPr>
          <w:rFonts w:cs="Times New Roman"/>
        </w:rPr>
        <w:t xml:space="preserve"> </w:t>
      </w:r>
    </w:p>
    <w:p w14:paraId="04A7465A" w14:textId="53167792" w:rsidR="001139CD" w:rsidRPr="001139CD" w:rsidRDefault="001139CD" w:rsidP="001139CD">
      <w:pPr>
        <w:rPr>
          <w:rFonts w:cs="Times New Roman"/>
          <w:sz w:val="22"/>
        </w:rPr>
      </w:pPr>
      <w:r w:rsidRPr="001139CD">
        <w:rPr>
          <w:rFonts w:cs="Times New Roman"/>
          <w:sz w:val="22"/>
        </w:rPr>
        <w:t xml:space="preserve">There is limited critical social science research engaging with issues of caviar trade – legal or illegal – in the European Union. In particular, to my knowledge there exist no studies that examine EU caviar trade in a holistic manner, which theorises and links (illegal) caviar trade in Western Europe with (illegal) caviar trade dynamics in Eastern European states. This thesis seeks to address this gap. I suggest that a way to </w:t>
      </w:r>
      <w:r w:rsidR="00F705AD">
        <w:rPr>
          <w:rFonts w:cs="Times New Roman"/>
          <w:sz w:val="22"/>
        </w:rPr>
        <w:t xml:space="preserve">holistically </w:t>
      </w:r>
      <w:r w:rsidRPr="001139CD">
        <w:rPr>
          <w:rFonts w:cs="Times New Roman"/>
          <w:sz w:val="22"/>
        </w:rPr>
        <w:t>study caviar trade in the EU</w:t>
      </w:r>
      <w:r w:rsidR="00F705AD">
        <w:rPr>
          <w:rFonts w:cs="Times New Roman"/>
          <w:sz w:val="22"/>
        </w:rPr>
        <w:t xml:space="preserve">, </w:t>
      </w:r>
      <w:r w:rsidRPr="001139CD">
        <w:rPr>
          <w:rFonts w:cs="Times New Roman"/>
          <w:sz w:val="22"/>
        </w:rPr>
        <w:t>is to examine the EU caviar trade regulations and their broader geopoli</w:t>
      </w:r>
      <w:r w:rsidR="00F705AD">
        <w:rPr>
          <w:rFonts w:cs="Times New Roman"/>
          <w:sz w:val="22"/>
        </w:rPr>
        <w:t>tical-ecological implications across</w:t>
      </w:r>
      <w:r w:rsidRPr="001139CD">
        <w:rPr>
          <w:rFonts w:cs="Times New Roman"/>
          <w:sz w:val="22"/>
        </w:rPr>
        <w:t xml:space="preserve"> the EU. Examining the impacts of the caviar trade regulations opens up opportunities for explaining how the adoption of</w:t>
      </w:r>
      <w:r w:rsidR="00F705AD">
        <w:rPr>
          <w:rFonts w:cs="Times New Roman"/>
          <w:sz w:val="22"/>
        </w:rPr>
        <w:t xml:space="preserve"> particular</w:t>
      </w:r>
      <w:r w:rsidRPr="001139CD">
        <w:rPr>
          <w:rFonts w:cs="Times New Roman"/>
          <w:sz w:val="22"/>
        </w:rPr>
        <w:t xml:space="preserve"> aspects of the regulations – such as the criminalization of sturgeon fishing - in certain EU Member States, has unexpected knock-on effects in other EU Member States. </w:t>
      </w:r>
    </w:p>
    <w:p w14:paraId="204296AE" w14:textId="7D688B42" w:rsidR="001139CD" w:rsidRPr="001139CD" w:rsidRDefault="001139CD" w:rsidP="001139CD">
      <w:pPr>
        <w:rPr>
          <w:rFonts w:cs="Times New Roman"/>
          <w:sz w:val="22"/>
        </w:rPr>
      </w:pPr>
      <w:r w:rsidRPr="001139CD">
        <w:rPr>
          <w:rFonts w:cs="Times New Roman"/>
          <w:sz w:val="22"/>
        </w:rPr>
        <w:tab/>
        <w:t xml:space="preserve"> </w:t>
      </w:r>
      <w:r w:rsidRPr="001139CD">
        <w:rPr>
          <w:rFonts w:cs="Times New Roman"/>
          <w:color w:val="000000"/>
          <w:sz w:val="22"/>
          <w:lang w:val="en-US"/>
        </w:rPr>
        <w:t xml:space="preserve">Caviar is widely consumed in the European Union. Indeed, the EU is the world’s largest legal caviar importer </w:t>
      </w:r>
      <w:r w:rsidRPr="001139CD">
        <w:rPr>
          <w:rFonts w:cs="Times New Roman"/>
          <w:sz w:val="22"/>
        </w:rPr>
        <w:fldChar w:fldCharType="begin" w:fldLock="1"/>
      </w:r>
      <w:r w:rsidR="00EC7F7E">
        <w:rPr>
          <w:rFonts w:cs="Times New Roman"/>
          <w:sz w:val="22"/>
        </w:rPr>
        <w:instrText>ADDIN CSL_CITATION {"citationItems":[{"id":"ITEM-1","itemData":{"ISBN":"9781858504360","author":[{"dropping-particle":"","family":"Harris","given":"Lindsay","non-dropping-particle":"","parse-names":false,"suffix":""},{"dropping-particle":"","family":"Shiraishi","given":"Hiromi","non-dropping-particle":"","parse-names":false,"suffix":""}],"id":"ITEM-1","issued":{"date-parts":[["2018"]]},"title":"Understanding the Global Caviar Market: Results of a rapid assessment on trade in sturgeon caviar","type":"book"},"uris":["http://www.mendeley.com/documents/?uuid=b9953e8f-b1a5-46a7-9bf4-15d5dcb4e9c7"]}],"mendeley":{"formattedCitation":"(Harris and Shiraishi, 2018)","plainTextFormattedCitation":"(Harris and Shiraishi, 2018)","previouslyFormattedCitation":"(Harris and Shiraishi, 2018)"},"properties":{"noteIndex":0},"schema":"https://github.com/citation-style-language/schema/raw/master/csl-citation.json"}</w:instrText>
      </w:r>
      <w:r w:rsidRPr="001139CD">
        <w:rPr>
          <w:rFonts w:cs="Times New Roman"/>
          <w:sz w:val="22"/>
        </w:rPr>
        <w:fldChar w:fldCharType="separate"/>
      </w:r>
      <w:r w:rsidR="00042533" w:rsidRPr="00042533">
        <w:rPr>
          <w:rFonts w:cs="Times New Roman"/>
          <w:noProof/>
          <w:sz w:val="22"/>
        </w:rPr>
        <w:t>(Harris and Shiraishi, 2018)</w:t>
      </w:r>
      <w:r w:rsidRPr="001139CD">
        <w:rPr>
          <w:rFonts w:cs="Times New Roman"/>
          <w:sz w:val="22"/>
        </w:rPr>
        <w:fldChar w:fldCharType="end"/>
      </w:r>
      <w:r w:rsidRPr="001139CD">
        <w:rPr>
          <w:rFonts w:cs="Times New Roman"/>
          <w:sz w:val="22"/>
        </w:rPr>
        <w:t xml:space="preserve">. The EU is also recognised as the main global market for illegally traded caviar </w:t>
      </w:r>
      <w:r w:rsidRPr="001139CD">
        <w:rPr>
          <w:rFonts w:cs="Times New Roman"/>
          <w:sz w:val="22"/>
        </w:rPr>
        <w:fldChar w:fldCharType="begin" w:fldLock="1"/>
      </w:r>
      <w:r w:rsidR="00EC7F7E">
        <w:rPr>
          <w:rFonts w:cs="Times New Roman"/>
          <w:sz w:val="22"/>
        </w:rPr>
        <w:instrText>ADDIN CSL_CITATION {"citationItems":[{"id":"ITEM-1","itemData":{"author":[{"dropping-particle":"","family":"Knapp","given":"A","non-dropping-particle":"","parse-names":false,"suffix":""},{"dropping-particle":"","family":"Kitschke","given":"C","non-dropping-particle":"","parse-names":false,"suffix":""},{"dropping-particle":"","family":"Meibom","given":"S","non-dropping-particle":"von","parse-names":false,"suffix":""},{"dropping-particle":"","family":"TRAFFIC Europe","given":"","non-dropping-particle":"","parse-names":false,"suffix":""}],"container-title":"Proceedings of the international sturgeon enforcement workshop to combat illegal trade in caviar","id":"ITEM-1","issue":"June","issued":{"date-parts":[["2006"]]},"page":"-","title":"Proceedings of the international sturgeon enforcement workshop to combat illegal trade in caviar","type":"article-journal"},"uris":["http://www.mendeley.com/documents/?uuid=b8a3bcce-00b8-43f0-ae25-12c603609b00"]}],"mendeley":{"formattedCitation":"(Knapp &lt;i&gt;et al.&lt;/i&gt;, 2006)","plainTextFormattedCitation":"(Knapp et al., 2006)","previouslyFormattedCitation":"(Knapp &lt;i&gt;et al.&lt;/i&gt;, 2006)"},"properties":{"noteIndex":0},"schema":"https://github.com/citation-style-language/schema/raw/master/csl-citation.json"}</w:instrText>
      </w:r>
      <w:r w:rsidRPr="001139CD">
        <w:rPr>
          <w:rFonts w:cs="Times New Roman"/>
          <w:sz w:val="22"/>
        </w:rPr>
        <w:fldChar w:fldCharType="separate"/>
      </w:r>
      <w:r w:rsidR="00042533" w:rsidRPr="00042533">
        <w:rPr>
          <w:rFonts w:cs="Times New Roman"/>
          <w:noProof/>
          <w:sz w:val="22"/>
        </w:rPr>
        <w:t xml:space="preserve">(Knapp </w:t>
      </w:r>
      <w:r w:rsidR="00042533" w:rsidRPr="00042533">
        <w:rPr>
          <w:rFonts w:cs="Times New Roman"/>
          <w:i/>
          <w:noProof/>
          <w:sz w:val="22"/>
        </w:rPr>
        <w:t>et al.</w:t>
      </w:r>
      <w:r w:rsidR="00042533" w:rsidRPr="00042533">
        <w:rPr>
          <w:rFonts w:cs="Times New Roman"/>
          <w:noProof/>
          <w:sz w:val="22"/>
        </w:rPr>
        <w:t>, 2006)</w:t>
      </w:r>
      <w:r w:rsidRPr="001139CD">
        <w:rPr>
          <w:rFonts w:cs="Times New Roman"/>
          <w:sz w:val="22"/>
        </w:rPr>
        <w:fldChar w:fldCharType="end"/>
      </w:r>
      <w:r w:rsidRPr="001139CD">
        <w:rPr>
          <w:rFonts w:cs="Times New Roman"/>
          <w:sz w:val="22"/>
        </w:rPr>
        <w:t>; with 10t of illegally traded caviar confiscated</w:t>
      </w:r>
      <w:r w:rsidR="009D7673">
        <w:rPr>
          <w:rFonts w:cs="Times New Roman"/>
          <w:sz w:val="22"/>
        </w:rPr>
        <w:t xml:space="preserve"> by authorities in EU Member S</w:t>
      </w:r>
      <w:r w:rsidRPr="001139CD">
        <w:rPr>
          <w:rFonts w:cs="Times New Roman"/>
          <w:sz w:val="22"/>
        </w:rPr>
        <w:t xml:space="preserve">tates between 2001-2010 (Van Uhm &amp; Siegel, 2016:77). </w:t>
      </w:r>
      <w:r w:rsidR="00F705AD">
        <w:rPr>
          <w:rFonts w:cs="Times New Roman"/>
          <w:sz w:val="22"/>
        </w:rPr>
        <w:t xml:space="preserve">Between </w:t>
      </w:r>
      <w:r w:rsidRPr="001139CD">
        <w:rPr>
          <w:rFonts w:cs="Times New Roman"/>
          <w:sz w:val="22"/>
        </w:rPr>
        <w:t>2010-2016 confiscations of illegal caviar declined to 787kg in the EU (Harris and Shiraishi, 2018). This</w:t>
      </w:r>
      <w:r w:rsidR="009D7673">
        <w:rPr>
          <w:rFonts w:cs="Times New Roman"/>
          <w:sz w:val="22"/>
        </w:rPr>
        <w:t xml:space="preserve"> decline</w:t>
      </w:r>
      <w:r w:rsidRPr="001139CD">
        <w:rPr>
          <w:rFonts w:cs="Times New Roman"/>
          <w:sz w:val="22"/>
        </w:rPr>
        <w:t xml:space="preserve"> coincided with the expansion of regulatory mechanisms</w:t>
      </w:r>
      <w:r w:rsidR="009D7673">
        <w:rPr>
          <w:rFonts w:cs="Times New Roman"/>
          <w:sz w:val="22"/>
        </w:rPr>
        <w:t>, which</w:t>
      </w:r>
      <w:r w:rsidRPr="001139CD">
        <w:rPr>
          <w:rFonts w:cs="Times New Roman"/>
          <w:sz w:val="22"/>
        </w:rPr>
        <w:t xml:space="preserve"> prompted the wholesale transformation of the caviar industry in the EU and globally: moving from one that was almost wholly supplied by wild caviar until 2006, to one that is now built on aquaculture and farmed production of caviar. </w:t>
      </w:r>
    </w:p>
    <w:p w14:paraId="359B5C97" w14:textId="4886F49C" w:rsidR="001139CD" w:rsidRPr="009D7673" w:rsidRDefault="001139CD" w:rsidP="009D7673">
      <w:pPr>
        <w:ind w:firstLine="720"/>
        <w:rPr>
          <w:rFonts w:cs="Times New Roman"/>
          <w:color w:val="000000"/>
          <w:sz w:val="22"/>
          <w:lang w:val="en-US"/>
        </w:rPr>
      </w:pPr>
      <w:r w:rsidRPr="001139CD">
        <w:rPr>
          <w:rFonts w:cs="Times New Roman"/>
          <w:sz w:val="22"/>
        </w:rPr>
        <w:lastRenderedPageBreak/>
        <w:t xml:space="preserve">Despite the criminalization of wild caviar consumption and sturgeon fishing in the EU, poaching of sturgeon for caviar continues </w:t>
      </w:r>
      <w:r w:rsidRPr="001139CD">
        <w:rPr>
          <w:rFonts w:cs="Times New Roman"/>
          <w:color w:val="000000"/>
          <w:sz w:val="22"/>
        </w:rPr>
        <w:fldChar w:fldCharType="begin" w:fldLock="1"/>
      </w:r>
      <w:r w:rsidR="00EC7F7E">
        <w:rPr>
          <w:rFonts w:cs="Times New Roman"/>
          <w:color w:val="000000"/>
          <w:sz w:val="22"/>
        </w:rPr>
        <w:instrText>ADDIN CSL_CITATION {"citationItems":[{"id":"ITEM-1","itemData":{"ISBN":"9781858504360","author":[{"dropping-particle":"","family":"Harris","given":"Lindsay","non-dropping-particle":"","parse-names":false,"suffix":""},{"dropping-particle":"","family":"Shiraishi","given":"Hiromi","non-dropping-particle":"","parse-names":false,"suffix":""}],"id":"ITEM-1","issued":{"date-parts":[["2018"]]},"title":"Understanding the Global Caviar Market: Results of a rapid assessment on trade in sturgeon caviar","type":"book"},"uris":["http://www.mendeley.com/documents/?uuid=b9953e8f-b1a5-46a7-9bf4-15d5dcb4e9c7"]},{"id":"ITEM-2","itemData":{"ISBN":"9781911646051","abstract":"The illegal exploitation of the world's fl ora and fauna is a serious and growing problem globally, negatively impacting economic and social development, security and governance. Wildlife and forest crime has all the hallmarks of transnational organized crime and frequently involves other forms of seri-ous crime such as fraud, money laundering and corruption. Transnational organized criminal networks are moving poached or illegally harvested wildlife using a variety of smuggling techniques, often by means of existing infrastruc-tures and well-developed routes used for the traffi cking of drugs, people, weapons, counterfeit goods and other forms of contraband. All links in this traffi cking chain are facili-tated by varying levels of corruption – both in the public and private sectors. Yet in spite of all the negative impacts, wildlife and forest crime continues to be viewed as being outside 'main-stream crime' by many in the law enforcement community, governments and the public. Despite the transnational and organized nature of this illicit trade, the response varies signif-icantly from one region to another. Successful investigations and prosecutions are few, an indication of the low priority often given to this issue. When addressing corruption linked to wildlife and forest crime, efforts are haphazard, if any.","author":[{"dropping-particle":"","family":"Musing, L., Harris, L., Williams, A., Parry- Jones, R., van Uhm, D., Wyatt","given":"T.","non-dropping-particle":"","parse-names":false,"suffix":""}],"id":"ITEM-2","issued":{"date-parts":[["2019"]]},"title":"Corruption and Wildlife crime: A focus on caviar trade","type":"book"},"uris":["http://www.mendeley.com/documents/?uuid=a55a63cf-6b7f-4a17-8fad-345667ee03ac"]},{"id":"ITEM-3","itemData":{"author":[{"dropping-particle":"","family":"Jahrl","given":"J.","non-dropping-particle":"","parse-names":false,"suffix":""}],"id":"ITEM-3","issued":{"date-parts":[["2013"]]},"page":"54","title":"Illegal Caviar Trade in Bulgaria and Romania: Results of a market survey on trade in caviar from sturgeons (Acipenseridae).","type":"article-journal"},"uris":["http://www.mendeley.com/documents/?uuid=1261adf1-05f4-44f1-acf9-e025b430e371"]}],"mendeley":{"formattedCitation":"(Jahrl, 2013; Harris and Shiraishi, 2018; Musing, L., Harris, L., Williams, A., Parry- Jones, R., van Uhm, D., Wyatt, 2019)","manualFormatting":"(Jahrl, 2013; Harris and Shiraishi, 2018; Musing et al., 2019)","plainTextFormattedCitation":"(Jahrl, 2013; Harris and Shiraishi, 2018; Musing, L., Harris, L., Williams, A., Parry- Jones, R., van Uhm, D., Wyatt, 2019)","previouslyFormattedCitation":"(Jahrl, 2013; Harris and Shiraishi, 2018; Musing, L., Harris, L., Williams, A., Parry- Jones, R., van Uhm, D., Wyatt, 2019)"},"properties":{"noteIndex":0},"schema":"https://github.com/citation-style-language/schema/raw/master/csl-citation.json"}</w:instrText>
      </w:r>
      <w:r w:rsidRPr="001139CD">
        <w:rPr>
          <w:rFonts w:cs="Times New Roman"/>
          <w:color w:val="000000"/>
          <w:sz w:val="22"/>
        </w:rPr>
        <w:fldChar w:fldCharType="separate"/>
      </w:r>
      <w:r w:rsidRPr="001139CD">
        <w:rPr>
          <w:rFonts w:cs="Times New Roman"/>
          <w:noProof/>
          <w:color w:val="000000"/>
          <w:sz w:val="22"/>
        </w:rPr>
        <w:t xml:space="preserve">(Jahrl, 2013; Harris and Shiraishi, 2018; Musing </w:t>
      </w:r>
      <w:r w:rsidRPr="001139CD">
        <w:rPr>
          <w:rFonts w:cs="Times New Roman"/>
          <w:i/>
          <w:noProof/>
          <w:color w:val="000000"/>
          <w:sz w:val="22"/>
        </w:rPr>
        <w:t>et al.</w:t>
      </w:r>
      <w:r w:rsidRPr="001139CD">
        <w:rPr>
          <w:rFonts w:cs="Times New Roman"/>
          <w:noProof/>
          <w:color w:val="000000"/>
          <w:sz w:val="22"/>
        </w:rPr>
        <w:t>, 2019)</w:t>
      </w:r>
      <w:r w:rsidRPr="001139CD">
        <w:rPr>
          <w:rFonts w:cs="Times New Roman"/>
          <w:color w:val="000000"/>
          <w:sz w:val="22"/>
        </w:rPr>
        <w:fldChar w:fldCharType="end"/>
      </w:r>
      <w:r w:rsidR="009D7673">
        <w:rPr>
          <w:rFonts w:cs="Times New Roman"/>
          <w:color w:val="000000"/>
          <w:sz w:val="22"/>
        </w:rPr>
        <w:t>. Indeed, s</w:t>
      </w:r>
      <w:r w:rsidR="00436515">
        <w:rPr>
          <w:rFonts w:cs="Times New Roman"/>
          <w:color w:val="000000"/>
          <w:sz w:val="22"/>
        </w:rPr>
        <w:t>ome NGO reports argue that “</w:t>
      </w:r>
      <w:r w:rsidRPr="001139CD">
        <w:rPr>
          <w:rFonts w:cs="Times New Roman"/>
          <w:color w:val="000000"/>
          <w:sz w:val="22"/>
          <w:lang w:val="en-US"/>
        </w:rPr>
        <w:t>illegal fishing and trade has reached alarming proportions and have become the main direct threat to the s</w:t>
      </w:r>
      <w:r w:rsidR="00436515">
        <w:rPr>
          <w:rFonts w:cs="Times New Roman"/>
          <w:color w:val="000000"/>
          <w:sz w:val="22"/>
          <w:lang w:val="en-US"/>
        </w:rPr>
        <w:t>urvival of the Danube sturgeons”</w:t>
      </w:r>
      <w:r w:rsidRPr="001139CD">
        <w:rPr>
          <w:rFonts w:cs="Times New Roman"/>
          <w:color w:val="000000"/>
          <w:sz w:val="22"/>
          <w:lang w:val="en-US"/>
        </w:rPr>
        <w:t xml:space="preserve"> </w:t>
      </w:r>
      <w:r w:rsidRPr="001139CD">
        <w:rPr>
          <w:rFonts w:cs="Times New Roman"/>
          <w:color w:val="000000"/>
          <w:sz w:val="22"/>
          <w:lang w:val="en-US"/>
        </w:rPr>
        <w:fldChar w:fldCharType="begin" w:fldLock="1"/>
      </w:r>
      <w:r w:rsidR="00EC7F7E">
        <w:rPr>
          <w:rFonts w:cs="Times New Roman"/>
          <w:color w:val="000000"/>
          <w:sz w:val="22"/>
          <w:lang w:val="en-US"/>
        </w:rPr>
        <w:instrText>ADDIN CSL_CITATION {"citationItems":[{"id":"ITEM-1","itemData":{"author":[{"dropping-particle":"","family":"Schlingeman","given":"Lynn","non-dropping-particle":"","parse-names":false,"suffix":""},{"dropping-particle":"","family":"Bortoli","given":"Isidoro","non-dropping-particle":"de","parse-names":false,"suffix":""},{"dropping-particle":"","family":"Favilli","given":"Filippo","non-dropping-particle":"","parse-names":false,"suffix":""},{"dropping-particle":"","family":"Egerer","given":"Harold","non-dropping-particle":"","parse-names":false,"suffix":""},{"dropping-particle":"","family":"Musco","given":"Eleonora","non-dropping-particle":"","parse-names":false,"suffix":""},{"dropping-particle":"","family":"Lucius","given":"Irene","non-dropping-particle":"","parse-names":false,"suffix":""}],"container-title":"A UN Environment - Eurac Research - WWF Reort","id":"ITEM-1","issued":{"date-parts":[["2017"]]},"title":"Combating Wildlife and Forest Crime in the Danube-Carpathian Region","type":"article-journal"},"uris":["http://www.mendeley.com/documents/?uuid=bc7d1b54-017b-476c-9072-7bd5fa99aeda"]}],"mendeley":{"formattedCitation":"(Schlingeman &lt;i&gt;et al.&lt;/i&gt;, 2017)","manualFormatting":"(Schlingeman et al., 2017:10)","plainTextFormattedCitation":"(Schlingeman et al., 2017)","previouslyFormattedCitation":"(Schlingeman &lt;i&gt;et al.&lt;/i&gt;, 2017)"},"properties":{"noteIndex":0},"schema":"https://github.com/citation-style-language/schema/raw/master/csl-citation.json"}</w:instrText>
      </w:r>
      <w:r w:rsidRPr="001139CD">
        <w:rPr>
          <w:rFonts w:cs="Times New Roman"/>
          <w:color w:val="000000"/>
          <w:sz w:val="22"/>
          <w:lang w:val="en-US"/>
        </w:rPr>
        <w:fldChar w:fldCharType="separate"/>
      </w:r>
      <w:r w:rsidRPr="001139CD">
        <w:rPr>
          <w:rFonts w:cs="Times New Roman"/>
          <w:noProof/>
          <w:color w:val="000000"/>
          <w:sz w:val="22"/>
          <w:lang w:val="en-US"/>
        </w:rPr>
        <w:t xml:space="preserve">(Schlingeman </w:t>
      </w:r>
      <w:r w:rsidRPr="001139CD">
        <w:rPr>
          <w:rFonts w:cs="Times New Roman"/>
          <w:i/>
          <w:noProof/>
          <w:color w:val="000000"/>
          <w:sz w:val="22"/>
          <w:lang w:val="en-US"/>
        </w:rPr>
        <w:t>et al.</w:t>
      </w:r>
      <w:r w:rsidRPr="001139CD">
        <w:rPr>
          <w:rFonts w:cs="Times New Roman"/>
          <w:noProof/>
          <w:color w:val="000000"/>
          <w:sz w:val="22"/>
          <w:lang w:val="en-US"/>
        </w:rPr>
        <w:t>, 2017:10)</w:t>
      </w:r>
      <w:r w:rsidRPr="001139CD">
        <w:rPr>
          <w:rFonts w:cs="Times New Roman"/>
          <w:color w:val="000000"/>
          <w:sz w:val="22"/>
          <w:lang w:val="en-US"/>
        </w:rPr>
        <w:fldChar w:fldCharType="end"/>
      </w:r>
      <w:r w:rsidRPr="001139CD">
        <w:rPr>
          <w:rFonts w:cs="Times New Roman"/>
          <w:color w:val="000000"/>
          <w:sz w:val="22"/>
          <w:lang w:val="en-US"/>
        </w:rPr>
        <w:t xml:space="preserve">. </w:t>
      </w:r>
      <w:r w:rsidR="009D7673" w:rsidRPr="001139CD">
        <w:rPr>
          <w:rFonts w:cs="Times New Roman"/>
          <w:color w:val="000000"/>
          <w:sz w:val="22"/>
        </w:rPr>
        <w:t>Out of the 6 species of sturgeon native to the Danube River</w:t>
      </w:r>
      <w:r w:rsidR="009D7673">
        <w:rPr>
          <w:rFonts w:cs="Times New Roman"/>
          <w:color w:val="000000"/>
          <w:sz w:val="22"/>
        </w:rPr>
        <w:t xml:space="preserve"> Basin</w:t>
      </w:r>
      <w:r w:rsidR="009D7673" w:rsidRPr="001139CD">
        <w:rPr>
          <w:rFonts w:cs="Times New Roman"/>
          <w:color w:val="000000"/>
          <w:sz w:val="22"/>
        </w:rPr>
        <w:t>, the European Sturgeon (</w:t>
      </w:r>
      <w:r w:rsidR="009D7673" w:rsidRPr="001139CD">
        <w:rPr>
          <w:rFonts w:cs="Times New Roman"/>
          <w:i/>
          <w:color w:val="000000"/>
          <w:sz w:val="22"/>
        </w:rPr>
        <w:t>A. Sturio</w:t>
      </w:r>
      <w:r w:rsidR="009D7673" w:rsidRPr="001139CD">
        <w:rPr>
          <w:rFonts w:cs="Times New Roman"/>
          <w:color w:val="000000"/>
          <w:sz w:val="22"/>
        </w:rPr>
        <w:t>) is now extinct, and the other 5 species</w:t>
      </w:r>
      <w:r w:rsidR="009D7673" w:rsidRPr="005B292F">
        <w:rPr>
          <w:rStyle w:val="FootnoteReference"/>
        </w:rPr>
        <w:footnoteReference w:id="3"/>
      </w:r>
      <w:r w:rsidR="009D7673" w:rsidRPr="001139CD">
        <w:rPr>
          <w:rFonts w:cs="Times New Roman"/>
          <w:color w:val="000000"/>
          <w:sz w:val="22"/>
        </w:rPr>
        <w:t xml:space="preserve"> are listed as ‘critically endangered’ on the IUCN Red List</w:t>
      </w:r>
      <w:r w:rsidR="00BF5A40" w:rsidRPr="005B292F">
        <w:rPr>
          <w:rStyle w:val="FootnoteReference"/>
        </w:rPr>
        <w:footnoteReference w:id="4"/>
      </w:r>
      <w:r w:rsidR="009D7673" w:rsidRPr="001139CD">
        <w:rPr>
          <w:rFonts w:cs="Times New Roman"/>
          <w:color w:val="000000"/>
          <w:sz w:val="22"/>
        </w:rPr>
        <w:t>.</w:t>
      </w:r>
      <w:r w:rsidR="009D7673">
        <w:rPr>
          <w:rFonts w:cs="Times New Roman"/>
          <w:color w:val="000000"/>
          <w:sz w:val="22"/>
        </w:rPr>
        <w:t xml:space="preserve"> </w:t>
      </w:r>
      <w:r w:rsidR="009D7673">
        <w:rPr>
          <w:rFonts w:cs="Times New Roman"/>
          <w:color w:val="000000"/>
          <w:sz w:val="22"/>
          <w:lang w:val="en-US"/>
        </w:rPr>
        <w:t xml:space="preserve">The Danube River Basin is the focus of these studies, as it is the only habitat in Europe with remaining viable wild sturgeon populations. Specifically, Romania and Bulgaria are the only EU Member States with naturally reproducing sturgeon populations. </w:t>
      </w:r>
      <w:r w:rsidRPr="001139CD">
        <w:rPr>
          <w:rFonts w:cs="Times New Roman"/>
          <w:color w:val="000000"/>
          <w:sz w:val="22"/>
        </w:rPr>
        <w:t>However, NGO-led studies</w:t>
      </w:r>
      <w:r w:rsidR="009D7673">
        <w:rPr>
          <w:rFonts w:cs="Times New Roman"/>
          <w:color w:val="000000"/>
          <w:sz w:val="22"/>
        </w:rPr>
        <w:t xml:space="preserve"> </w:t>
      </w:r>
      <w:r w:rsidR="009D7673">
        <w:rPr>
          <w:rFonts w:cs="Times New Roman"/>
          <w:color w:val="000000"/>
          <w:sz w:val="22"/>
        </w:rPr>
        <w:fldChar w:fldCharType="begin" w:fldLock="1"/>
      </w:r>
      <w:r w:rsidR="00EC7F7E">
        <w:rPr>
          <w:rFonts w:cs="Times New Roman"/>
          <w:color w:val="000000"/>
          <w:sz w:val="22"/>
        </w:rPr>
        <w:instrText>ADDIN CSL_CITATION {"citationItems":[{"id":"ITEM-1","itemData":{"author":[{"dropping-particle":"","family":"Jahrl","given":"J.","non-dropping-particle":"","parse-names":false,"suffix":""}],"id":"ITEM-1","issued":{"date-parts":[["2013"]]},"page":"54","title":"Illegal Caviar Trade in Bulgaria and Romania: Results of a market survey on trade in caviar from sturgeons (Acipenseridae).","type":"article-journal"},"uris":["http://www.mendeley.com/documents/?uuid=1261adf1-05f4-44f1-acf9-e025b430e371"]},{"id":"ITEM-2","itemData":{"ISBN":"9782930490144","author":[{"dropping-particle":"","family":"Kecse-Nagy","given":"Katalin","non-dropping-particle":"","parse-names":false,"suffix":""}],"id":"ITEM-2","issued":{"date-parts":[["2011"]]},"title":"Trade in Sturgeon Caviar in Bulgaria and Romania-overview of reported trade in caviar","type":"book"},"uris":["http://www.mendeley.com/documents/?uuid=b2c28520-cf4d-31b0-8f66-39dc5944ddaf"]}],"mendeley":{"formattedCitation":"(Kecse-Nagy, 2011; Jahrl, 2013)","plainTextFormattedCitation":"(Kecse-Nagy, 2011; Jahrl, 2013)","previouslyFormattedCitation":"(Kecse-Nagy, 2011; Jahrl, 2013)"},"properties":{"noteIndex":0},"schema":"https://github.com/citation-style-language/schema/raw/master/csl-citation.json"}</w:instrText>
      </w:r>
      <w:r w:rsidR="009D7673">
        <w:rPr>
          <w:rFonts w:cs="Times New Roman"/>
          <w:color w:val="000000"/>
          <w:sz w:val="22"/>
        </w:rPr>
        <w:fldChar w:fldCharType="separate"/>
      </w:r>
      <w:r w:rsidR="00042533" w:rsidRPr="00042533">
        <w:rPr>
          <w:rFonts w:cs="Times New Roman"/>
          <w:noProof/>
          <w:color w:val="000000"/>
          <w:sz w:val="22"/>
        </w:rPr>
        <w:t>(Kecse-Nagy, 2011; Jahrl, 2013)</w:t>
      </w:r>
      <w:r w:rsidR="009D7673">
        <w:rPr>
          <w:rFonts w:cs="Times New Roman"/>
          <w:color w:val="000000"/>
          <w:sz w:val="22"/>
        </w:rPr>
        <w:fldChar w:fldCharType="end"/>
      </w:r>
      <w:r w:rsidRPr="001139CD">
        <w:rPr>
          <w:rFonts w:cs="Times New Roman"/>
          <w:color w:val="000000"/>
          <w:sz w:val="22"/>
        </w:rPr>
        <w:t xml:space="preserve"> suggest that demand for caviar on EU markets is fuelli</w:t>
      </w:r>
      <w:r w:rsidR="00BF5A40">
        <w:rPr>
          <w:rFonts w:cs="Times New Roman"/>
          <w:color w:val="000000"/>
          <w:sz w:val="22"/>
        </w:rPr>
        <w:t>ng sturgeon crimes in these EU Member S</w:t>
      </w:r>
      <w:r w:rsidRPr="001139CD">
        <w:rPr>
          <w:rFonts w:cs="Times New Roman"/>
          <w:color w:val="000000"/>
          <w:sz w:val="22"/>
        </w:rPr>
        <w:t xml:space="preserve">tates, and these dynamics have a significant role to play in pushing sturgeon closer to extinction. </w:t>
      </w:r>
    </w:p>
    <w:p w14:paraId="243BDC5B" w14:textId="450F514A" w:rsidR="001139CD" w:rsidRPr="00042533" w:rsidRDefault="001139CD" w:rsidP="00042533">
      <w:pPr>
        <w:ind w:firstLine="720"/>
        <w:rPr>
          <w:rFonts w:cs="Times New Roman"/>
          <w:sz w:val="22"/>
        </w:rPr>
      </w:pPr>
      <w:r w:rsidRPr="001139CD">
        <w:rPr>
          <w:rFonts w:cs="Times New Roman"/>
          <w:sz w:val="22"/>
        </w:rPr>
        <w:t>Moreover, the illegal trade in caviar within the EU is</w:t>
      </w:r>
      <w:r w:rsidR="00BF5A40">
        <w:rPr>
          <w:rFonts w:cs="Times New Roman"/>
          <w:sz w:val="22"/>
        </w:rPr>
        <w:t xml:space="preserve"> said to be</w:t>
      </w:r>
      <w:r w:rsidR="00436515">
        <w:rPr>
          <w:rFonts w:cs="Times New Roman"/>
          <w:sz w:val="22"/>
        </w:rPr>
        <w:t xml:space="preserve"> “well-organized”</w:t>
      </w:r>
      <w:r w:rsidRPr="001139CD">
        <w:rPr>
          <w:rFonts w:cs="Times New Roman"/>
          <w:sz w:val="22"/>
        </w:rPr>
        <w:t>, us</w:t>
      </w:r>
      <w:r w:rsidR="00B33229">
        <w:rPr>
          <w:rFonts w:cs="Times New Roman"/>
          <w:sz w:val="22"/>
        </w:rPr>
        <w:t>e</w:t>
      </w:r>
      <w:r w:rsidR="00436515">
        <w:rPr>
          <w:rFonts w:cs="Times New Roman"/>
          <w:sz w:val="22"/>
        </w:rPr>
        <w:t xml:space="preserve"> “sophisticated methods” and “</w:t>
      </w:r>
      <w:r w:rsidRPr="001139CD">
        <w:rPr>
          <w:rFonts w:cs="Times New Roman"/>
          <w:sz w:val="22"/>
        </w:rPr>
        <w:t>is considered to have strong lin</w:t>
      </w:r>
      <w:r w:rsidR="00436515">
        <w:rPr>
          <w:rFonts w:cs="Times New Roman"/>
          <w:sz w:val="22"/>
        </w:rPr>
        <w:t xml:space="preserve">ks with organized crime groups” </w:t>
      </w:r>
      <w:r w:rsidRPr="001139CD">
        <w:rPr>
          <w:rFonts w:cs="Times New Roman"/>
          <w:sz w:val="22"/>
        </w:rPr>
        <w:t xml:space="preserve">(Kecse-Nagy, 2011:1) both internal and external to the EU. In particular, references are made to the transnational reach of a purported ‘caviar mafia’, that is active in smuggling operations in EU member states </w:t>
      </w:r>
      <w:r w:rsidR="00042533">
        <w:rPr>
          <w:rFonts w:cs="Times New Roman"/>
          <w:sz w:val="22"/>
        </w:rPr>
        <w:fldChar w:fldCharType="begin" w:fldLock="1"/>
      </w:r>
      <w:r w:rsidR="00EC7F7E">
        <w:rPr>
          <w:rFonts w:cs="Times New Roman"/>
          <w:sz w:val="22"/>
        </w:rPr>
        <w:instrText>ADDIN CSL_CITATION {"citationItems":[{"id":"ITEM-1","itemData":{"DOI":"10.1007/s12117-016-9264-5","ISBN":"0165-1684","ISSN":"19364830","abstract":"The trade in caviar has a rich and colorful history, influenced over thousands of years by many cultures, societies and in the last decades by regulation. The value of caviar is historically discovered in the context of social change, political relationships and environmental change. The role of organized crime is described, as the scarcity of caviar has offered the unique opportunity to fish illegally, smuggle and trade contraband to mainly European countries with millions in profits. This study highlights that these criminal networks manifest themselves at all levels of the trade: from the poaching areas where organized criminal groups cooperate with law enforcers and possess top-notch equipment to major smuggling operations in the hands of sophisticated criminal networks. Although due to overexploitation ‘wild caviar’ is increasingly difficult to obtain, the demand in the context of exclusivity and scarcity remains intact by the upper class society desire for edible gold.","author":[{"dropping-particle":"","family":"Uhm","given":"Daan","non-dropping-particle":"van","parse-names":false,"suffix":""},{"dropping-particle":"","family":"Siegel","given":"Dina","non-dropping-particle":"","parse-names":false,"suffix":""}],"container-title":"Trends in Organized Crime","id":"ITEM-1","issue":"1","issued":{"date-parts":[["2016"]]},"page":"67-87","title":"The illegal trade in black caviar","type":"article-journal","volume":"19"},"uris":["http://www.mendeley.com/documents/?uuid=34c9ccf8-422d-4c42-a907-21a3eb6a28ad"]},{"id":"ITEM-2","itemData":{"ISBN":"1137269251","abstract":"The global illegal wildlife trade is a burgeoning black market which is threatening the survival of numerous species. Wyatt's unique analysis provides new theoretical conceptualisations of the victims and offenders of wildlife trafficking, and furthers the discussion of these crimes through a distinctive green criminological perspective.This book begins with essential background information into the scale and scope of the smuggling of animals and plants bringing to light the often unknown magnitude of this black market. Wyatt considers the threats posed to the environment, people and the economy and evaluates the reasons behind wildlife trafficking by exploring the demand for wildlife. Detailing the interdisciplinary stakeholders involved in fighting wildlife trafficking as well as the collaborative efforts that they are engaged in to end this black market, the book ends with a look to the future of the illegal wildlife trade and the chances of survival for those species targeted for human consumption.Exploring how law enforcement, environmentalists, policy makers, and the public must find a common ground in regards to criminalisation and conservation in the diverse regions supplying the illegal wildlife trade, this book will appeal to scholars in the areas of Green Criminology, Environmental Sociology, Environmental Justice, Victimology and Organized Crime as well as conservationists and ecologists more broadly.","author":[{"dropping-particle":"","family":"Wyatt","given":"Tanya","non-dropping-particle":"","parse-names":false,"suffix":""}],"id":"ITEM-2","issued":{"date-parts":[["2013"]]},"number-of-pages":"224","publisher":"Palgrave Macmillan UK","title":"Wildlife Trafficking: A Deconstruction of the Crime, the Victims, and the Offenders","type":"book"},"uris":["http://www.mendeley.com/documents/?uuid=112773e4-3cc2-3348-951f-91d8878d9fc6"]},{"id":"ITEM-3","itemData":{"author":[{"dropping-particle":"","family":"Ratchford","given":"Marina","non-dropping-particle":"","parse-names":false,"suffix":""},{"dropping-particle":"","family":"Allgood","given":"Beth","non-dropping-particle":"","parse-names":false,"suffix":""},{"dropping-particle":"","family":"Todd","given":"Paul","non-dropping-particle":"","parse-names":false,"suffix":""}],"id":"ITEM-3","issued":{"date-parts":[["2013"]]},"title":"Criminal Nature: The global security implications of the illegal wildlife trade","type":"report"},"uris":["http://www.mendeley.com/documents/?uuid=6611b16c-ca6e-3645-b835-3ad3581dd882"]}],"mendeley":{"formattedCitation":"(Ratchford, Allgood and Todd, 2013; Wyatt, 2013; van Uhm and Siegel, 2016)","plainTextFormattedCitation":"(Ratchford, Allgood and Todd, 2013; Wyatt, 2013; van Uhm and Siegel, 2016)","previouslyFormattedCitation":"(Ratchford, Allgood and Todd, 2013; Wyatt, 2013; van Uhm and Siegel, 2016)"},"properties":{"noteIndex":0},"schema":"https://github.com/citation-style-language/schema/raw/master/csl-citation.json"}</w:instrText>
      </w:r>
      <w:r w:rsidR="00042533">
        <w:rPr>
          <w:rFonts w:cs="Times New Roman"/>
          <w:sz w:val="22"/>
        </w:rPr>
        <w:fldChar w:fldCharType="separate"/>
      </w:r>
      <w:r w:rsidR="00042533" w:rsidRPr="00042533">
        <w:rPr>
          <w:rFonts w:cs="Times New Roman"/>
          <w:noProof/>
          <w:sz w:val="22"/>
        </w:rPr>
        <w:t>(Ratchford, Allgood and Todd, 2013; Wyatt, 2013; van Uhm and Siegel, 2016)</w:t>
      </w:r>
      <w:r w:rsidR="00042533">
        <w:rPr>
          <w:rFonts w:cs="Times New Roman"/>
          <w:sz w:val="22"/>
        </w:rPr>
        <w:fldChar w:fldCharType="end"/>
      </w:r>
      <w:r w:rsidR="00042533">
        <w:rPr>
          <w:rFonts w:cs="Times New Roman"/>
          <w:sz w:val="22"/>
        </w:rPr>
        <w:t xml:space="preserve">. </w:t>
      </w:r>
      <w:r w:rsidRPr="001139CD">
        <w:rPr>
          <w:rFonts w:cs="Times New Roman"/>
          <w:sz w:val="22"/>
        </w:rPr>
        <w:t>The criminal networks are rep</w:t>
      </w:r>
      <w:r w:rsidR="00436515">
        <w:rPr>
          <w:rFonts w:cs="Times New Roman"/>
          <w:sz w:val="22"/>
        </w:rPr>
        <w:t>orted to “</w:t>
      </w:r>
      <w:r w:rsidRPr="001139CD">
        <w:rPr>
          <w:rFonts w:cs="Times New Roman"/>
          <w:sz w:val="22"/>
        </w:rPr>
        <w:t>manifest themse</w:t>
      </w:r>
      <w:r w:rsidR="00436515">
        <w:rPr>
          <w:rFonts w:cs="Times New Roman"/>
          <w:sz w:val="22"/>
        </w:rPr>
        <w:t>lves at all levels of the trade”</w:t>
      </w:r>
      <w:r w:rsidRPr="001139CD">
        <w:rPr>
          <w:rFonts w:cs="Times New Roman"/>
          <w:sz w:val="22"/>
        </w:rPr>
        <w:t xml:space="preserve"> (Van Uhm &amp; Siegel, 2016:67) driven by the high economic value</w:t>
      </w:r>
      <w:r w:rsidRPr="005B292F">
        <w:rPr>
          <w:rStyle w:val="FootnoteReference"/>
        </w:rPr>
        <w:footnoteReference w:id="5"/>
      </w:r>
      <w:r w:rsidRPr="001139CD">
        <w:rPr>
          <w:rFonts w:cs="Times New Roman"/>
          <w:sz w:val="22"/>
        </w:rPr>
        <w:t xml:space="preserve"> and scarcity of sturgeon caviar. Indeed, caviar has such high value and rarity, that it has been dubbed ‘black gold’</w:t>
      </w:r>
      <w:r w:rsidR="00EC7F7E">
        <w:rPr>
          <w:rFonts w:cs="Times New Roman"/>
          <w:sz w:val="22"/>
        </w:rPr>
        <w:t xml:space="preserve"> </w:t>
      </w:r>
      <w:r w:rsidR="00EC7F7E">
        <w:rPr>
          <w:rFonts w:cs="Times New Roman"/>
          <w:sz w:val="22"/>
        </w:rPr>
        <w:fldChar w:fldCharType="begin" w:fldLock="1"/>
      </w:r>
      <w:r w:rsidR="00EC7F7E">
        <w:rPr>
          <w:rFonts w:cs="Times New Roman"/>
          <w:sz w:val="22"/>
        </w:rPr>
        <w:instrText>ADDIN CSL_CITATION {"citationItems":[{"id":"ITEM-1","itemData":{"author":[{"dropping-particle":"","family":"TRAFFIC","given":"","non-dropping-particle":"","parse-names":false,"suffix":""}],"id":"ITEM-1","issued":{"date-parts":[["2009"]]},"title":"TRAFFIC Fact Sheet: Black gold: The caviar trade in western Europe","type":"report"},"uris":["http://www.mendeley.com/documents/?uuid=be86c512-6ce9-3077-ae91-ebea8d905738"]}],"mendeley":{"formattedCitation":"(TRAFFIC, 2009)","plainTextFormattedCitation":"(TRAFFIC, 2009)","previouslyFormattedCitation":"(TRAFFIC, 2009)"},"properties":{"noteIndex":0},"schema":"https://github.com/citation-style-language/schema/raw/master/csl-citation.json"}</w:instrText>
      </w:r>
      <w:r w:rsidR="00EC7F7E">
        <w:rPr>
          <w:rFonts w:cs="Times New Roman"/>
          <w:sz w:val="22"/>
        </w:rPr>
        <w:fldChar w:fldCharType="separate"/>
      </w:r>
      <w:r w:rsidR="00EC7F7E" w:rsidRPr="00EC7F7E">
        <w:rPr>
          <w:rFonts w:cs="Times New Roman"/>
          <w:noProof/>
          <w:sz w:val="22"/>
        </w:rPr>
        <w:t>(TRAFFIC, 2009)</w:t>
      </w:r>
      <w:r w:rsidR="00EC7F7E">
        <w:rPr>
          <w:rFonts w:cs="Times New Roman"/>
          <w:sz w:val="22"/>
        </w:rPr>
        <w:fldChar w:fldCharType="end"/>
      </w:r>
      <w:r w:rsidR="000177A6">
        <w:rPr>
          <w:rFonts w:cs="Times New Roman"/>
          <w:sz w:val="22"/>
        </w:rPr>
        <w:t xml:space="preserve"> </w:t>
      </w:r>
      <w:r w:rsidRPr="001139CD">
        <w:rPr>
          <w:rFonts w:cs="Times New Roman"/>
          <w:sz w:val="22"/>
        </w:rPr>
        <w:t>and ‘Caspian Diamonds’ (Zabyelina, 2014:186).</w:t>
      </w:r>
    </w:p>
    <w:p w14:paraId="27815E2F" w14:textId="72F8A9FD" w:rsidR="001139CD" w:rsidRPr="001139CD" w:rsidRDefault="001139CD" w:rsidP="00B33229">
      <w:pPr>
        <w:ind w:firstLine="720"/>
        <w:rPr>
          <w:rFonts w:cs="Times New Roman"/>
          <w:sz w:val="22"/>
        </w:rPr>
      </w:pPr>
      <w:r w:rsidRPr="001139CD">
        <w:rPr>
          <w:rFonts w:cs="Times New Roman"/>
          <w:sz w:val="22"/>
        </w:rPr>
        <w:t xml:space="preserve"> Despite reports linking illegal caviar trade</w:t>
      </w:r>
      <w:r w:rsidR="00436515">
        <w:rPr>
          <w:rFonts w:cs="Times New Roman"/>
          <w:sz w:val="22"/>
        </w:rPr>
        <w:t xml:space="preserve"> in Europe to organised crime, “</w:t>
      </w:r>
      <w:r w:rsidRPr="001139CD">
        <w:rPr>
          <w:rFonts w:cs="Times New Roman"/>
          <w:sz w:val="22"/>
        </w:rPr>
        <w:t>specific accounts of illegal fishing and t</w:t>
      </w:r>
      <w:r w:rsidR="00436515">
        <w:rPr>
          <w:rFonts w:cs="Times New Roman"/>
          <w:sz w:val="22"/>
        </w:rPr>
        <w:t>he illicit caviar trade are few”</w:t>
      </w:r>
      <w:r w:rsidRPr="001139CD">
        <w:rPr>
          <w:rFonts w:cs="Times New Roman"/>
          <w:sz w:val="22"/>
        </w:rPr>
        <w:t xml:space="preserve"> (Zabyelina, 2014:182). </w:t>
      </w:r>
      <w:r w:rsidR="000177A6">
        <w:rPr>
          <w:rFonts w:cs="Times New Roman"/>
          <w:sz w:val="22"/>
        </w:rPr>
        <w:t xml:space="preserve">An exception is </w:t>
      </w:r>
      <w:r w:rsidR="000177A6" w:rsidRPr="001139CD">
        <w:rPr>
          <w:rFonts w:cs="Times New Roman"/>
          <w:sz w:val="22"/>
        </w:rPr>
        <w:t>Van Uhm and Siegel</w:t>
      </w:r>
      <w:r w:rsidR="000177A6">
        <w:rPr>
          <w:rFonts w:cs="Times New Roman"/>
          <w:sz w:val="22"/>
        </w:rPr>
        <w:t>’s</w:t>
      </w:r>
      <w:r w:rsidR="000177A6" w:rsidRPr="001139CD">
        <w:rPr>
          <w:rFonts w:cs="Times New Roman"/>
          <w:sz w:val="22"/>
        </w:rPr>
        <w:t xml:space="preserve"> (2016)</w:t>
      </w:r>
      <w:r w:rsidR="000177A6">
        <w:rPr>
          <w:rFonts w:cs="Times New Roman"/>
          <w:sz w:val="22"/>
        </w:rPr>
        <w:t xml:space="preserve"> important article on </w:t>
      </w:r>
      <w:r w:rsidRPr="001139CD">
        <w:rPr>
          <w:rFonts w:cs="Times New Roman"/>
          <w:sz w:val="22"/>
        </w:rPr>
        <w:t>the</w:t>
      </w:r>
      <w:r w:rsidR="000177A6">
        <w:rPr>
          <w:rFonts w:cs="Times New Roman"/>
          <w:sz w:val="22"/>
        </w:rPr>
        <w:t xml:space="preserve"> illegal trade in black caviar. The authors </w:t>
      </w:r>
      <w:r w:rsidRPr="001139CD">
        <w:rPr>
          <w:rFonts w:cs="Times New Roman"/>
          <w:sz w:val="22"/>
        </w:rPr>
        <w:t>describe how Western Europe is a major outlet for illegal caviar originating from the Caspian Sea range states, purportedly entering the EU via Turkey and Poland</w:t>
      </w:r>
      <w:r w:rsidR="000177A6">
        <w:rPr>
          <w:rFonts w:cs="Times New Roman"/>
          <w:sz w:val="22"/>
        </w:rPr>
        <w:t xml:space="preserve"> (ibid: 79)</w:t>
      </w:r>
      <w:r w:rsidRPr="001139CD">
        <w:rPr>
          <w:rFonts w:cs="Times New Roman"/>
          <w:sz w:val="22"/>
        </w:rPr>
        <w:t xml:space="preserve">. There is however, a dearth of academic research that describes dynamics of illegal caviar trade </w:t>
      </w:r>
      <w:r w:rsidR="00B33229">
        <w:rPr>
          <w:rFonts w:cs="Times New Roman"/>
          <w:sz w:val="22"/>
        </w:rPr>
        <w:t xml:space="preserve">originating </w:t>
      </w:r>
      <w:r w:rsidRPr="001139CD">
        <w:rPr>
          <w:rFonts w:cs="Times New Roman"/>
          <w:sz w:val="22"/>
        </w:rPr>
        <w:t xml:space="preserve">from within the European Union. </w:t>
      </w:r>
      <w:r w:rsidR="00B33229">
        <w:rPr>
          <w:rFonts w:cs="Times New Roman"/>
          <w:sz w:val="22"/>
        </w:rPr>
        <w:t xml:space="preserve">Existing accounts of illegal caviar trade with origins in the EU, </w:t>
      </w:r>
      <w:r w:rsidRPr="001139CD">
        <w:rPr>
          <w:rFonts w:cs="Times New Roman"/>
          <w:sz w:val="22"/>
        </w:rPr>
        <w:t xml:space="preserve">are limited to studies produced from </w:t>
      </w:r>
      <w:r w:rsidRPr="001139CD">
        <w:rPr>
          <w:rFonts w:cs="Times New Roman"/>
          <w:sz w:val="22"/>
        </w:rPr>
        <w:lastRenderedPageBreak/>
        <w:t>NGO-led research and are mainly descriptive, policy oriented</w:t>
      </w:r>
      <w:r w:rsidR="000177A6">
        <w:rPr>
          <w:rFonts w:cs="Times New Roman"/>
          <w:sz w:val="22"/>
        </w:rPr>
        <w:t>,</w:t>
      </w:r>
      <w:r w:rsidRPr="001139CD">
        <w:rPr>
          <w:rFonts w:cs="Times New Roman"/>
          <w:sz w:val="22"/>
        </w:rPr>
        <w:t xml:space="preserve"> and focused on Eastern Europe (Kecse-Nagy, 2011; Jahrl, 2013;</w:t>
      </w:r>
      <w:r w:rsidRPr="001139CD">
        <w:rPr>
          <w:rFonts w:cs="Times New Roman"/>
          <w:noProof/>
          <w:color w:val="000000"/>
          <w:sz w:val="22"/>
          <w:lang w:val="en-US"/>
        </w:rPr>
        <w:t xml:space="preserve"> Schlingeman </w:t>
      </w:r>
      <w:r w:rsidRPr="001139CD">
        <w:rPr>
          <w:rFonts w:cs="Times New Roman"/>
          <w:i/>
          <w:noProof/>
          <w:color w:val="000000"/>
          <w:sz w:val="22"/>
          <w:lang w:val="en-US"/>
        </w:rPr>
        <w:t>et al.</w:t>
      </w:r>
      <w:r w:rsidRPr="001139CD">
        <w:rPr>
          <w:rFonts w:cs="Times New Roman"/>
          <w:noProof/>
          <w:color w:val="000000"/>
          <w:sz w:val="22"/>
          <w:lang w:val="en-US"/>
        </w:rPr>
        <w:t>, 2017</w:t>
      </w:r>
      <w:r w:rsidRPr="001139CD">
        <w:rPr>
          <w:rFonts w:cs="Times New Roman"/>
          <w:sz w:val="22"/>
        </w:rPr>
        <w:t>). These studies focus primarily on illegal caviar trade in Romania and Bulgaria, examining the trade dynamics between 1998 and 2008 (Kecse-Nagy, 2011) and explaining the results from market s</w:t>
      </w:r>
      <w:r w:rsidR="000177A6">
        <w:rPr>
          <w:rFonts w:cs="Times New Roman"/>
          <w:sz w:val="22"/>
        </w:rPr>
        <w:t>urveys conducted in the two EU Member S</w:t>
      </w:r>
      <w:r w:rsidR="00B33229">
        <w:rPr>
          <w:rFonts w:cs="Times New Roman"/>
          <w:sz w:val="22"/>
        </w:rPr>
        <w:t xml:space="preserve">tates (Jahrl, 2013). </w:t>
      </w:r>
      <w:r w:rsidRPr="001139CD">
        <w:rPr>
          <w:rFonts w:cs="Times New Roman"/>
          <w:sz w:val="22"/>
        </w:rPr>
        <w:t xml:space="preserve">These studies provide localized accounts of illicit caviar trade, giving anecdotal descriptions of </w:t>
      </w:r>
      <w:r w:rsidR="00B33229">
        <w:rPr>
          <w:rFonts w:cs="Times New Roman"/>
          <w:sz w:val="22"/>
        </w:rPr>
        <w:t xml:space="preserve">illicit </w:t>
      </w:r>
      <w:r w:rsidRPr="001139CD">
        <w:rPr>
          <w:rFonts w:cs="Times New Roman"/>
          <w:sz w:val="22"/>
        </w:rPr>
        <w:t xml:space="preserve">caviar offered for sale in Bulgaria and Romania. The report by </w:t>
      </w:r>
      <w:r w:rsidRPr="001139CD">
        <w:rPr>
          <w:rFonts w:cs="Times New Roman"/>
          <w:noProof/>
          <w:color w:val="000000"/>
          <w:sz w:val="22"/>
          <w:lang w:val="en-US"/>
        </w:rPr>
        <w:t xml:space="preserve">Schlingeman </w:t>
      </w:r>
      <w:r w:rsidRPr="001139CD">
        <w:rPr>
          <w:rFonts w:cs="Times New Roman"/>
          <w:i/>
          <w:noProof/>
          <w:color w:val="000000"/>
          <w:sz w:val="22"/>
          <w:lang w:val="en-US"/>
        </w:rPr>
        <w:t>et al.</w:t>
      </w:r>
      <w:r w:rsidRPr="001139CD">
        <w:rPr>
          <w:rFonts w:cs="Times New Roman"/>
          <w:noProof/>
          <w:color w:val="000000"/>
          <w:sz w:val="22"/>
          <w:lang w:val="en-US"/>
        </w:rPr>
        <w:t xml:space="preserve"> (2017) situates ‘sturgeon crimes’ alongside other wildlife and forest crimes happening in the Danube-Carpathian region of Europe. However these studies do not explain or link the </w:t>
      </w:r>
      <w:r w:rsidR="000177A6">
        <w:rPr>
          <w:rFonts w:cs="Times New Roman"/>
          <w:noProof/>
          <w:color w:val="000000"/>
          <w:sz w:val="22"/>
          <w:lang w:val="en-US"/>
        </w:rPr>
        <w:t>sturgeon crime dynamics in Eastern European Member S</w:t>
      </w:r>
      <w:r w:rsidRPr="001139CD">
        <w:rPr>
          <w:rFonts w:cs="Times New Roman"/>
          <w:noProof/>
          <w:color w:val="000000"/>
          <w:sz w:val="22"/>
          <w:lang w:val="en-US"/>
        </w:rPr>
        <w:t>tates with the wider political economy, geopolitics</w:t>
      </w:r>
      <w:r w:rsidR="000177A6">
        <w:rPr>
          <w:rFonts w:cs="Times New Roman"/>
          <w:noProof/>
          <w:color w:val="000000"/>
          <w:sz w:val="22"/>
          <w:lang w:val="en-US"/>
        </w:rPr>
        <w:t>,</w:t>
      </w:r>
      <w:r w:rsidRPr="001139CD">
        <w:rPr>
          <w:rFonts w:cs="Times New Roman"/>
          <w:noProof/>
          <w:color w:val="000000"/>
          <w:sz w:val="22"/>
          <w:lang w:val="en-US"/>
        </w:rPr>
        <w:t xml:space="preserve"> and ecologies of the caviar trade in the EU. </w:t>
      </w:r>
    </w:p>
    <w:p w14:paraId="290703B9" w14:textId="74EE1480" w:rsidR="001139CD" w:rsidRPr="001139CD" w:rsidRDefault="001139CD" w:rsidP="001139CD">
      <w:pPr>
        <w:ind w:firstLine="720"/>
        <w:rPr>
          <w:rFonts w:cs="Times New Roman"/>
          <w:color w:val="000000"/>
          <w:sz w:val="22"/>
        </w:rPr>
      </w:pPr>
      <w:r w:rsidRPr="001139CD">
        <w:rPr>
          <w:rFonts w:cs="Times New Roman"/>
          <w:color w:val="000000"/>
          <w:sz w:val="22"/>
        </w:rPr>
        <w:t>Thus, although there</w:t>
      </w:r>
      <w:r w:rsidR="000177A6">
        <w:rPr>
          <w:rFonts w:cs="Times New Roman"/>
          <w:color w:val="000000"/>
          <w:sz w:val="22"/>
        </w:rPr>
        <w:t xml:space="preserve"> is recognition that EU Member S</w:t>
      </w:r>
      <w:r w:rsidRPr="001139CD">
        <w:rPr>
          <w:rFonts w:cs="Times New Roman"/>
          <w:color w:val="000000"/>
          <w:sz w:val="22"/>
        </w:rPr>
        <w:t xml:space="preserve">tates have multifaceted links to illegal caviar trade across the European caviar supply chain, this has not been examined in a synthesised manner in academic work to date. This thesis draws links between regulatory dynamics in Western Europe and Eastern Europe, and in doing so builds a more holistic empirical understanding of contemporary illegal caviar trade in the European Union, from source to end-user market. </w:t>
      </w:r>
    </w:p>
    <w:p w14:paraId="0D269119" w14:textId="2A1F7CB5" w:rsidR="001139CD" w:rsidRPr="001139CD" w:rsidRDefault="001139CD" w:rsidP="001139CD">
      <w:pPr>
        <w:ind w:firstLine="720"/>
        <w:rPr>
          <w:rFonts w:cs="Times New Roman"/>
          <w:sz w:val="22"/>
        </w:rPr>
      </w:pPr>
      <w:r w:rsidRPr="001139CD">
        <w:rPr>
          <w:rFonts w:cs="Times New Roman"/>
          <w:color w:val="000000"/>
          <w:sz w:val="22"/>
        </w:rPr>
        <w:t xml:space="preserve">To do this, </w:t>
      </w:r>
      <w:r w:rsidRPr="001139CD">
        <w:rPr>
          <w:rFonts w:cs="Times New Roman"/>
          <w:sz w:val="22"/>
        </w:rPr>
        <w:t>I take inspiration from Zabyelina’s (2014) account of the dynamics of the global illicit market in black caviar. In this article, Zabyelina emphasises th</w:t>
      </w:r>
      <w:r w:rsidR="00436515">
        <w:rPr>
          <w:rFonts w:cs="Times New Roman"/>
          <w:sz w:val="22"/>
        </w:rPr>
        <w:t>e need to pay attention to the “economic and legal triggers”</w:t>
      </w:r>
      <w:r w:rsidRPr="001139CD">
        <w:rPr>
          <w:rFonts w:cs="Times New Roman"/>
          <w:sz w:val="22"/>
        </w:rPr>
        <w:t xml:space="preserve"> that lea</w:t>
      </w:r>
      <w:r w:rsidR="00436515">
        <w:rPr>
          <w:rFonts w:cs="Times New Roman"/>
          <w:sz w:val="22"/>
        </w:rPr>
        <w:t>d to the “prosperity and continuity”</w:t>
      </w:r>
      <w:r w:rsidRPr="001139CD">
        <w:rPr>
          <w:rFonts w:cs="Times New Roman"/>
          <w:sz w:val="22"/>
        </w:rPr>
        <w:t xml:space="preserve"> of caviar trafficking (2014: 183). The </w:t>
      </w:r>
      <w:r w:rsidR="000177A6">
        <w:rPr>
          <w:rFonts w:cs="Times New Roman"/>
          <w:sz w:val="22"/>
        </w:rPr>
        <w:t xml:space="preserve">EU </w:t>
      </w:r>
      <w:r w:rsidRPr="001139CD">
        <w:rPr>
          <w:rFonts w:cs="Times New Roman"/>
          <w:sz w:val="22"/>
        </w:rPr>
        <w:t>caviar trade regulations have been subject to limited</w:t>
      </w:r>
      <w:r w:rsidR="000177A6">
        <w:rPr>
          <w:rFonts w:cs="Times New Roman"/>
          <w:sz w:val="22"/>
        </w:rPr>
        <w:t xml:space="preserve"> academic</w:t>
      </w:r>
      <w:r w:rsidRPr="001139CD">
        <w:rPr>
          <w:rFonts w:cs="Times New Roman"/>
          <w:sz w:val="22"/>
        </w:rPr>
        <w:t xml:space="preserve"> attention, but I demonstrate how the gaps and grey areas in these regulations act as ‘legal triggers’ for the continuity of caviar trafficking in the EU. I </w:t>
      </w:r>
      <w:r w:rsidR="000177A6">
        <w:rPr>
          <w:rFonts w:cs="Times New Roman"/>
          <w:sz w:val="22"/>
        </w:rPr>
        <w:t xml:space="preserve">also </w:t>
      </w:r>
      <w:r w:rsidRPr="001139CD">
        <w:rPr>
          <w:rFonts w:cs="Times New Roman"/>
          <w:sz w:val="22"/>
        </w:rPr>
        <w:t xml:space="preserve">investigate the structural impacts and broader geopolitical-ecological implications </w:t>
      </w:r>
      <w:r w:rsidR="00B33229">
        <w:rPr>
          <w:rFonts w:cs="Times New Roman"/>
          <w:sz w:val="22"/>
        </w:rPr>
        <w:t>arising from the inconsistencies in the regulatory frameworks</w:t>
      </w:r>
      <w:r w:rsidRPr="001139CD">
        <w:rPr>
          <w:rFonts w:cs="Times New Roman"/>
          <w:sz w:val="22"/>
        </w:rPr>
        <w:t xml:space="preserve">. To my knowledge, this represents the first academic study examining caviar trade regulations in the EU, and their impacts on the broader geopolitical-ecologies of European caviar trade. </w:t>
      </w:r>
    </w:p>
    <w:p w14:paraId="1B992B19" w14:textId="77777777" w:rsidR="001139CD" w:rsidRPr="001139CD" w:rsidRDefault="001139CD" w:rsidP="001139CD">
      <w:pPr>
        <w:rPr>
          <w:rFonts w:cs="Times New Roman"/>
          <w:color w:val="000000"/>
          <w:sz w:val="22"/>
          <w:u w:val="single"/>
        </w:rPr>
      </w:pPr>
    </w:p>
    <w:p w14:paraId="5E172EB4" w14:textId="5C37F941" w:rsidR="001139CD" w:rsidRPr="001139CD" w:rsidRDefault="001139CD" w:rsidP="001139CD">
      <w:pPr>
        <w:pStyle w:val="Heading2"/>
        <w:spacing w:line="360" w:lineRule="auto"/>
        <w:rPr>
          <w:rFonts w:cs="Times New Roman"/>
        </w:rPr>
      </w:pPr>
      <w:bookmarkStart w:id="13" w:name="_Toc453224186"/>
      <w:r w:rsidRPr="001139CD">
        <w:rPr>
          <w:rFonts w:cs="Times New Roman"/>
        </w:rPr>
        <w:t xml:space="preserve">1.3 </w:t>
      </w:r>
      <w:r w:rsidR="008D5C5C">
        <w:rPr>
          <w:rFonts w:cs="Times New Roman"/>
        </w:rPr>
        <w:t>Empirical, theoretical and methodological contributions</w:t>
      </w:r>
      <w:bookmarkEnd w:id="13"/>
    </w:p>
    <w:p w14:paraId="3A679A50" w14:textId="12FDC0E1" w:rsidR="001139CD" w:rsidRPr="001139CD" w:rsidRDefault="001139CD" w:rsidP="001139CD">
      <w:pPr>
        <w:rPr>
          <w:rFonts w:cs="Times New Roman"/>
          <w:color w:val="000000"/>
          <w:sz w:val="22"/>
        </w:rPr>
      </w:pPr>
      <w:r w:rsidRPr="001139CD">
        <w:rPr>
          <w:rFonts w:cs="Times New Roman"/>
          <w:color w:val="000000"/>
          <w:sz w:val="22"/>
        </w:rPr>
        <w:t>This thesis makes a number of contributions to knowledge that are empirical, theoretical</w:t>
      </w:r>
      <w:r w:rsidR="00406DF3">
        <w:rPr>
          <w:rFonts w:cs="Times New Roman"/>
          <w:color w:val="000000"/>
          <w:sz w:val="22"/>
        </w:rPr>
        <w:t>,</w:t>
      </w:r>
      <w:r w:rsidRPr="001139CD">
        <w:rPr>
          <w:rFonts w:cs="Times New Roman"/>
          <w:color w:val="000000"/>
          <w:sz w:val="22"/>
        </w:rPr>
        <w:t xml:space="preserve"> and methodological in scope. First, the thesis outlines novel empirical material on illegal caviar trade in the EU. Existing studies of illegal caviar trade have not examined caviar trade regulations – in terms of their impacts or flaws – in great qualitative depth. </w:t>
      </w:r>
      <w:r w:rsidR="00406DF3">
        <w:rPr>
          <w:rFonts w:cs="Times New Roman"/>
          <w:color w:val="000000"/>
          <w:sz w:val="22"/>
        </w:rPr>
        <w:t xml:space="preserve">An exception is </w:t>
      </w:r>
      <w:r w:rsidR="00406DF3" w:rsidRPr="001139CD">
        <w:rPr>
          <w:rFonts w:cs="Times New Roman"/>
          <w:color w:val="000000"/>
          <w:sz w:val="22"/>
        </w:rPr>
        <w:fldChar w:fldCharType="begin" w:fldLock="1"/>
      </w:r>
      <w:r w:rsidR="00EC7F7E">
        <w:rPr>
          <w:rFonts w:cs="Times New Roman"/>
          <w:color w:val="000000"/>
          <w:sz w:val="22"/>
        </w:rPr>
        <w:instrText>ADDIN CSL_CITATION {"citationItems":[{"id":"ITEM-1","itemData":{"DOI":"10.1371/journal.pone.0040907","ISSN":"19326203","abstract":"Background: The international wildlife trade is a key threat to biodiversity. Temporal genetic marketplace monitoring can determine if wildlife trade regulation efforts such as the Convention on International Trade in Endangered Species (CITES) are succeeding. Protected under CITES effective 1997, sturgeons and paddlefishes, the producers of black caviar, are flagship CITES species. Methodology/Principal Findings: We test whether CITES has limited the amount of fraudulent black caviar reaching the marketplace. Using mitochondrial DNA-based methods, we compare mislabeling in caviar and meat purchased in the New York City area pre and post CITES listing. Our recent sampling of this market reveals a decrease in mislabeled caviar (2006-2008; 10%; n = 90) compared to pre-CITES implementation (1995-1996; 19%; n = 95). Mislabeled caviar was found only in online purchase (n = 49 online/41 retail). Conclusions/Significance: Stricter controls on importing and exporting as per CITES policies may be having a positive conservation effect by limiting the amount of fraudulent caviar reaching the marketplace. Sturgeons and paddlefishes remain a conservation priority, however, due to continued overfishing and habitat degradation. Other marine and aquatic species stand to benefit from the international trade regulation that can result from CITES listing. © 2012 Doukakis et al.","author":[{"dropping-particle":"","family":"Doukakis","given":"Phaedra","non-dropping-particle":"","parse-names":false,"suffix":""},{"dropping-particle":"","family":"Pikitch","given":"Ellen K.","non-dropping-particle":"","parse-names":false,"suffix":""},{"dropping-particle":"","family":"Rothschild","given":"Anna","non-dropping-particle":"","parse-names":false,"suffix":""},{"dropping-particle":"","family":"DeSalle","given":"Rob","non-dropping-particle":"","parse-names":false,"suffix":""},{"dropping-particle":"","family":"Amato","given":"George","non-dropping-particle":"","parse-names":false,"suffix":""},{"dropping-particle":"","family":"Kolokotronis","given":"Sergios Orestis","non-dropping-particle":"","parse-names":false,"suffix":""}],"container-title":"PLoS ONE","id":"ITEM-1","issue":"7","issued":{"date-parts":[["2012"]]},"title":"Testing the effectiveness of an international conservation agreement: Marketplace forensics and CITES Caviar trade regulation","type":"article-journal","volume":"7"},"uris":["http://www.mendeley.com/documents/?uuid=caf5053f-e27f-428c-9c7e-6bc62ace1970"]}],"mendeley":{"formattedCitation":"(Doukakis &lt;i&gt;et al.&lt;/i&gt;, 2012)","manualFormatting":"Doukakis et al.'s (2012)","plainTextFormattedCitation":"(Doukakis et al., 2012)","previouslyFormattedCitation":"(Doukakis &lt;i&gt;et al.&lt;/i&gt;, 2012)"},"properties":{"noteIndex":0},"schema":"https://github.com/citation-style-language/schema/raw/master/csl-citation.json"}</w:instrText>
      </w:r>
      <w:r w:rsidR="00406DF3" w:rsidRPr="001139CD">
        <w:rPr>
          <w:rFonts w:cs="Times New Roman"/>
          <w:color w:val="000000"/>
          <w:sz w:val="22"/>
        </w:rPr>
        <w:fldChar w:fldCharType="separate"/>
      </w:r>
      <w:r w:rsidR="00406DF3" w:rsidRPr="001139CD">
        <w:rPr>
          <w:rFonts w:cs="Times New Roman"/>
          <w:noProof/>
          <w:color w:val="000000"/>
          <w:sz w:val="22"/>
        </w:rPr>
        <w:t xml:space="preserve">Doukakis </w:t>
      </w:r>
      <w:r w:rsidR="00406DF3" w:rsidRPr="001139CD">
        <w:rPr>
          <w:rFonts w:cs="Times New Roman"/>
          <w:i/>
          <w:noProof/>
          <w:color w:val="000000"/>
          <w:sz w:val="22"/>
        </w:rPr>
        <w:t>et al.</w:t>
      </w:r>
      <w:r w:rsidR="00406DF3" w:rsidRPr="001139CD">
        <w:rPr>
          <w:rFonts w:cs="Times New Roman"/>
          <w:noProof/>
          <w:color w:val="000000"/>
          <w:sz w:val="22"/>
        </w:rPr>
        <w:t>'s (2012)</w:t>
      </w:r>
      <w:r w:rsidR="00406DF3" w:rsidRPr="001139CD">
        <w:rPr>
          <w:rFonts w:cs="Times New Roman"/>
          <w:color w:val="000000"/>
          <w:sz w:val="22"/>
        </w:rPr>
        <w:fldChar w:fldCharType="end"/>
      </w:r>
      <w:r w:rsidR="00406DF3" w:rsidRPr="001139CD">
        <w:rPr>
          <w:rFonts w:cs="Times New Roman"/>
          <w:color w:val="000000"/>
          <w:sz w:val="22"/>
        </w:rPr>
        <w:t xml:space="preserve"> research on the ‘effectiveness’ of the CITES Resolution on trade in sturgeon and their derivatives.</w:t>
      </w:r>
      <w:r w:rsidR="00406DF3">
        <w:rPr>
          <w:rFonts w:cs="Times New Roman"/>
          <w:color w:val="000000"/>
          <w:sz w:val="22"/>
        </w:rPr>
        <w:t xml:space="preserve"> </w:t>
      </w:r>
      <w:r w:rsidRPr="001139CD">
        <w:rPr>
          <w:rFonts w:cs="Times New Roman"/>
          <w:color w:val="000000"/>
          <w:sz w:val="22"/>
        </w:rPr>
        <w:t xml:space="preserve">Based on DNA testing of samples of caviar purchased in New York, </w:t>
      </w:r>
      <w:r w:rsidR="00406DF3" w:rsidRPr="001139CD">
        <w:rPr>
          <w:rFonts w:cs="Times New Roman"/>
          <w:noProof/>
          <w:color w:val="000000"/>
          <w:sz w:val="22"/>
        </w:rPr>
        <w:t xml:space="preserve">Doukakis </w:t>
      </w:r>
      <w:r w:rsidR="00406DF3" w:rsidRPr="001139CD">
        <w:rPr>
          <w:rFonts w:cs="Times New Roman"/>
          <w:i/>
          <w:noProof/>
          <w:color w:val="000000"/>
          <w:sz w:val="22"/>
        </w:rPr>
        <w:t>et a</w:t>
      </w:r>
      <w:r w:rsidR="00406DF3">
        <w:rPr>
          <w:rFonts w:cs="Times New Roman"/>
          <w:i/>
          <w:noProof/>
          <w:color w:val="000000"/>
          <w:sz w:val="22"/>
        </w:rPr>
        <w:t>l.</w:t>
      </w:r>
      <w:r w:rsidR="00B33229">
        <w:rPr>
          <w:rFonts w:cs="Times New Roman"/>
          <w:i/>
          <w:noProof/>
          <w:color w:val="000000"/>
          <w:sz w:val="22"/>
        </w:rPr>
        <w:t xml:space="preserve"> </w:t>
      </w:r>
      <w:r w:rsidR="00B33229">
        <w:rPr>
          <w:rFonts w:cs="Times New Roman"/>
          <w:noProof/>
          <w:color w:val="000000"/>
          <w:sz w:val="22"/>
        </w:rPr>
        <w:t>(2012)</w:t>
      </w:r>
      <w:r w:rsidR="00406DF3">
        <w:rPr>
          <w:rFonts w:cs="Times New Roman"/>
          <w:i/>
          <w:noProof/>
          <w:color w:val="000000"/>
          <w:sz w:val="22"/>
        </w:rPr>
        <w:t xml:space="preserve"> </w:t>
      </w:r>
      <w:r w:rsidRPr="001139CD">
        <w:rPr>
          <w:rFonts w:cs="Times New Roman"/>
          <w:color w:val="000000"/>
          <w:sz w:val="22"/>
        </w:rPr>
        <w:t xml:space="preserve">conclude that regulations may be having a positive conservation effect. This thesis pushes a novel empirical focus by critically engaging with the impact of regulatory frameworks in the EU. Rather than seeking to </w:t>
      </w:r>
      <w:r w:rsidRPr="001139CD">
        <w:rPr>
          <w:rFonts w:cs="Times New Roman"/>
          <w:color w:val="000000"/>
          <w:sz w:val="22"/>
        </w:rPr>
        <w:lastRenderedPageBreak/>
        <w:t xml:space="preserve">measure the ‘effectiveness’ of caviar trade regulations in the EU, I examine the impacts of the caviar trade </w:t>
      </w:r>
      <w:r w:rsidR="00B33229">
        <w:rPr>
          <w:rFonts w:cs="Times New Roman"/>
          <w:color w:val="000000"/>
          <w:sz w:val="22"/>
        </w:rPr>
        <w:t xml:space="preserve">policies </w:t>
      </w:r>
      <w:r w:rsidRPr="001139CD">
        <w:rPr>
          <w:rFonts w:cs="Times New Roman"/>
          <w:color w:val="000000"/>
          <w:sz w:val="22"/>
        </w:rPr>
        <w:t>in a broad sense. My findin</w:t>
      </w:r>
      <w:r w:rsidR="00406DF3">
        <w:rPr>
          <w:rFonts w:cs="Times New Roman"/>
          <w:color w:val="000000"/>
          <w:sz w:val="22"/>
        </w:rPr>
        <w:t>gs add fresh empirical insights</w:t>
      </w:r>
      <w:r w:rsidRPr="001139CD">
        <w:rPr>
          <w:rFonts w:cs="Times New Roman"/>
          <w:color w:val="000000"/>
          <w:sz w:val="22"/>
        </w:rPr>
        <w:t xml:space="preserve"> by showing how the caviar trade regulations impact upon dynamics and mechanisms of illegal caviar trade, organised crime, and corruption, with geopolitical-ecological consequences. I also illustrate how overlooked gaps and grey areas in caviar trade regulations, produce unintended geopolitical-ecological impacts that extend beyond the remit of regulating illegal caviar trade.  </w:t>
      </w:r>
    </w:p>
    <w:p w14:paraId="3397D09F" w14:textId="6B9664FA" w:rsidR="001139CD" w:rsidRPr="001139CD" w:rsidRDefault="001139CD" w:rsidP="001139CD">
      <w:pPr>
        <w:ind w:firstLine="720"/>
        <w:rPr>
          <w:rFonts w:cs="Times New Roman"/>
          <w:color w:val="000000"/>
          <w:sz w:val="22"/>
        </w:rPr>
      </w:pPr>
      <w:r w:rsidRPr="001139CD">
        <w:rPr>
          <w:rFonts w:cs="Times New Roman"/>
          <w:color w:val="000000"/>
          <w:sz w:val="22"/>
        </w:rPr>
        <w:t>In this thesis I develop arguments that introduce ‘</w:t>
      </w:r>
      <w:r w:rsidRPr="00436515">
        <w:rPr>
          <w:rFonts w:cs="Times New Roman"/>
          <w:i/>
          <w:color w:val="000000"/>
          <w:sz w:val="22"/>
        </w:rPr>
        <w:t>more-than-human geopolitical ecology’</w:t>
      </w:r>
      <w:r w:rsidRPr="001139CD">
        <w:rPr>
          <w:rFonts w:cs="Times New Roman"/>
          <w:color w:val="000000"/>
          <w:sz w:val="22"/>
        </w:rPr>
        <w:t xml:space="preserve"> as a theoretical framework. My approach </w:t>
      </w:r>
      <w:r w:rsidR="00B33229">
        <w:rPr>
          <w:rFonts w:cs="Times New Roman"/>
          <w:color w:val="000000"/>
          <w:sz w:val="22"/>
        </w:rPr>
        <w:t>enlivens</w:t>
      </w:r>
      <w:r w:rsidRPr="001139CD">
        <w:rPr>
          <w:rFonts w:cs="Times New Roman"/>
          <w:color w:val="000000"/>
          <w:sz w:val="22"/>
        </w:rPr>
        <w:t xml:space="preserve"> and expands the parameters of the sub-fields of geopolitical ecology and environmental geopolitics. My original contribution is to point to the importance of theorising the role of nonhuman nature in co-producing geopolitical-ecologies. In chapter two, I describe in detail environmental geopolitics and geopolitical ecology as important theoretical approaches for understanding the geopolitics of environmental change. I </w:t>
      </w:r>
      <w:r w:rsidR="00B33229">
        <w:rPr>
          <w:rFonts w:cs="Times New Roman"/>
          <w:color w:val="000000"/>
          <w:sz w:val="22"/>
        </w:rPr>
        <w:t>apply</w:t>
      </w:r>
      <w:r w:rsidR="004D00C1">
        <w:rPr>
          <w:rFonts w:cs="Times New Roman"/>
          <w:color w:val="000000"/>
          <w:sz w:val="22"/>
        </w:rPr>
        <w:t xml:space="preserve"> </w:t>
      </w:r>
      <w:r w:rsidRPr="001139CD">
        <w:rPr>
          <w:rFonts w:cs="Times New Roman"/>
          <w:color w:val="000000"/>
          <w:sz w:val="22"/>
        </w:rPr>
        <w:t xml:space="preserve">aspects from these two approaches in order to theorise how EU geopolitical actors define, control, and manage sturgeon and caviar through regulations, and as a way of intervening into wider processes of environmental and ecological change. But I make the argument that neither geopolitical ecology nor environmental geopolitics can capture the entire complexities of my empirical case, and subsequently develop my vision for </w:t>
      </w:r>
      <w:r w:rsidRPr="00436515">
        <w:rPr>
          <w:rFonts w:cs="Times New Roman"/>
          <w:i/>
          <w:color w:val="000000"/>
          <w:sz w:val="22"/>
        </w:rPr>
        <w:t>‘more-than-human geopolitical ecology’</w:t>
      </w:r>
      <w:r w:rsidRPr="001139CD">
        <w:rPr>
          <w:rFonts w:cs="Times New Roman"/>
          <w:color w:val="000000"/>
          <w:sz w:val="22"/>
        </w:rPr>
        <w:t xml:space="preserve">. This theoretical framework integrates the active role of sturgeon and caviar in shaping the intersections of geopolitics, political economy and environmental change that are inherent to efforts to regulate the caviar trade in the EU. In this thesis, I produce a more expansive version of geopolitical ecology, which rethinks who or what can act in geopolitical ways and shape issues of environmental change. </w:t>
      </w:r>
    </w:p>
    <w:p w14:paraId="2580F53E" w14:textId="44EA19B1" w:rsidR="00E71290" w:rsidRDefault="001139CD" w:rsidP="00540813">
      <w:pPr>
        <w:ind w:firstLine="720"/>
        <w:rPr>
          <w:rFonts w:cs="Times New Roman"/>
          <w:color w:val="000000"/>
          <w:sz w:val="22"/>
        </w:rPr>
      </w:pPr>
      <w:r w:rsidRPr="001139CD">
        <w:rPr>
          <w:rFonts w:cs="Times New Roman"/>
          <w:color w:val="000000"/>
          <w:sz w:val="22"/>
        </w:rPr>
        <w:t xml:space="preserve">Finally, the thesis makes an original methodological contribution. In order to study the impacts of caviar trade regulations in the EU I employ a follow-the-policy methodology inspired by </w:t>
      </w:r>
      <w:r w:rsidRPr="001139CD">
        <w:rPr>
          <w:rFonts w:cs="Times New Roman"/>
          <w:color w:val="000000"/>
          <w:sz w:val="22"/>
        </w:rPr>
        <w:fldChar w:fldCharType="begin" w:fldLock="1"/>
      </w:r>
      <w:r w:rsidR="00EC7F7E">
        <w:rPr>
          <w:rFonts w:cs="Times New Roman"/>
          <w:color w:val="000000"/>
          <w:sz w:val="22"/>
        </w:rPr>
        <w:instrText>ADDIN CSL_CITATION {"citationItems":[{"id":"ITEM-1","itemData":{"DOI":"10.1177/0094306116671949mm","ISBN":"9781452944074","ISSN":"0094-3061","abstract":"We inhabit a perpetually accelerating and increasingly interconnected world, with new ideas, fads, and fashions moving at social-media speed. New policy ideas, especially “ideas that work,” are now able to find not only a worldwide audience but also transnational salience in remarkably short order. Fast Policy is the first systematic treatment of this phenomenon, one that compares processes of policy development across two rapidly moving fields that emerged in the Global South and have quickly been adopted worldwide? conditional cash transfers (a social policy program that conditions payments on behavioral compliance) and participatory budgeting (a form of citizen-centric urban governance). Jamie Peck and Nik Theodore critically analyze the growing transnational connectivity between policymaking arenas and modes of policy development, assessing the implications of these developments for contemporary policymaking. Emphasizing that policy models do not simply travel intact from sites of invention to sites of emulation, they problematize fast policy as a phenomenon that is real and consequential yet prone to misrepresentation. Based on fieldwork conducted across six continents and in fifteen countries, Fast Policy is an essential resource in providing an extended theoretical discussion of policy mobility and in presenting a methodology for ethnographic research on global social policy.","author":[{"dropping-particle":"","family":"Peck","given":"Jamie","non-dropping-particle":"","parse-names":false,"suffix":""},{"dropping-particle":"","family":"Theodore","given":"Nik","non-dropping-particle":"","parse-names":false,"suffix":""}],"container-title":"Fast Policy: Experimental Statecraft at the Thresholds of Neoliberalism","id":"ITEM-1","issued":{"date-parts":[["2015"]]},"number-of-pages":"1-300","title":"Fast policy: Experimental statecraft at the thresholds of neoliberalism","type":"book"},"uris":["http://www.mendeley.com/documents/?uuid=5bb82d66-1531-3d64-bc72-cbb3af0cd865"]},{"id":"ITEM-2","itemData":{"DOI":"10.1068/a44179","ISSN":"0308518X","abstract":"The paper reflects on the methodological challenges involved in research on the movement and mutation of fast-moving policies, through globalizing networks and across translocal settings. Inspired by the 'follow the thing' methods and by the global ethnography program, it outlines a distended case-study approach to the study of policy mobiilities","author":[{"dropping-particle":"","family":"Peck","given":"Jamie","non-dropping-particle":"","parse-names":false,"suffix":""},{"dropping-particle":"","family":"Theodore","given":"Nik","non-dropping-particle":"","parse-names":false,"suffix":""}],"container-title":"Environment and Planning A","id":"ITEM-2","issue":"1","issued":{"date-parts":[["2012"]]},"page":"21-30","title":"Follow the policy: A distended case approach","type":"article-journal","volume":"44"},"uris":["http://www.mendeley.com/documents/?uuid=5b8ed9ea-1bba-3e46-b815-21f36c135e0a"]}],"mendeley":{"formattedCitation":"(Peck and Theodore, 2012, 2015)","manualFormatting":"Peck and Theodore (2012, 2015)","plainTextFormattedCitation":"(Peck and Theodore, 2012, 2015)","previouslyFormattedCitation":"(Peck and Theodore, 2012, 2015)"},"properties":{"noteIndex":0},"schema":"https://github.com/citation-style-language/schema/raw/master/csl-citation.json"}</w:instrText>
      </w:r>
      <w:r w:rsidRPr="001139CD">
        <w:rPr>
          <w:rFonts w:cs="Times New Roman"/>
          <w:color w:val="000000"/>
          <w:sz w:val="22"/>
        </w:rPr>
        <w:fldChar w:fldCharType="separate"/>
      </w:r>
      <w:r w:rsidRPr="001139CD">
        <w:rPr>
          <w:rFonts w:cs="Times New Roman"/>
          <w:noProof/>
          <w:color w:val="000000"/>
          <w:sz w:val="22"/>
        </w:rPr>
        <w:t>Peck and Theodore (2012, 2015)</w:t>
      </w:r>
      <w:r w:rsidRPr="001139CD">
        <w:rPr>
          <w:rFonts w:cs="Times New Roman"/>
          <w:color w:val="000000"/>
          <w:sz w:val="22"/>
        </w:rPr>
        <w:fldChar w:fldCharType="end"/>
      </w:r>
      <w:r w:rsidRPr="001139CD">
        <w:rPr>
          <w:rFonts w:cs="Times New Roman"/>
          <w:color w:val="000000"/>
          <w:sz w:val="22"/>
        </w:rPr>
        <w:t xml:space="preserve">.This methodology is typically applied to economic policies, and so the adoption of this method in the area of environmental policy is novel. In particular, my focus on following gaps and grey areas in policy adds a new dimension to follow-the-policy methods. I describe the specificities of my methodological approach in chapter three. </w:t>
      </w:r>
    </w:p>
    <w:p w14:paraId="63E886BF" w14:textId="77777777" w:rsidR="00540813" w:rsidRPr="001139CD" w:rsidRDefault="00540813" w:rsidP="00540813">
      <w:pPr>
        <w:ind w:firstLine="720"/>
        <w:rPr>
          <w:rFonts w:cs="Times New Roman"/>
          <w:color w:val="000000"/>
          <w:sz w:val="22"/>
        </w:rPr>
      </w:pPr>
    </w:p>
    <w:p w14:paraId="2B31E500" w14:textId="77777777" w:rsidR="001139CD" w:rsidRPr="001139CD" w:rsidRDefault="001139CD" w:rsidP="001139CD">
      <w:pPr>
        <w:pStyle w:val="Heading2"/>
        <w:spacing w:line="360" w:lineRule="auto"/>
        <w:rPr>
          <w:rFonts w:cs="Times New Roman"/>
          <w:sz w:val="20"/>
          <w:szCs w:val="20"/>
        </w:rPr>
      </w:pPr>
      <w:bookmarkStart w:id="14" w:name="_Toc453224187"/>
      <w:r w:rsidRPr="001139CD">
        <w:rPr>
          <w:rFonts w:cs="Times New Roman"/>
        </w:rPr>
        <w:t>1.4 Structure of the thesis</w:t>
      </w:r>
      <w:bookmarkEnd w:id="14"/>
      <w:r w:rsidRPr="001139CD">
        <w:rPr>
          <w:rFonts w:cs="Times New Roman"/>
        </w:rPr>
        <w:t> </w:t>
      </w:r>
    </w:p>
    <w:p w14:paraId="342AEB4C" w14:textId="535399A6" w:rsidR="001139CD" w:rsidRPr="001139CD" w:rsidRDefault="001139CD" w:rsidP="001139CD">
      <w:pPr>
        <w:rPr>
          <w:rFonts w:cs="Times New Roman"/>
          <w:color w:val="000000"/>
          <w:sz w:val="22"/>
        </w:rPr>
      </w:pPr>
      <w:r w:rsidRPr="001139CD">
        <w:rPr>
          <w:rFonts w:cs="Times New Roman"/>
          <w:color w:val="000000"/>
          <w:sz w:val="22"/>
        </w:rPr>
        <w:t xml:space="preserve">The thesis is structured as follows. Chapter two elaborates the theoretical framework of the thesis. My theoretical </w:t>
      </w:r>
      <w:r w:rsidR="00AC12BC">
        <w:rPr>
          <w:rFonts w:cs="Times New Roman"/>
          <w:color w:val="000000"/>
          <w:sz w:val="22"/>
        </w:rPr>
        <w:t xml:space="preserve">framework borrows and combines </w:t>
      </w:r>
      <w:r w:rsidRPr="001139CD">
        <w:rPr>
          <w:rFonts w:cs="Times New Roman"/>
          <w:color w:val="000000"/>
          <w:sz w:val="22"/>
        </w:rPr>
        <w:t>aspects from three complementary fields: geopolitical ecology, environmental geopolitics and more-than-human</w:t>
      </w:r>
      <w:r w:rsidR="00884E07">
        <w:rPr>
          <w:rFonts w:cs="Times New Roman"/>
          <w:color w:val="000000"/>
          <w:sz w:val="22"/>
        </w:rPr>
        <w:t xml:space="preserve"> social science</w:t>
      </w:r>
      <w:r w:rsidRPr="001139CD">
        <w:rPr>
          <w:rFonts w:cs="Times New Roman"/>
          <w:color w:val="000000"/>
          <w:sz w:val="22"/>
        </w:rPr>
        <w:t>. By combining theoretical approaches f</w:t>
      </w:r>
      <w:r w:rsidR="00884E07">
        <w:rPr>
          <w:rFonts w:cs="Times New Roman"/>
          <w:color w:val="000000"/>
          <w:sz w:val="22"/>
        </w:rPr>
        <w:t>rom these fields, I develop a</w:t>
      </w:r>
      <w:r w:rsidRPr="001139CD">
        <w:rPr>
          <w:rFonts w:cs="Times New Roman"/>
          <w:color w:val="000000"/>
          <w:sz w:val="22"/>
        </w:rPr>
        <w:t xml:space="preserve"> framework that I call ‘</w:t>
      </w:r>
      <w:r w:rsidRPr="001139CD">
        <w:rPr>
          <w:rFonts w:cs="Times New Roman"/>
          <w:i/>
          <w:iCs/>
          <w:color w:val="000000"/>
          <w:sz w:val="22"/>
        </w:rPr>
        <w:t>more-than-human geopolitical ecology’</w:t>
      </w:r>
      <w:r w:rsidRPr="001139CD">
        <w:rPr>
          <w:rFonts w:cs="Times New Roman"/>
          <w:color w:val="000000"/>
          <w:sz w:val="22"/>
        </w:rPr>
        <w:t xml:space="preserve">. This framework makes space for </w:t>
      </w:r>
      <w:r w:rsidR="00884E07">
        <w:rPr>
          <w:rFonts w:cs="Times New Roman"/>
          <w:color w:val="000000"/>
          <w:sz w:val="22"/>
        </w:rPr>
        <w:t>theorising</w:t>
      </w:r>
      <w:r w:rsidRPr="001139CD">
        <w:rPr>
          <w:rFonts w:cs="Times New Roman"/>
          <w:color w:val="000000"/>
          <w:sz w:val="22"/>
        </w:rPr>
        <w:t xml:space="preserve"> and explaining the role of nonhuman actors in </w:t>
      </w:r>
      <w:r w:rsidRPr="001139CD">
        <w:rPr>
          <w:rFonts w:cs="Times New Roman"/>
          <w:color w:val="000000"/>
          <w:sz w:val="22"/>
        </w:rPr>
        <w:lastRenderedPageBreak/>
        <w:t>shaping the ways in which the geopolitics of policymaking and processes of environmental change intersect. </w:t>
      </w:r>
    </w:p>
    <w:p w14:paraId="6D918239" w14:textId="64178416" w:rsidR="001139CD" w:rsidRPr="001139CD" w:rsidRDefault="001139CD" w:rsidP="001139CD">
      <w:pPr>
        <w:rPr>
          <w:rFonts w:cs="Times New Roman"/>
          <w:color w:val="000000"/>
          <w:sz w:val="20"/>
          <w:szCs w:val="20"/>
        </w:rPr>
      </w:pPr>
      <w:r w:rsidRPr="001139CD">
        <w:rPr>
          <w:rFonts w:cs="Times New Roman"/>
          <w:color w:val="000000"/>
          <w:sz w:val="22"/>
        </w:rPr>
        <w:tab/>
        <w:t>In chapter three I outline my methodological approach for doing research that espouses a ‘</w:t>
      </w:r>
      <w:r w:rsidRPr="001139CD">
        <w:rPr>
          <w:rFonts w:cs="Times New Roman"/>
          <w:i/>
          <w:iCs/>
          <w:color w:val="000000"/>
          <w:sz w:val="22"/>
        </w:rPr>
        <w:t>more-than-human geopolitical ecology</w:t>
      </w:r>
      <w:r w:rsidRPr="001139CD">
        <w:rPr>
          <w:rFonts w:cs="Times New Roman"/>
          <w:color w:val="000000"/>
          <w:sz w:val="22"/>
        </w:rPr>
        <w:t>’ theoretical framework. The chapter demonstrates how I put theory into practice, and explicates the conceptual, practical, political</w:t>
      </w:r>
      <w:r w:rsidR="00884E07">
        <w:rPr>
          <w:rFonts w:cs="Times New Roman"/>
          <w:color w:val="000000"/>
          <w:sz w:val="22"/>
        </w:rPr>
        <w:t>,</w:t>
      </w:r>
      <w:r w:rsidRPr="001139CD">
        <w:rPr>
          <w:rFonts w:cs="Times New Roman"/>
          <w:color w:val="000000"/>
          <w:sz w:val="22"/>
        </w:rPr>
        <w:t xml:space="preserve"> and ethical challenges that I grappled with during the research and writing process. In this chapter I introduce follow-the-policy as the methodology that I adapted</w:t>
      </w:r>
      <w:r w:rsidR="00884E07">
        <w:rPr>
          <w:rFonts w:cs="Times New Roman"/>
          <w:color w:val="000000"/>
          <w:sz w:val="22"/>
        </w:rPr>
        <w:t xml:space="preserve"> to the specificities of my case</w:t>
      </w:r>
      <w:r w:rsidRPr="001139CD">
        <w:rPr>
          <w:rFonts w:cs="Times New Roman"/>
          <w:color w:val="000000"/>
          <w:sz w:val="22"/>
        </w:rPr>
        <w:t>. I explain how I followed people, sturgeon, materials, and meetings in order to trace the geopolitical-ecological implications of EU caviar trade regulations from a more-than-human perspective. I also outline how I utilised critical discourse analysis to analyse the data I collected. </w:t>
      </w:r>
    </w:p>
    <w:p w14:paraId="023DA6B8" w14:textId="7FE4875D" w:rsidR="001139CD" w:rsidRPr="001139CD" w:rsidRDefault="001139CD" w:rsidP="001139CD">
      <w:pPr>
        <w:rPr>
          <w:rFonts w:cs="Times New Roman"/>
          <w:color w:val="000000"/>
          <w:sz w:val="22"/>
        </w:rPr>
      </w:pPr>
      <w:r w:rsidRPr="001139CD">
        <w:rPr>
          <w:rFonts w:cs="Times New Roman"/>
          <w:color w:val="000000"/>
          <w:sz w:val="22"/>
        </w:rPr>
        <w:tab/>
        <w:t>The following five chapters are the empirical chapters of the thesis. In these chapters I describe my research findings and demonstrate how my data answers the main research questions of the thesis. Chapter four introduces</w:t>
      </w:r>
      <w:r w:rsidR="00884E07">
        <w:rPr>
          <w:rFonts w:cs="Times New Roman"/>
          <w:color w:val="000000"/>
          <w:sz w:val="22"/>
        </w:rPr>
        <w:t xml:space="preserve"> the argument that </w:t>
      </w:r>
      <w:r w:rsidR="00884E07" w:rsidRPr="001139CD">
        <w:rPr>
          <w:rFonts w:cs="Times New Roman"/>
          <w:color w:val="000000"/>
          <w:sz w:val="22"/>
        </w:rPr>
        <w:t>the regulations designed to prevent illegal caviar trade in the EU have not completely</w:t>
      </w:r>
      <w:r w:rsidR="00884E07">
        <w:rPr>
          <w:rFonts w:cs="Times New Roman"/>
          <w:color w:val="000000"/>
          <w:sz w:val="22"/>
        </w:rPr>
        <w:t xml:space="preserve"> prevented illegal caviar trade due to a number of gaps and grey areas in the regulatory frameworks. Rather, I argue that the regulations have produced unintended geopolitical-ecological consequences. </w:t>
      </w:r>
      <w:r w:rsidRPr="001139CD">
        <w:rPr>
          <w:rFonts w:cs="Times New Roman"/>
          <w:color w:val="000000"/>
          <w:sz w:val="22"/>
        </w:rPr>
        <w:t xml:space="preserve">The chapter is split into two parts. The first section takes the regulations as the starting point, providing context for their creation, explaining what the regulations are and how they are applied in the EU, and explaining some of the identified </w:t>
      </w:r>
      <w:r w:rsidR="00AC12BC">
        <w:rPr>
          <w:rFonts w:cs="Times New Roman"/>
          <w:color w:val="000000"/>
          <w:sz w:val="22"/>
        </w:rPr>
        <w:t>inconsistencies</w:t>
      </w:r>
      <w:r w:rsidRPr="001139CD">
        <w:rPr>
          <w:rFonts w:cs="Times New Roman"/>
          <w:color w:val="000000"/>
          <w:sz w:val="22"/>
        </w:rPr>
        <w:t xml:space="preserve"> in the regulations. In the discussion section of the chapter, I analyse how </w:t>
      </w:r>
      <w:r w:rsidR="00884E07">
        <w:rPr>
          <w:rFonts w:cs="Times New Roman"/>
          <w:color w:val="000000"/>
          <w:sz w:val="22"/>
        </w:rPr>
        <w:t xml:space="preserve">hegemonic policy narratives </w:t>
      </w:r>
      <w:r w:rsidR="00AC12BC">
        <w:rPr>
          <w:rFonts w:cs="Times New Roman"/>
          <w:color w:val="000000"/>
          <w:sz w:val="22"/>
        </w:rPr>
        <w:t xml:space="preserve">frame </w:t>
      </w:r>
      <w:r w:rsidR="00884E07">
        <w:rPr>
          <w:rFonts w:cs="Times New Roman"/>
          <w:color w:val="000000"/>
          <w:sz w:val="22"/>
        </w:rPr>
        <w:t xml:space="preserve">the impact of regulations in terms of </w:t>
      </w:r>
      <w:r w:rsidRPr="001139CD">
        <w:rPr>
          <w:rFonts w:cs="Times New Roman"/>
          <w:color w:val="000000"/>
          <w:sz w:val="22"/>
        </w:rPr>
        <w:t>declining seizures of illegal caviar. I argue that this ‘success’ narrative must be unpacked and recontextualised. I do so by examining the hid</w:t>
      </w:r>
      <w:r w:rsidR="00AC12BC">
        <w:rPr>
          <w:rFonts w:cs="Times New Roman"/>
          <w:color w:val="000000"/>
          <w:sz w:val="22"/>
        </w:rPr>
        <w:t>den political-ecological implications</w:t>
      </w:r>
      <w:r w:rsidRPr="001139CD">
        <w:rPr>
          <w:rFonts w:cs="Times New Roman"/>
          <w:color w:val="000000"/>
          <w:sz w:val="22"/>
        </w:rPr>
        <w:t xml:space="preserve"> o</w:t>
      </w:r>
      <w:r w:rsidR="00AC12BC">
        <w:rPr>
          <w:rFonts w:cs="Times New Roman"/>
          <w:color w:val="000000"/>
          <w:sz w:val="22"/>
        </w:rPr>
        <w:t>f the regulations for</w:t>
      </w:r>
      <w:r w:rsidRPr="001139CD">
        <w:rPr>
          <w:rFonts w:cs="Times New Roman"/>
          <w:color w:val="000000"/>
          <w:sz w:val="22"/>
        </w:rPr>
        <w:t xml:space="preserve"> sturgeon fishing communities and wild sturgeon.</w:t>
      </w:r>
    </w:p>
    <w:p w14:paraId="12318470" w14:textId="36B7E8F7" w:rsidR="001139CD" w:rsidRPr="001139CD" w:rsidRDefault="001139CD" w:rsidP="001139CD">
      <w:pPr>
        <w:rPr>
          <w:rFonts w:cs="Times New Roman"/>
          <w:color w:val="000000"/>
          <w:sz w:val="20"/>
          <w:szCs w:val="20"/>
        </w:rPr>
      </w:pPr>
      <w:r w:rsidRPr="001139CD">
        <w:rPr>
          <w:rFonts w:cs="Times New Roman"/>
          <w:color w:val="000000"/>
          <w:sz w:val="22"/>
        </w:rPr>
        <w:tab/>
        <w:t xml:space="preserve">Chapter five directly follows the line of argument in chapter four, as it continues to develop empirical evidence </w:t>
      </w:r>
      <w:r w:rsidR="00AC12BC">
        <w:rPr>
          <w:rFonts w:cs="Times New Roman"/>
          <w:color w:val="000000"/>
          <w:sz w:val="22"/>
        </w:rPr>
        <w:t>that shows</w:t>
      </w:r>
      <w:r w:rsidRPr="001139CD">
        <w:rPr>
          <w:rFonts w:cs="Times New Roman"/>
          <w:color w:val="000000"/>
          <w:sz w:val="22"/>
        </w:rPr>
        <w:t xml:space="preserve"> the EU caviar trade regulations have not prevented illegal caviar trade. In this chapter I argue that the regulations have enabled illegal caviar trade to continue under new guises that take advantage of the complex material properties of caviar. This chapter engages deeply with the materiality of caviar. I argue that the micropolitical properties of caviar have macropolitical impacts. I illustrate that the material attributes of caviar are fundamental to the co-production of the caviar ‘grey market’, which has burgeoned in the EU since the implementation of the caviar trade regulations. Thus, I illustrate how the </w:t>
      </w:r>
      <w:r w:rsidR="00AC12BC">
        <w:rPr>
          <w:rFonts w:cs="Times New Roman"/>
          <w:color w:val="000000"/>
          <w:sz w:val="22"/>
        </w:rPr>
        <w:t>regulatory frameworks</w:t>
      </w:r>
      <w:r w:rsidRPr="001139CD">
        <w:rPr>
          <w:rFonts w:cs="Times New Roman"/>
          <w:color w:val="000000"/>
          <w:sz w:val="22"/>
        </w:rPr>
        <w:t xml:space="preserve"> have inadvertently created a closer intertwining of the legal and illegal caviar trade, and I theorise the role of caviar in co-producing the caviar grey market.</w:t>
      </w:r>
    </w:p>
    <w:p w14:paraId="2F0F77DE" w14:textId="48710ABF" w:rsidR="00884E07" w:rsidRDefault="00884E07" w:rsidP="00353032">
      <w:pPr>
        <w:ind w:firstLine="720"/>
        <w:rPr>
          <w:rFonts w:cs="Times New Roman"/>
          <w:color w:val="000000"/>
          <w:sz w:val="22"/>
        </w:rPr>
      </w:pPr>
      <w:r>
        <w:rPr>
          <w:rFonts w:cs="Times New Roman"/>
          <w:color w:val="000000"/>
          <w:sz w:val="22"/>
        </w:rPr>
        <w:t xml:space="preserve">In chapter six I shift attention away from the impacts of the regulations on dynamics of illegal caviar trade, towards the broader implications of the regulatory frameworks in the EU. Taking the policy shift towards farmed caviar production as my empirical focus, I examine how gaps and grey </w:t>
      </w:r>
      <w:r>
        <w:rPr>
          <w:rFonts w:cs="Times New Roman"/>
          <w:color w:val="000000"/>
          <w:sz w:val="22"/>
        </w:rPr>
        <w:lastRenderedPageBreak/>
        <w:t xml:space="preserve">areas in the regulations have enabled the securitization of the physical infrastructures and practices of farmed caviar production in the EU. I argue that this process of securitization is justified by a narrative that positions farmed caviar production as the conservation panacea for wild sturgeon. </w:t>
      </w:r>
      <w:r w:rsidR="00353032">
        <w:rPr>
          <w:rFonts w:cs="Times New Roman"/>
          <w:color w:val="000000"/>
          <w:sz w:val="22"/>
        </w:rPr>
        <w:t>However, this chapter demonstrates that the securitization process has created more tangible opportunities for capital accumulation in the caviar industry, rather than demonstrable sturgeon conservation benefit. I analyse the more-than-human political implications of the security-conservation-accumulation nexus</w:t>
      </w:r>
      <w:r w:rsidR="00CB2E56">
        <w:rPr>
          <w:rFonts w:cs="Times New Roman"/>
          <w:color w:val="000000"/>
          <w:sz w:val="22"/>
        </w:rPr>
        <w:t xml:space="preserve"> that </w:t>
      </w:r>
      <w:r w:rsidR="00353032">
        <w:rPr>
          <w:rFonts w:cs="Times New Roman"/>
          <w:color w:val="000000"/>
          <w:sz w:val="22"/>
        </w:rPr>
        <w:t xml:space="preserve">is at work in farmed caviar production; and show how this nexus has been brought into being and sustained by policy narratives with distinct grey areas. </w:t>
      </w:r>
    </w:p>
    <w:p w14:paraId="7524F5B4" w14:textId="25F2E0D2" w:rsidR="00540813" w:rsidRPr="001139CD" w:rsidRDefault="001139CD" w:rsidP="00540813">
      <w:pPr>
        <w:ind w:firstLine="720"/>
        <w:rPr>
          <w:rFonts w:cs="Times New Roman"/>
          <w:color w:val="000000"/>
          <w:sz w:val="22"/>
        </w:rPr>
      </w:pPr>
      <w:r w:rsidRPr="001139CD">
        <w:rPr>
          <w:rFonts w:cs="Times New Roman"/>
          <w:color w:val="000000"/>
          <w:sz w:val="22"/>
        </w:rPr>
        <w:t>Chapter seven continues t</w:t>
      </w:r>
      <w:r w:rsidR="00353032">
        <w:rPr>
          <w:rFonts w:cs="Times New Roman"/>
          <w:color w:val="000000"/>
          <w:sz w:val="22"/>
        </w:rPr>
        <w:t xml:space="preserve">o focus on the security implications </w:t>
      </w:r>
      <w:r w:rsidRPr="001139CD">
        <w:rPr>
          <w:rFonts w:cs="Times New Roman"/>
          <w:color w:val="000000"/>
          <w:sz w:val="22"/>
        </w:rPr>
        <w:t xml:space="preserve">of the caviar trade regulations in the European Union. The chapter uses a framework from securitization studies to examine how the caviar trade regulations have caused security </w:t>
      </w:r>
      <w:r w:rsidR="00AC12BC">
        <w:rPr>
          <w:rFonts w:cs="Times New Roman"/>
          <w:color w:val="000000"/>
          <w:sz w:val="22"/>
        </w:rPr>
        <w:t xml:space="preserve">narratives </w:t>
      </w:r>
      <w:r w:rsidRPr="001139CD">
        <w:rPr>
          <w:rFonts w:cs="Times New Roman"/>
          <w:color w:val="000000"/>
          <w:sz w:val="22"/>
        </w:rPr>
        <w:t>associated with the caviar trade to emerge, evolve</w:t>
      </w:r>
      <w:r w:rsidR="00AC12BC">
        <w:rPr>
          <w:rFonts w:cs="Times New Roman"/>
          <w:color w:val="000000"/>
          <w:sz w:val="22"/>
        </w:rPr>
        <w:t>,</w:t>
      </w:r>
      <w:r w:rsidRPr="001139CD">
        <w:rPr>
          <w:rFonts w:cs="Times New Roman"/>
          <w:color w:val="000000"/>
          <w:sz w:val="22"/>
        </w:rPr>
        <w:t xml:space="preserve"> and dissolve. I argue that power geometries in the EU mean that some of these security </w:t>
      </w:r>
      <w:r w:rsidR="00AC12BC">
        <w:rPr>
          <w:rFonts w:cs="Times New Roman"/>
          <w:color w:val="000000"/>
          <w:sz w:val="22"/>
        </w:rPr>
        <w:t>narratives</w:t>
      </w:r>
      <w:r w:rsidRPr="001139CD">
        <w:rPr>
          <w:rFonts w:cs="Times New Roman"/>
          <w:color w:val="000000"/>
          <w:sz w:val="22"/>
        </w:rPr>
        <w:t xml:space="preserve"> gain traction over others, and that this has material consequences for European policy and enforcement strategies. I challenge the discursive desecuritiz</w:t>
      </w:r>
      <w:r w:rsidR="00AC12BC">
        <w:rPr>
          <w:rFonts w:cs="Times New Roman"/>
          <w:color w:val="000000"/>
          <w:sz w:val="22"/>
        </w:rPr>
        <w:t xml:space="preserve">ation of sturgeon crimes at the highest EU policy level, </w:t>
      </w:r>
      <w:r w:rsidRPr="001139CD">
        <w:rPr>
          <w:rFonts w:cs="Times New Roman"/>
          <w:color w:val="000000"/>
          <w:sz w:val="22"/>
        </w:rPr>
        <w:t>by pointing to gaps in the regulatory f</w:t>
      </w:r>
      <w:r w:rsidR="00AC12BC">
        <w:rPr>
          <w:rFonts w:cs="Times New Roman"/>
          <w:color w:val="000000"/>
          <w:sz w:val="22"/>
        </w:rPr>
        <w:t>rameworks to show how these omissions</w:t>
      </w:r>
      <w:r w:rsidRPr="001139CD">
        <w:rPr>
          <w:rFonts w:cs="Times New Roman"/>
          <w:color w:val="000000"/>
          <w:sz w:val="22"/>
        </w:rPr>
        <w:t xml:space="preserve"> have caused security issues to emerge and evolve in downstream sites of policy implementation. </w:t>
      </w:r>
    </w:p>
    <w:p w14:paraId="306D92A7" w14:textId="5738A3A8" w:rsidR="00540813" w:rsidRDefault="001139CD" w:rsidP="001139CD">
      <w:pPr>
        <w:spacing w:after="240"/>
        <w:rPr>
          <w:rFonts w:cs="Times New Roman"/>
          <w:color w:val="000000"/>
          <w:sz w:val="22"/>
        </w:rPr>
      </w:pPr>
      <w:r w:rsidRPr="001139CD">
        <w:rPr>
          <w:rFonts w:cs="Times New Roman"/>
          <w:color w:val="000000"/>
          <w:sz w:val="22"/>
        </w:rPr>
        <w:tab/>
        <w:t>Chapter eight is the final empirical chapter, and consolidate</w:t>
      </w:r>
      <w:r w:rsidR="00AC12BC">
        <w:rPr>
          <w:rFonts w:cs="Times New Roman"/>
          <w:color w:val="000000"/>
          <w:sz w:val="22"/>
        </w:rPr>
        <w:t>s</w:t>
      </w:r>
      <w:r w:rsidRPr="001139CD">
        <w:rPr>
          <w:rFonts w:cs="Times New Roman"/>
          <w:color w:val="000000"/>
          <w:sz w:val="22"/>
        </w:rPr>
        <w:t xml:space="preserve"> my arguments about the geopolitical-e</w:t>
      </w:r>
      <w:r w:rsidR="00540813">
        <w:rPr>
          <w:rFonts w:cs="Times New Roman"/>
          <w:color w:val="000000"/>
          <w:sz w:val="22"/>
        </w:rPr>
        <w:t xml:space="preserve">cological impacts caused by ambiguities </w:t>
      </w:r>
      <w:r w:rsidRPr="001139CD">
        <w:rPr>
          <w:rFonts w:cs="Times New Roman"/>
          <w:color w:val="000000"/>
          <w:sz w:val="22"/>
        </w:rPr>
        <w:t xml:space="preserve">in the caviar trade regulations. Importantly, I demonstrate how sturgeon are both </w:t>
      </w:r>
      <w:r w:rsidR="00353032">
        <w:rPr>
          <w:rFonts w:cs="Times New Roman"/>
          <w:color w:val="000000"/>
          <w:sz w:val="22"/>
        </w:rPr>
        <w:t>geopolitically important to EU Member S</w:t>
      </w:r>
      <w:r w:rsidRPr="001139CD">
        <w:rPr>
          <w:rFonts w:cs="Times New Roman"/>
          <w:color w:val="000000"/>
          <w:sz w:val="22"/>
        </w:rPr>
        <w:t>tates, and geopolitical actors themselves. I focus on the geopolitical-ecological implications of the caviar trade regulations and analyse how geopolitical actors have exploited the grey areas in these regulations as a way of gaining control over and access to sturgeon. However, I illustrate how sturgeon can disrupt efforts to be controlled by geopolitical actors. Instead, I show how the mobility, materiality</w:t>
      </w:r>
      <w:r w:rsidR="00353032">
        <w:rPr>
          <w:rFonts w:cs="Times New Roman"/>
          <w:color w:val="000000"/>
          <w:sz w:val="22"/>
        </w:rPr>
        <w:t>,</w:t>
      </w:r>
      <w:r w:rsidRPr="001139CD">
        <w:rPr>
          <w:rFonts w:cs="Times New Roman"/>
          <w:color w:val="000000"/>
          <w:sz w:val="22"/>
        </w:rPr>
        <w:t xml:space="preserve"> and ecology of sturgeon actually play a fundamental role in shaping geopolitical situations in the EU. Thus, I finish by explicating my key original contribution to knowledge: illustrating that sturgeon are geopolitical actors that have a significant role in determining the geopolitical realities </w:t>
      </w:r>
      <w:r w:rsidR="00540813">
        <w:rPr>
          <w:rFonts w:cs="Times New Roman"/>
          <w:color w:val="000000"/>
          <w:sz w:val="22"/>
        </w:rPr>
        <w:t>arising</w:t>
      </w:r>
      <w:r w:rsidRPr="001139CD">
        <w:rPr>
          <w:rFonts w:cs="Times New Roman"/>
          <w:color w:val="000000"/>
          <w:sz w:val="22"/>
        </w:rPr>
        <w:t xml:space="preserve"> from the </w:t>
      </w:r>
      <w:r w:rsidR="00540813">
        <w:rPr>
          <w:rFonts w:cs="Times New Roman"/>
          <w:color w:val="000000"/>
          <w:sz w:val="22"/>
        </w:rPr>
        <w:t>efforts to regulate the caviar trade in the European Union</w:t>
      </w:r>
      <w:r w:rsidRPr="001139CD">
        <w:rPr>
          <w:rFonts w:cs="Times New Roman"/>
          <w:color w:val="000000"/>
          <w:sz w:val="22"/>
        </w:rPr>
        <w:t>.</w:t>
      </w:r>
    </w:p>
    <w:p w14:paraId="1B698082" w14:textId="1DD30EC3" w:rsidR="001139CD" w:rsidRDefault="001139CD" w:rsidP="00540813">
      <w:pPr>
        <w:spacing w:after="240"/>
        <w:ind w:firstLine="720"/>
        <w:rPr>
          <w:rFonts w:cs="Times New Roman"/>
          <w:color w:val="000000"/>
          <w:sz w:val="22"/>
        </w:rPr>
      </w:pPr>
      <w:r w:rsidRPr="001139CD">
        <w:rPr>
          <w:rFonts w:cs="Times New Roman"/>
          <w:color w:val="000000"/>
          <w:sz w:val="22"/>
        </w:rPr>
        <w:t xml:space="preserve">Finally, in chapter nine I summarise the main empirical findings and key conclusions of the research. </w:t>
      </w:r>
      <w:r w:rsidR="00353032">
        <w:rPr>
          <w:rFonts w:cs="Times New Roman"/>
          <w:color w:val="000000"/>
          <w:sz w:val="22"/>
        </w:rPr>
        <w:t xml:space="preserve">Reflecting on the preceding empirical chapters and research questions, I explain how the </w:t>
      </w:r>
      <w:r w:rsidR="00540813">
        <w:rPr>
          <w:rFonts w:cs="Times New Roman"/>
          <w:color w:val="000000"/>
          <w:sz w:val="22"/>
        </w:rPr>
        <w:t xml:space="preserve">irregularities in policy identified in this research, </w:t>
      </w:r>
      <w:r w:rsidR="00353032">
        <w:rPr>
          <w:rFonts w:cs="Times New Roman"/>
          <w:color w:val="000000"/>
          <w:sz w:val="22"/>
        </w:rPr>
        <w:t>fa</w:t>
      </w:r>
      <w:r w:rsidR="00540813">
        <w:rPr>
          <w:rFonts w:cs="Times New Roman"/>
          <w:color w:val="000000"/>
          <w:sz w:val="22"/>
        </w:rPr>
        <w:t xml:space="preserve">ll under three main categories: absences and inconsistencies </w:t>
      </w:r>
      <w:r w:rsidR="00353032">
        <w:rPr>
          <w:rFonts w:cs="Times New Roman"/>
          <w:color w:val="000000"/>
          <w:sz w:val="22"/>
        </w:rPr>
        <w:t xml:space="preserve">in the content of regulations; gaps in implementation and enforcement of the regulations; and </w:t>
      </w:r>
      <w:r w:rsidR="00540813">
        <w:rPr>
          <w:rFonts w:cs="Times New Roman"/>
          <w:color w:val="000000"/>
          <w:sz w:val="22"/>
        </w:rPr>
        <w:t>oversights</w:t>
      </w:r>
      <w:r w:rsidR="00353032">
        <w:rPr>
          <w:rFonts w:cs="Times New Roman"/>
          <w:color w:val="000000"/>
          <w:sz w:val="22"/>
        </w:rPr>
        <w:t xml:space="preserve"> and grey areas in the related policy narratives. I then draw out conclusions about the implications of these gaps and grey areas in policy, for four broad themes that emerged from my analysis: illegal caviar trade and the caviar industry; hidden political ecologies; security and power; sturgeon geopolitics and caviar diplomacy. </w:t>
      </w:r>
      <w:r w:rsidRPr="001139CD">
        <w:rPr>
          <w:rFonts w:cs="Times New Roman"/>
          <w:color w:val="000000"/>
          <w:sz w:val="22"/>
        </w:rPr>
        <w:t xml:space="preserve">Finally, I reflect on the practical </w:t>
      </w:r>
      <w:r w:rsidR="00540813">
        <w:rPr>
          <w:rFonts w:cs="Times New Roman"/>
          <w:color w:val="000000"/>
          <w:sz w:val="22"/>
        </w:rPr>
        <w:t xml:space="preserve">policy </w:t>
      </w:r>
      <w:r w:rsidRPr="001139CD">
        <w:rPr>
          <w:rFonts w:cs="Times New Roman"/>
          <w:color w:val="000000"/>
          <w:sz w:val="22"/>
        </w:rPr>
        <w:lastRenderedPageBreak/>
        <w:t>implications of my research, and then consider the potential opportunities for future research that have been borne out of this project.</w:t>
      </w:r>
      <w:r>
        <w:rPr>
          <w:rFonts w:cs="Times New Roman"/>
          <w:color w:val="000000"/>
          <w:sz w:val="22"/>
        </w:rPr>
        <w:t xml:space="preserve"> </w:t>
      </w:r>
    </w:p>
    <w:p w14:paraId="52024FB6" w14:textId="55F4ACAD" w:rsidR="001139CD" w:rsidRDefault="001139CD" w:rsidP="00FF04FD">
      <w:pPr>
        <w:pStyle w:val="Heading1"/>
      </w:pPr>
      <w:bookmarkStart w:id="15" w:name="_Toc453224188"/>
      <w:r>
        <w:lastRenderedPageBreak/>
        <w:t xml:space="preserve">Chapter 2: A theoretical approach for </w:t>
      </w:r>
      <w:r w:rsidRPr="00DF7664">
        <w:t>more-than-human geopolitical ecology</w:t>
      </w:r>
      <w:bookmarkEnd w:id="15"/>
    </w:p>
    <w:p w14:paraId="3DB8E610" w14:textId="77777777" w:rsidR="001139CD" w:rsidRDefault="001139CD" w:rsidP="001139CD">
      <w:pPr>
        <w:pStyle w:val="Heading2"/>
      </w:pPr>
      <w:bookmarkStart w:id="16" w:name="_Toc453224189"/>
      <w:r>
        <w:t>2.0 Introduction</w:t>
      </w:r>
      <w:bookmarkEnd w:id="16"/>
      <w:r>
        <w:t xml:space="preserve"> </w:t>
      </w:r>
    </w:p>
    <w:p w14:paraId="795ED1B2" w14:textId="6A8AED2B" w:rsidR="001139CD" w:rsidRDefault="001139CD" w:rsidP="001139CD">
      <w:pPr>
        <w:pStyle w:val="NormalWeb"/>
        <w:spacing w:before="0" w:beforeAutospacing="0" w:after="0" w:afterAutospacing="0" w:line="360" w:lineRule="auto"/>
        <w:jc w:val="both"/>
        <w:rPr>
          <w:sz w:val="22"/>
          <w:szCs w:val="22"/>
        </w:rPr>
      </w:pPr>
      <w:r>
        <w:rPr>
          <w:sz w:val="22"/>
          <w:szCs w:val="22"/>
        </w:rPr>
        <w:t>This chapter outlines a theoretical approach for more-than-human geopolitical ecology. As a theoretical approach, more-than-human geopolitical ecology builds upon a growing body of work in critical social science. This body of work develops frameworks for analysing the geopolitics of environmental change.</w:t>
      </w:r>
      <w:r w:rsidR="00F707AA">
        <w:rPr>
          <w:sz w:val="22"/>
          <w:szCs w:val="22"/>
        </w:rPr>
        <w:t xml:space="preserve"> </w:t>
      </w:r>
      <w:r>
        <w:rPr>
          <w:sz w:val="22"/>
          <w:szCs w:val="22"/>
        </w:rPr>
        <w:t xml:space="preserve">These include but are not </w:t>
      </w:r>
      <w:r w:rsidRPr="00833149">
        <w:rPr>
          <w:sz w:val="22"/>
          <w:szCs w:val="22"/>
        </w:rPr>
        <w:t>limited to: geopolitical ecology</w:t>
      </w:r>
      <w:r w:rsidR="00EC7F7E">
        <w:rPr>
          <w:sz w:val="22"/>
          <w:szCs w:val="22"/>
        </w:rPr>
        <w:t xml:space="preserve"> </w:t>
      </w:r>
      <w:r w:rsidR="00EC7F7E">
        <w:rPr>
          <w:sz w:val="22"/>
          <w:szCs w:val="22"/>
        </w:rPr>
        <w:fldChar w:fldCharType="begin" w:fldLock="1"/>
      </w:r>
      <w:r w:rsidR="00F17497">
        <w:rPr>
          <w:sz w:val="22"/>
          <w:szCs w:val="22"/>
        </w:rPr>
        <w:instrText>ADDIN CSL_CITATION {"citationItems":[{"id":"ITEM-1","itemData":{"DOI":"10.1016/J.POLGEO.2017.03.007","ISSN":"0962-6298","abstract":"The United States military is treating climate change as a crucial factor in its preparation for future conflicts. This concern manifests not only in strategic planning and forward-looking documents, but also in building infrastructural capacity and material provision. Yet, the impetus to ‘green’ the military goes beyond the deployment of existing technologies. We examine several facets of the military's role as an environmental actor, particularly through its promotion of the US Navy's ‘Great Green Fleet’ (GGF), which actively supports the development of advanced biofuels by subsidizing their development and facilitating wider marketization. The GGF promises to reduce military reliance on conventional fossil fuels and reconfigure its energy sourcing, thus reducing dependence on imported hydrocarbons; this is with an eye towards ultimately severing the logistical relationship between existing energy infrastructures and the spaces of military intervention. Taking an integrated lens of political ecology and geopolitics - ‘geopolitical ecology’ - we seek to provide an understanding of the production of weaponized nature. We demonstrate that the US military's discursive use of climate change to justify the provision of new military hardware and advanced biofuels promotes a vision of resource conflicts to support the development of technologies to overcome the constraints to delivery of fuel to emergent front lines. We argue that while this may appear to be militarized greenwashing, it signals a shift in the logics and practices of fuel sourcing driven by a dystopian vision of climate change, which the US military played a significant role in creating.","author":[{"dropping-particle":"","family":"Bigger","given":"Patrick","non-dropping-particle":"","parse-names":false,"suffix":""},{"dropping-particle":"","family":"Neimark","given":"Benjamin D.","non-dropping-particle":"","parse-names":false,"suffix":""}],"container-title":"Political Geography","id":"ITEM-1","issued":{"date-parts":[["2017","9","1"]]},"page":"13-22","publisher":"Pergamon","title":"Weaponizing nature: The geopolitical ecology of the US Navy’s biofuel program","type":"article-journal","volume":"60"},"uris":["http://www.mendeley.com/documents/?uuid=284b1a67-7602-3066-a25f-5d25723549cc"]},{"id":"ITEM-2","itemData":{"DOI":"10.1108/S2040-726220180000019003","ISSN":"20407270","abstract":"In this chapter, the authors use emerging works on geopolitical ecologies to analyze the relations between tourism and the transboundary haze disaster in northern Thailand. The region’s ‘smoky season’, which occurs between February and April of each year, has become a recurring seasonal haze disaster that is reported to be the combined result of biomass burning and urban air pollution. Drawing on ethnographic research among urban tourism practitioners, as well as a critical discourse analysis of popular and social media reports and commentaries, the authors argue that geopolitical discourses of transboundary haze production are shaped by tourists and the tourism industry in ways that perpetuate inequitably distributed disaster risk. Transboundary haze, the authors further contend, has become an ecological actor that co-produces discourses of escape among mobile tourists and residents. This research contributes to emerging work that conceptualises the geopolitical ecologies of transboundary environmental disasters in relation to tourism mobilities in southeast Asia.","author":[{"dropping-particle":"","family":"Mostafanezhad","given":"Mary","non-dropping-particle":"","parse-names":false,"suffix":""},{"dropping-particle":"","family":"Evrard","given":"Olivier","non-dropping-particle":"","parse-names":false,"suffix":""}],"container-title":"Community, Environment and Disaster Risk Management","id":"ITEM-2","issued":{"date-parts":[["2018"]]},"page":"53-66","title":"Geopolitical ecologies of tourism and the transboundary haze disaster in thailand, laos and myanmar","type":"article-journal","volume":"19"},"uris":["http://www.mendeley.com/documents/?uuid=7d5c13a3-7f67-49c4-a67e-ea944b8e28c4"]},{"id":"ITEM-3","itemData":{"DOI":"10.1016/j.worlddev.2020.104958","ISSN":"18735991","abstract":"In this article we develop a geopolitical ecology of foreign conservation assistance. While the literature on the political nature of foreign assistance writ large highlights how geopolitical agendas are pursued through foreign assistance, we focus on how this geopolitics of foreign assistance articulates with biodiversity conservation concerns. We draw attention to how conservation donor agencies negotiate shifting geopolitical contexts in which the protection of biodiversity from the illegal wildlife trade (IWT) is increasingly framed in the language of national security concerns. We ask: Does framing IWT as a national security concern shape the allocation of foreign conservation assistance? What can answering this question tell us, both empirically and conceptually, about the geopolitical ecology of foreign conservation assistance specifically, and about the meaning of biodiversity conservation efforts to the state more broadly? We approach these questions by combining in-depth qualitative and quantitative analyses of the foreign conservation assistance provided by the US’ lead wildlife conservation agency, the United States Fish and Wildlife Service (USFWS). Between 2002 to the end of fiscal year 2018, the USFWS Division of International Affairs provided assistance to 4142 projects across 106 countries worth over USD $301 million. Our results show that an increasing portion of foreign assistance for biodiversity conservation is allocated to projects that have the specific objective of combating wildlife trafficking (CWT) at the expense of other conservation priorities. This transformation of what it means to fund conservation work overseas, we argue, lies at the heart of an emerging and intensifying geopolitical ecology of conservation, marked by increasing efforts to link the illicit harvesting and trafficking of wildlife with concerns about threats to national security. We conclude by discussing what a geopolitical ecology lens offers for understanding international assistance, biodiversity conservation, more traditional geopolitical concerns, and the intersections between them.","author":[{"dropping-particle":"","family":"Massé","given":"Francis","non-dropping-particle":"","parse-names":false,"suffix":""},{"dropping-particle":"","family":"Margulies","given":"Jared D.","non-dropping-particle":"","parse-names":false,"suffix":""}],"container-title":"World Development","id":"ITEM-3","issued":{"date-parts":[["2020"]]},"page":"104958","publisher":"The Authors","title":"The geopolitical ecology of conservation: The emergence of illegal wildlife trade as national security interest and the re-shaping of US foreign conservation assistance","type":"article-journal","volume":"132"},"uris":["http://www.mendeley.com/documents/?uuid=1401e36b-7eb2-43dc-ab48-f61cc16a8da5"]}],"mendeley":{"formattedCitation":"(Bigger and Neimark, 2017; Mostafanezhad and Evrard, 2018; Francis Massé and Margulies, 2020)","manualFormatting":"(Bigger and Neimark, 2017; Mostafanezhad and Evrard, 2018; Massé and Margulies, 2020)","plainTextFormattedCitation":"(Bigger and Neimark, 2017; Mostafanezhad and Evrard, 2018; Francis Massé and Margulies, 2020)","previouslyFormattedCitation":"(Bigger and Neimark, 2017; Mostafanezhad and Evrard, 2018; Francis Massé and Margulies, 2020)"},"properties":{"noteIndex":0},"schema":"https://github.com/citation-style-language/schema/raw/master/csl-citation.json"}</w:instrText>
      </w:r>
      <w:r w:rsidR="00EC7F7E">
        <w:rPr>
          <w:sz w:val="22"/>
          <w:szCs w:val="22"/>
        </w:rPr>
        <w:fldChar w:fldCharType="separate"/>
      </w:r>
      <w:r w:rsidR="00EC7F7E" w:rsidRPr="00EC7F7E">
        <w:rPr>
          <w:noProof/>
          <w:sz w:val="22"/>
          <w:szCs w:val="22"/>
        </w:rPr>
        <w:t xml:space="preserve">(Bigger and Neimark, 2017; </w:t>
      </w:r>
      <w:r w:rsidR="00EC7F7E">
        <w:rPr>
          <w:noProof/>
          <w:sz w:val="22"/>
          <w:szCs w:val="22"/>
        </w:rPr>
        <w:t xml:space="preserve">Mostafanezhad and Evrard, 2018; </w:t>
      </w:r>
      <w:r w:rsidR="00EC7F7E" w:rsidRPr="00EC7F7E">
        <w:rPr>
          <w:noProof/>
          <w:sz w:val="22"/>
          <w:szCs w:val="22"/>
        </w:rPr>
        <w:t>Massé and Margulies, 2020)</w:t>
      </w:r>
      <w:r w:rsidR="00EC7F7E">
        <w:rPr>
          <w:sz w:val="22"/>
          <w:szCs w:val="22"/>
        </w:rPr>
        <w:fldChar w:fldCharType="end"/>
      </w:r>
      <w:r>
        <w:rPr>
          <w:sz w:val="22"/>
          <w:szCs w:val="22"/>
        </w:rPr>
        <w:t xml:space="preserve">; environmental geopolitics </w:t>
      </w:r>
      <w:r>
        <w:rPr>
          <w:sz w:val="22"/>
          <w:szCs w:val="22"/>
        </w:rPr>
        <w:fldChar w:fldCharType="begin" w:fldLock="1"/>
      </w:r>
      <w:r>
        <w:rPr>
          <w:sz w:val="22"/>
          <w:szCs w:val="22"/>
        </w:rPr>
        <w:instrText>ADDIN CSL_CITATION {"citationItems":[{"id":"ITEM-1","itemData":{"ISBN":"1442265817","abstract":" This thought-provoking and clearly argued text provides a critical geopolitical lens for understanding global environment politics. A subfield of political geography, environmental geopolitics examines how environmental themes are used to support geopolitical arguments and physical realities of power and place. Shannon O’Lear considers common, problematic traits of such familiar but widely misunderstood narratives about human-environment relationships. Mainstream themes about human-environment relationships include narratives about presumed connections between human population trends and resource scarcity; ways in which conflict and violence are linked to resource use or environmental degradation; climate security; and the application of science to solve environmental problems. O’Lear questions these narratives, arguing that the role or meaning of the environment is rarely specified, humans’ role in these situations tends to be considered selectively, and little attention is paid to spatial dimensions of human-environment relationships. She shows that how we tend to think about environmental concerns often obscure value judgments and constrain more dynamic approaches to human-environment relationships. Environmental geopolitics demonstrates how we can question familiar assumptions to generate more just and creative approaches to our many relationships with the environment.\r\n","author":[{"dropping-particle":"","family":"O'Lear","given":"Shannon","non-dropping-particle":"","parse-names":false,"suffix":""}],"id":"ITEM-1","issued":{"date-parts":[["2018"]]},"number-of-pages":"216","title":"Environmental Geopolitics","type":"book"},"uris":["http://www.mendeley.com/documents/?uuid=59389a53-42d6-3563-9aec-f89f03ab5871"]}],"mendeley":{"formattedCitation":"(O’Lear, 2018)","manualFormatting":"(O’Lear, 2018, 2020)","plainTextFormattedCitation":"(O’Lear, 2018)","previouslyFormattedCitation":"(O’Lear, 2018)"},"properties":{"noteIndex":0},"schema":"https://github.com/citation-style-language/schema/raw/master/csl-citation.json"}</w:instrText>
      </w:r>
      <w:r>
        <w:rPr>
          <w:sz w:val="22"/>
          <w:szCs w:val="22"/>
        </w:rPr>
        <w:fldChar w:fldCharType="separate"/>
      </w:r>
      <w:r w:rsidRPr="00401691">
        <w:rPr>
          <w:noProof/>
          <w:sz w:val="22"/>
          <w:szCs w:val="22"/>
        </w:rPr>
        <w:t>(O’Lear, 2018</w:t>
      </w:r>
      <w:r>
        <w:rPr>
          <w:noProof/>
          <w:sz w:val="22"/>
          <w:szCs w:val="22"/>
        </w:rPr>
        <w:t>, 2020</w:t>
      </w:r>
      <w:r w:rsidRPr="00401691">
        <w:rPr>
          <w:noProof/>
          <w:sz w:val="22"/>
          <w:szCs w:val="22"/>
        </w:rPr>
        <w:t>)</w:t>
      </w:r>
      <w:r>
        <w:rPr>
          <w:sz w:val="22"/>
          <w:szCs w:val="22"/>
        </w:rPr>
        <w:fldChar w:fldCharType="end"/>
      </w:r>
      <w:r>
        <w:rPr>
          <w:sz w:val="22"/>
          <w:szCs w:val="22"/>
        </w:rPr>
        <w:t xml:space="preserve">; conservation geopolitics </w:t>
      </w:r>
      <w:r>
        <w:rPr>
          <w:sz w:val="22"/>
          <w:szCs w:val="22"/>
        </w:rPr>
        <w:fldChar w:fldCharType="begin" w:fldLock="1"/>
      </w:r>
      <w:r w:rsidR="00EC7F7E">
        <w:rPr>
          <w:sz w:val="22"/>
          <w:szCs w:val="22"/>
        </w:rPr>
        <w:instrText>ADDIN CSL_CITATION {"citationItems":[{"id":"ITEM-1","itemData":{"DOI":"10.1111/cobi.13238","ISSN":"08888892","author":[{"dropping-particle":"","family":"Hodgetts","given":"Timothy","non-dropping-particle":"","parse-names":false,"suffix":""},{"dropping-particle":"","family":"Burnham","given":"Dawn","non-dropping-particle":"","parse-names":false,"suffix":""},{"dropping-particle":"","family":"Dickman","given":"Amy","non-dropping-particle":"","parse-names":false,"suffix":""},{"dropping-particle":"","family":"Macdonald","given":"Ewan A.","non-dropping-particle":"","parse-names":false,"suffix":""},{"dropping-particle":"","family":"Macdonald","given":"David W.","non-dropping-particle":"","parse-names":false,"suffix":""}],"container-title":"Conservation Biology","id":"ITEM-1","issued":{"date-parts":[["2018","10","15"]]},"title":"Conservation geopolitics","type":"article-journal"},"uris":["http://www.mendeley.com/documents/?uuid=3483bd20-5d4b-3e38-aacb-2fa0aa5f3b36"]},{"id":"ITEM-2","itemData":{"DOI":"10.1080/14650045.2019.1690413","ISSN":"15573028","abstract":"The conservation enterprise is embedded in ideas of the environment through which it promotes a vision of the world and the relations between the non-human and human. The papers in this forum analyse conservation from various vantage points to draw the links between geopolitics and conservation. The authors use three themes to demonstrate these links. The first theme draws on the concept of environmentality to show the mobilization of ecological rationalities and power towards the creation of protected areas. The second pays attention to networks formed across the distance, and how they influence the location and governance of protected areas. The third focuses on the strategies the conservation lobby uses to align local identities with global conservation ideals and goals. Collectively, these themes highlight features of conservation geopolitics.","author":[{"dropping-particle":"","family":"Ramutsindela","given":"Maano","non-dropping-particle":"","parse-names":false,"suffix":""},{"dropping-particle":"","family":"Guyot","given":"Sylvain","non-dropping-particle":"","parse-names":false,"suffix":""},{"dropping-particle":"","family":"Boillat","given":"Sébastien","non-dropping-particle":"","parse-names":false,"suffix":""},{"dropping-particle":"","family":"Giraut","given":"Frédéric","non-dropping-particle":"","parse-names":false,"suffix":""},{"dropping-particle":"","family":"Bottazzi","given":"Patrick","non-dropping-particle":"","parse-names":false,"suffix":""}],"container-title":"Geopolitics","id":"ITEM-2","issue":"1","issued":{"date-parts":[["2020"]]},"page":"240-266","publisher":"Routledge","title":"The Geopolitics of Protected Areas","type":"article-journal","volume":"25"},"uris":["http://www.mendeley.com/documents/?uuid=5ccab238-8a83-40b9-a91c-c65f820e1dbd"]}],"mendeley":{"formattedCitation":"(Hodgetts &lt;i&gt;et al.&lt;/i&gt;, 2018; Ramutsindela &lt;i&gt;et al.&lt;/i&gt;, 2020)","manualFormatting":"(Hodgetts et al., 2018; Ramutsindela et al., 2020)","plainTextFormattedCitation":"(Hodgetts et al., 2018; Ramutsindela et al., 2020)","previouslyFormattedCitation":"(Hodgetts &lt;i&gt;et al.&lt;/i&gt;, 2018; Ramutsindela &lt;i&gt;et al.&lt;/i&gt;, 2020)"},"properties":{"noteIndex":0},"schema":"https://github.com/citation-style-language/schema/raw/master/csl-citation.json"}</w:instrText>
      </w:r>
      <w:r>
        <w:rPr>
          <w:sz w:val="22"/>
          <w:szCs w:val="22"/>
        </w:rPr>
        <w:fldChar w:fldCharType="separate"/>
      </w:r>
      <w:r w:rsidRPr="00401691">
        <w:rPr>
          <w:noProof/>
          <w:sz w:val="22"/>
          <w:szCs w:val="22"/>
        </w:rPr>
        <w:t>(Hodgetts</w:t>
      </w:r>
      <w:r>
        <w:rPr>
          <w:noProof/>
          <w:sz w:val="22"/>
          <w:szCs w:val="22"/>
        </w:rPr>
        <w:t xml:space="preserve"> </w:t>
      </w:r>
      <w:r w:rsidRPr="00401691">
        <w:rPr>
          <w:i/>
          <w:noProof/>
          <w:sz w:val="22"/>
          <w:szCs w:val="22"/>
        </w:rPr>
        <w:t>et al.</w:t>
      </w:r>
      <w:r>
        <w:rPr>
          <w:noProof/>
          <w:sz w:val="22"/>
          <w:szCs w:val="22"/>
        </w:rPr>
        <w:t>,</w:t>
      </w:r>
      <w:r w:rsidRPr="00401691">
        <w:rPr>
          <w:noProof/>
          <w:sz w:val="22"/>
          <w:szCs w:val="22"/>
        </w:rPr>
        <w:t xml:space="preserve"> 2018</w:t>
      </w:r>
      <w:r>
        <w:rPr>
          <w:noProof/>
          <w:sz w:val="22"/>
          <w:szCs w:val="22"/>
        </w:rPr>
        <w:t xml:space="preserve">; Ramutsindela </w:t>
      </w:r>
      <w:r w:rsidRPr="0085663E">
        <w:rPr>
          <w:i/>
          <w:noProof/>
          <w:sz w:val="22"/>
          <w:szCs w:val="22"/>
        </w:rPr>
        <w:t>et al</w:t>
      </w:r>
      <w:r>
        <w:rPr>
          <w:noProof/>
          <w:sz w:val="22"/>
          <w:szCs w:val="22"/>
        </w:rPr>
        <w:t>., 2020</w:t>
      </w:r>
      <w:r w:rsidRPr="00401691">
        <w:rPr>
          <w:noProof/>
          <w:sz w:val="22"/>
          <w:szCs w:val="22"/>
        </w:rPr>
        <w:t>)</w:t>
      </w:r>
      <w:r>
        <w:rPr>
          <w:sz w:val="22"/>
          <w:szCs w:val="22"/>
        </w:rPr>
        <w:fldChar w:fldCharType="end"/>
      </w:r>
      <w:r>
        <w:rPr>
          <w:sz w:val="22"/>
          <w:szCs w:val="22"/>
        </w:rPr>
        <w:t xml:space="preserve">; and Anthropocene geopolitics </w:t>
      </w:r>
      <w:r w:rsidR="00EC7F7E">
        <w:rPr>
          <w:sz w:val="22"/>
          <w:szCs w:val="22"/>
        </w:rPr>
        <w:fldChar w:fldCharType="begin" w:fldLock="1"/>
      </w:r>
      <w:r w:rsidR="00EC7F7E">
        <w:rPr>
          <w:sz w:val="22"/>
          <w:szCs w:val="22"/>
        </w:rPr>
        <w:instrText>ADDIN CSL_CITATION {"citationItems":[{"id":"ITEM-1","itemData":{"ISBN":"9780776628899","abstract":"\"Humanity has been scaling up its niche, changing the climate and the species mix around the world since the end of the last ice age and in the process generating a new geological epoch known as the Anthropocene. Human activities occurring on a global scale are now impacting and altering boundaries that constitute the conditions under which humanity has been able to flourish over the last ten thousand years. Rapid changes in the earth system mean that old assumptions of stable borders as the basis of sovereignty have to be reconsidered. Ironically, the current phase of globalization involves re-bordering many things, extending property and jurisdictions in numerous new ways that may actually prevent effective adaptation to climate change. Securing the fossil fuel economy remains a policy priority, as does trying to cope with disasters on a global scale—all of which makes sustainability more difficult as geopolitical rivalries shape contemporary global policy. The Anthropocene is thus the new context for sustainability policy in the latest phase of globalization, and both academic analysis and practical initiatives will have to incorporate its insights if they are to be effective. \"--","author":[{"dropping-particle":"","family":"Dalby","given":"","non-dropping-particle":"","parse-names":false,"suffix":""}],"id":"ITEM-1","issued":{"date-parts":[["2020"]]},"title":"Anthropocene Geopolitics: Globalization, Security, Sustainability - Simon Dalby - Google Books","type":"book"},"uris":["http://www.mendeley.com/documents/?uuid=9be77851-6076-383a-b264-e7268b85d975"]}],"mendeley":{"formattedCitation":"(Dalby, 2020)","plainTextFormattedCitation":"(Dalby, 2020)","previouslyFormattedCitation":"(Dalby, 2020)"},"properties":{"noteIndex":0},"schema":"https://github.com/citation-style-language/schema/raw/master/csl-citation.json"}</w:instrText>
      </w:r>
      <w:r w:rsidR="00EC7F7E">
        <w:rPr>
          <w:sz w:val="22"/>
          <w:szCs w:val="22"/>
        </w:rPr>
        <w:fldChar w:fldCharType="separate"/>
      </w:r>
      <w:r w:rsidR="00EC7F7E" w:rsidRPr="00EC7F7E">
        <w:rPr>
          <w:noProof/>
          <w:sz w:val="22"/>
          <w:szCs w:val="22"/>
        </w:rPr>
        <w:t>(Dalby, 2020)</w:t>
      </w:r>
      <w:r w:rsidR="00EC7F7E">
        <w:rPr>
          <w:sz w:val="22"/>
          <w:szCs w:val="22"/>
        </w:rPr>
        <w:fldChar w:fldCharType="end"/>
      </w:r>
      <w:r w:rsidR="00EC7F7E">
        <w:rPr>
          <w:sz w:val="22"/>
          <w:szCs w:val="22"/>
        </w:rPr>
        <w:t>.</w:t>
      </w:r>
      <w:r>
        <w:rPr>
          <w:sz w:val="22"/>
          <w:szCs w:val="22"/>
        </w:rPr>
        <w:t xml:space="preserve"> </w:t>
      </w:r>
      <w:r w:rsidR="00F707AA">
        <w:rPr>
          <w:sz w:val="22"/>
          <w:szCs w:val="22"/>
        </w:rPr>
        <w:t>These sub-fields have a collective concern with examining how interventions into changing environments, are i</w:t>
      </w:r>
      <w:r w:rsidR="00BC5EE2">
        <w:rPr>
          <w:sz w:val="22"/>
          <w:szCs w:val="22"/>
        </w:rPr>
        <w:t xml:space="preserve">ncreasingly geopolitical in both motivation and outcome. </w:t>
      </w:r>
    </w:p>
    <w:p w14:paraId="459F8A5B" w14:textId="3DE65742" w:rsidR="001139CD" w:rsidRDefault="0004146C" w:rsidP="001139CD">
      <w:pPr>
        <w:ind w:firstLine="720"/>
        <w:rPr>
          <w:rFonts w:cs="Times New Roman"/>
          <w:sz w:val="22"/>
        </w:rPr>
      </w:pPr>
      <w:r>
        <w:rPr>
          <w:rFonts w:cs="Times New Roman"/>
          <w:sz w:val="22"/>
        </w:rPr>
        <w:t>M</w:t>
      </w:r>
      <w:r w:rsidR="001139CD">
        <w:rPr>
          <w:rFonts w:cs="Times New Roman"/>
          <w:sz w:val="22"/>
        </w:rPr>
        <w:t xml:space="preserve">y approach to more-than-human geopolitical ecology is directly informed by scholarship in environmental geopolitics and geopolitical ecology. I </w:t>
      </w:r>
      <w:r>
        <w:rPr>
          <w:rFonts w:cs="Times New Roman"/>
          <w:sz w:val="22"/>
        </w:rPr>
        <w:t xml:space="preserve">apply </w:t>
      </w:r>
      <w:r w:rsidR="001139CD">
        <w:rPr>
          <w:rFonts w:cs="Times New Roman"/>
          <w:sz w:val="22"/>
        </w:rPr>
        <w:t xml:space="preserve">elements from each of these theoretical approaches, </w:t>
      </w:r>
      <w:r>
        <w:rPr>
          <w:rFonts w:cs="Times New Roman"/>
          <w:sz w:val="22"/>
        </w:rPr>
        <w:t>in order</w:t>
      </w:r>
      <w:r w:rsidR="001139CD">
        <w:rPr>
          <w:rFonts w:cs="Times New Roman"/>
          <w:sz w:val="22"/>
        </w:rPr>
        <w:t xml:space="preserve"> to conceptualise the far-reaching geopolitical-ecological implications of caviar trade regulations in the European Union. Neither of these approaches in isolation can adequately theorise the nuances of my </w:t>
      </w:r>
      <w:r>
        <w:rPr>
          <w:rFonts w:cs="Times New Roman"/>
          <w:sz w:val="22"/>
        </w:rPr>
        <w:t xml:space="preserve">empirical </w:t>
      </w:r>
      <w:r w:rsidR="001139CD">
        <w:rPr>
          <w:rFonts w:cs="Times New Roman"/>
          <w:sz w:val="22"/>
        </w:rPr>
        <w:t xml:space="preserve">case; and although these theoretical approaches share some obvious commonalities and intersections, to-date there has been little exchange between the two. As such, my theoretical approach represents an attempt to explicitly bring these sub-disciplines into dialogue with each other in productive ways. </w:t>
      </w:r>
    </w:p>
    <w:p w14:paraId="148BA618" w14:textId="33DF931D" w:rsidR="001139CD" w:rsidRDefault="001139CD" w:rsidP="001139CD">
      <w:pPr>
        <w:ind w:firstLine="720"/>
        <w:rPr>
          <w:rFonts w:cs="Times New Roman"/>
          <w:sz w:val="22"/>
        </w:rPr>
      </w:pPr>
      <w:r>
        <w:rPr>
          <w:rFonts w:cs="Times New Roman"/>
          <w:sz w:val="22"/>
        </w:rPr>
        <w:t xml:space="preserve">Despite the productive possibilities that emerge from a dialogue between environmental geopolitics and geopolitical ecology, I argue that the two approaches under-theorise the role of nonhumans in co-producing the geopolitics of environmental change. In this regard, a straightforward combination of the two approaches cannot capture the complexities of the arguments I develop in this thesis. </w:t>
      </w:r>
      <w:r w:rsidR="0073058B">
        <w:rPr>
          <w:rFonts w:cs="Times New Roman"/>
          <w:sz w:val="22"/>
        </w:rPr>
        <w:t>T</w:t>
      </w:r>
      <w:r>
        <w:rPr>
          <w:rFonts w:cs="Times New Roman"/>
          <w:sz w:val="22"/>
        </w:rPr>
        <w:t xml:space="preserve">he approach I develop for more-than-human geopolitical ecology achieves something substantively different to either environmental geopolitics or geopolitical ecology. I ask largely overlooked questions about how nonhuman actors figure alongside geopolitical institutions in the making of geopolitical natures and environments. More-than-human geopolitical ecology therefore theoretically expands the remit of who or what constitutes the ‘political’ in discussions of geopolitics and the environment, by pointing to the geopolitical potentials of nonhuman animals including sturgeon; and material-things including caviar. In recognition that the regulation of trade in caviar and sturgeon in the EU is an intrinsically more-than-human endeavour, I argue that the theoretical frameworks to make sense of the impacts of these regulatory processes should </w:t>
      </w:r>
      <w:r w:rsidR="0004146C">
        <w:rPr>
          <w:rFonts w:cs="Times New Roman"/>
          <w:sz w:val="22"/>
        </w:rPr>
        <w:t xml:space="preserve">likewise </w:t>
      </w:r>
      <w:r>
        <w:rPr>
          <w:rFonts w:cs="Times New Roman"/>
          <w:sz w:val="22"/>
        </w:rPr>
        <w:t xml:space="preserve">be more-than-human. </w:t>
      </w:r>
    </w:p>
    <w:p w14:paraId="4C6FA2D0" w14:textId="64795379" w:rsidR="001139CD" w:rsidRDefault="001139CD" w:rsidP="001139CD">
      <w:pPr>
        <w:ind w:firstLine="720"/>
        <w:rPr>
          <w:rFonts w:cs="Times New Roman"/>
          <w:sz w:val="22"/>
        </w:rPr>
      </w:pPr>
      <w:r>
        <w:rPr>
          <w:rFonts w:cs="Times New Roman"/>
          <w:sz w:val="22"/>
        </w:rPr>
        <w:lastRenderedPageBreak/>
        <w:t>The chapter is structured as follows. In section 2.1 I introduce environmental geopolitics and geopolitical ecology as the theoretical foundations of my approach. I critically review the literature in the two fields, highlighting the analytical strengths of these approaches; as well as identifying gaps or limitations in the literature. I discuss how these approaches can work in dialogue with each other, whilst also reflecting upon the combined human-centrism of environmental geopolitics and geopolitical ecology. In section 2.2 I indicate ways of incorporating nonhumans into theoretical analyses of the geopolitics of environmental change. I highlight how literatures in both political ecology and critical geopolitics have already engaged with the political potentials of material-things, and animal</w:t>
      </w:r>
      <w:r w:rsidR="0073058B">
        <w:rPr>
          <w:rFonts w:cs="Times New Roman"/>
          <w:sz w:val="22"/>
        </w:rPr>
        <w:t>s</w:t>
      </w:r>
      <w:r>
        <w:rPr>
          <w:rFonts w:cs="Times New Roman"/>
          <w:sz w:val="22"/>
        </w:rPr>
        <w:t>. These more-than-human analyses highlight the (geo)polit</w:t>
      </w:r>
      <w:r w:rsidR="009A6558">
        <w:rPr>
          <w:rFonts w:cs="Times New Roman"/>
          <w:sz w:val="22"/>
        </w:rPr>
        <w:t>ical significance of nonhumans, and b</w:t>
      </w:r>
      <w:r>
        <w:rPr>
          <w:rFonts w:cs="Times New Roman"/>
          <w:sz w:val="22"/>
        </w:rPr>
        <w:t xml:space="preserve">eing attuned to these theories paves the way for more-than-human geopolitical ecology. In section 2.3 I outline my theoretical contribution and reiterate my approach for more-than-human geopolitical ecology. </w:t>
      </w:r>
    </w:p>
    <w:p w14:paraId="71C5D2F6" w14:textId="77777777" w:rsidR="001139CD" w:rsidRPr="001533CA" w:rsidRDefault="001139CD" w:rsidP="001139CD">
      <w:pPr>
        <w:pStyle w:val="Heading2"/>
      </w:pPr>
    </w:p>
    <w:p w14:paraId="4D3B198F" w14:textId="77777777" w:rsidR="001139CD" w:rsidRPr="001533CA" w:rsidRDefault="001139CD" w:rsidP="001139CD">
      <w:pPr>
        <w:pStyle w:val="Heading2"/>
      </w:pPr>
      <w:bookmarkStart w:id="17" w:name="_Toc453224190"/>
      <w:r w:rsidRPr="001533CA">
        <w:t>2.1 Theoretical foundations: Environmental Geopolitics and Geopolitical Ecology</w:t>
      </w:r>
      <w:bookmarkEnd w:id="17"/>
      <w:r w:rsidRPr="001533CA">
        <w:t xml:space="preserve"> </w:t>
      </w:r>
    </w:p>
    <w:p w14:paraId="41DF8F2B" w14:textId="5C5D28A5" w:rsidR="00F17497" w:rsidRDefault="001139CD" w:rsidP="001139CD">
      <w:pPr>
        <w:widowControl w:val="0"/>
        <w:autoSpaceDE w:val="0"/>
        <w:autoSpaceDN w:val="0"/>
        <w:adjustRightInd w:val="0"/>
        <w:rPr>
          <w:rFonts w:cs="Times New Roman"/>
          <w:sz w:val="22"/>
        </w:rPr>
      </w:pPr>
      <w:r>
        <w:rPr>
          <w:rFonts w:cs="Times New Roman"/>
          <w:sz w:val="22"/>
        </w:rPr>
        <w:t>Recently, there have been calls for renewed schol</w:t>
      </w:r>
      <w:r w:rsidR="0073058B">
        <w:rPr>
          <w:rFonts w:cs="Times New Roman"/>
          <w:sz w:val="22"/>
        </w:rPr>
        <w:t>arly attention directed to the “</w:t>
      </w:r>
      <w:r>
        <w:rPr>
          <w:rFonts w:cs="Times New Roman"/>
          <w:sz w:val="22"/>
        </w:rPr>
        <w:t xml:space="preserve">interface between political </w:t>
      </w:r>
      <w:r w:rsidR="0073058B">
        <w:rPr>
          <w:rFonts w:cs="Times New Roman"/>
          <w:sz w:val="22"/>
        </w:rPr>
        <w:t>geography and political ecology”</w:t>
      </w:r>
      <w:r>
        <w:rPr>
          <w:rFonts w:cs="Times New Roman"/>
          <w:sz w:val="22"/>
        </w:rPr>
        <w:t xml:space="preserve"> </w:t>
      </w:r>
      <w:r>
        <w:rPr>
          <w:rFonts w:cs="Times New Roman"/>
          <w:sz w:val="22"/>
        </w:rPr>
        <w:fldChar w:fldCharType="begin" w:fldLock="1"/>
      </w:r>
      <w:r w:rsidR="00EC7F7E">
        <w:rPr>
          <w:rFonts w:cs="Times New Roman"/>
          <w:sz w:val="22"/>
        </w:rPr>
        <w:instrText>ADDIN CSL_CITATION {"citationItems":[{"id":"ITEM-1","itemData":{"DOI":"10.1016/J.POLGEO.2016.11.008","ISSN":"0962-6298","author":[{"dropping-particle":"","family":"Benjaminsen","given":"Tor A.","non-dropping-particle":"","parse-names":false,"suffix":""},{"dropping-particle":"","family":"Buhaug","given":"Halvard","non-dropping-particle":"","parse-names":false,"suffix":""},{"dropping-particle":"","family":"McConnell","given":"Fiona","non-dropping-particle":"","parse-names":false,"suffix":""},{"dropping-particle":"","family":"Sharp","given":"Joanne","non-dropping-particle":"","parse-names":false,"suffix":""},{"dropping-particle":"","family":"Steinberg","given":"Philip E.","non-dropping-particle":"","parse-names":false,"suffix":""}],"container-title":"Political Geography","id":"ITEM-1","issued":{"date-parts":[["2017","1","1"]]},"page":"A1-A2","publisher":"Pergamon","title":"Political Geography and the environment","type":"article-journal","volume":"56"},"uris":["http://www.mendeley.com/documents/?uuid=0a5867dd-3bae-3db1-9617-700cd364a6ae"]}],"mendeley":{"formattedCitation":"(Benjaminsen &lt;i&gt;et al.&lt;/i&gt;, 2017)","manualFormatting":"(Benjaminsen et al., 2017: A1-A2); ","plainTextFormattedCitation":"(Benjaminsen et al., 2017)","previouslyFormattedCitation":"(Benjaminsen &lt;i&gt;et al.&lt;/i&gt;, 2017)"},"properties":{"noteIndex":0},"schema":"https://github.com/citation-style-language/schema/raw/master/csl-citation.json"}</w:instrText>
      </w:r>
      <w:r>
        <w:rPr>
          <w:rFonts w:cs="Times New Roman"/>
          <w:sz w:val="22"/>
        </w:rPr>
        <w:fldChar w:fldCharType="separate"/>
      </w:r>
      <w:r>
        <w:rPr>
          <w:rFonts w:cs="Times New Roman"/>
          <w:noProof/>
          <w:sz w:val="22"/>
        </w:rPr>
        <w:t xml:space="preserve">(Benjaminsen </w:t>
      </w:r>
      <w:r w:rsidRPr="008668D3">
        <w:rPr>
          <w:rFonts w:cs="Times New Roman"/>
          <w:i/>
          <w:noProof/>
          <w:sz w:val="22"/>
        </w:rPr>
        <w:t>et al.</w:t>
      </w:r>
      <w:r>
        <w:rPr>
          <w:rFonts w:cs="Times New Roman"/>
          <w:noProof/>
          <w:sz w:val="22"/>
        </w:rPr>
        <w:t xml:space="preserve">, 2017: A1-A2); </w:t>
      </w:r>
      <w:r>
        <w:rPr>
          <w:rFonts w:cs="Times New Roman"/>
          <w:sz w:val="22"/>
        </w:rPr>
        <w:fldChar w:fldCharType="end"/>
      </w:r>
      <w:r>
        <w:rPr>
          <w:rFonts w:cs="Times New Roman"/>
          <w:sz w:val="22"/>
        </w:rPr>
        <w:t>with encouragement for academics to empirically and theoretically explore the points of convergence and divergence between these sub-fields. In truth, scholarship from within the critical social sciences has long been exploring these intersections. Over a decade ago, Paul Robbins called for direct engagement between theories in political geography and the burgeoning field of p</w:t>
      </w:r>
      <w:r w:rsidR="00F17497">
        <w:rPr>
          <w:rFonts w:cs="Times New Roman"/>
          <w:sz w:val="22"/>
        </w:rPr>
        <w:t>olitical ecology, stating that “</w:t>
      </w:r>
      <w:r>
        <w:rPr>
          <w:rFonts w:cs="Times New Roman"/>
          <w:sz w:val="22"/>
        </w:rPr>
        <w:t>the serious engagement of each field with the other is a prerequisite to future progress in understan</w:t>
      </w:r>
      <w:r w:rsidR="00F17497">
        <w:rPr>
          <w:rFonts w:cs="Times New Roman"/>
          <w:sz w:val="22"/>
        </w:rPr>
        <w:t>ding socio-environmental change”</w:t>
      </w:r>
      <w:r>
        <w:rPr>
          <w:rFonts w:cs="Times New Roman"/>
          <w:sz w:val="22"/>
        </w:rPr>
        <w:t xml:space="preserve"> </w:t>
      </w:r>
      <w:r>
        <w:rPr>
          <w:rFonts w:cs="Times New Roman"/>
          <w:sz w:val="22"/>
        </w:rPr>
        <w:fldChar w:fldCharType="begin" w:fldLock="1"/>
      </w:r>
      <w:r>
        <w:rPr>
          <w:rFonts w:cs="Times New Roman"/>
          <w:sz w:val="22"/>
        </w:rPr>
        <w:instrText>ADDIN CSL_CITATION {"citationItems":[{"id":"ITEM-1","itemData":{"DOI":"10.4135/9781848607880.n12","ISBN":"9781848607880","author":[{"dropping-particle":"","family":"Robbins","given":"Paul","non-dropping-particle":"","parse-names":false,"suffix":""}],"container-title":"The SAGE Handbook of Political Geography","id":"ITEM-1","issued":{"date-parts":[["2008"]]},"page":"205-218","title":"The state in political ecology: A postcard to political geography from the field","type":"article-journal"},"uris":["http://www.mendeley.com/documents/?uuid=cef5d590-4941-4993-9908-896234988e4f"]}],"mendeley":{"formattedCitation":"(Robbins, 2008)","manualFormatting":"(Robbins, 2008: 206)","plainTextFormattedCitation":"(Robbins, 2008)","previouslyFormattedCitation":"(Robbins, 2008)"},"properties":{"noteIndex":0},"schema":"https://github.com/citation-style-language/schema/raw/master/csl-citation.json"}</w:instrText>
      </w:r>
      <w:r>
        <w:rPr>
          <w:rFonts w:cs="Times New Roman"/>
          <w:sz w:val="22"/>
        </w:rPr>
        <w:fldChar w:fldCharType="separate"/>
      </w:r>
      <w:r w:rsidRPr="00CD6F6B">
        <w:rPr>
          <w:rFonts w:cs="Times New Roman"/>
          <w:noProof/>
          <w:sz w:val="22"/>
        </w:rPr>
        <w:t>(Robbins, 2008</w:t>
      </w:r>
      <w:r>
        <w:rPr>
          <w:rFonts w:cs="Times New Roman"/>
          <w:noProof/>
          <w:sz w:val="22"/>
        </w:rPr>
        <w:t>: 206</w:t>
      </w:r>
      <w:r w:rsidRPr="00CD6F6B">
        <w:rPr>
          <w:rFonts w:cs="Times New Roman"/>
          <w:noProof/>
          <w:sz w:val="22"/>
        </w:rPr>
        <w:t>)</w:t>
      </w:r>
      <w:r>
        <w:rPr>
          <w:rFonts w:cs="Times New Roman"/>
          <w:sz w:val="22"/>
        </w:rPr>
        <w:fldChar w:fldCharType="end"/>
      </w:r>
      <w:r>
        <w:rPr>
          <w:rFonts w:cs="Times New Roman"/>
          <w:sz w:val="22"/>
        </w:rPr>
        <w:t xml:space="preserve">. Indeed even prior </w:t>
      </w:r>
      <w:r w:rsidR="00F17497">
        <w:rPr>
          <w:rFonts w:cs="Times New Roman"/>
          <w:sz w:val="22"/>
        </w:rPr>
        <w:t>to Robbins’ call, pre-eminent scholars</w:t>
      </w:r>
      <w:r>
        <w:rPr>
          <w:rFonts w:cs="Times New Roman"/>
          <w:sz w:val="22"/>
        </w:rPr>
        <w:t xml:space="preserve"> were already examining the ‘political ecology of war’</w:t>
      </w:r>
      <w:r w:rsidR="00F17497">
        <w:rPr>
          <w:rFonts w:cs="Times New Roman"/>
          <w:sz w:val="22"/>
        </w:rPr>
        <w:t xml:space="preserve"> </w:t>
      </w:r>
      <w:r w:rsidR="00F17497">
        <w:rPr>
          <w:rFonts w:cs="Times New Roman"/>
          <w:sz w:val="22"/>
        </w:rPr>
        <w:fldChar w:fldCharType="begin" w:fldLock="1"/>
      </w:r>
      <w:r w:rsidR="00F17497">
        <w:rPr>
          <w:rFonts w:cs="Times New Roman"/>
          <w:sz w:val="22"/>
        </w:rPr>
        <w:instrText>ADDIN CSL_CITATION {"citationItems":[{"id":"ITEM-1","itemData":{"ISSN":"12132489","abstract":"Galvanic plating of polymeric structural parts is widely used in many industrial branches, e.g. in automotive. Minor errors in their manufacturing process are responsible for presence of surface defects. These defects, especially in the case of visual and decorative parts, are unacceptable. This paper demonstrates the usage of optical and electron microscopy to reveal and solve common problems in industrial production. Different types of galvanic plating defects on injection molded parts made of ABS, PC/ABS and PA manifest themselves by different ways.","author":[{"dropping-particle":"","family":"Billon","given":"Philippe","non-dropping-particle":"Le","parse-names":false,"suffix":""}],"container-title":"Political Geography","id":"ITEM-1","issue":"5","issued":{"date-parts":[["2001"]]},"page":"561-584","title":"The Political Ecology of War: Natural Resources and Armed Conflicts","type":"article-journal","volume":"20"},"uris":["http://www.mendeley.com/documents/?uuid=3235ac78-aa7e-44cd-84f8-f0a6e464afe4"]}],"mendeley":{"formattedCitation":"(Le Billon, 2001)","plainTextFormattedCitation":"(Le Billon, 2001)","previouslyFormattedCitation":"(Le Billon, 2001)"},"properties":{"noteIndex":0},"schema":"https://github.com/citation-style-language/schema/raw/master/csl-citation.json"}</w:instrText>
      </w:r>
      <w:r w:rsidR="00F17497">
        <w:rPr>
          <w:rFonts w:cs="Times New Roman"/>
          <w:sz w:val="22"/>
        </w:rPr>
        <w:fldChar w:fldCharType="separate"/>
      </w:r>
      <w:r w:rsidR="00F17497" w:rsidRPr="00F17497">
        <w:rPr>
          <w:rFonts w:cs="Times New Roman"/>
          <w:noProof/>
          <w:sz w:val="22"/>
        </w:rPr>
        <w:t>(Le Billon, 2001)</w:t>
      </w:r>
      <w:r w:rsidR="00F17497">
        <w:rPr>
          <w:rFonts w:cs="Times New Roman"/>
          <w:sz w:val="22"/>
        </w:rPr>
        <w:fldChar w:fldCharType="end"/>
      </w:r>
      <w:r>
        <w:rPr>
          <w:rFonts w:cs="Times New Roman"/>
          <w:sz w:val="22"/>
        </w:rPr>
        <w:t>, ‘geopolitics of nature’ (</w:t>
      </w:r>
      <w:r w:rsidRPr="00C605EF">
        <w:rPr>
          <w:rFonts w:cs="Times New Roman"/>
          <w:sz w:val="22"/>
        </w:rPr>
        <w:t>Castree, 2003</w:t>
      </w:r>
      <w:r>
        <w:rPr>
          <w:rFonts w:cs="Times New Roman"/>
          <w:sz w:val="22"/>
        </w:rPr>
        <w:t>), ‘geopolitics and ecology’</w:t>
      </w:r>
      <w:r w:rsidR="00F17497">
        <w:rPr>
          <w:rFonts w:cs="Times New Roman"/>
          <w:sz w:val="22"/>
        </w:rPr>
        <w:t xml:space="preserve"> </w:t>
      </w:r>
      <w:r w:rsidR="00F17497">
        <w:rPr>
          <w:rFonts w:cs="Times New Roman"/>
          <w:sz w:val="22"/>
        </w:rPr>
        <w:fldChar w:fldCharType="begin" w:fldLock="1"/>
      </w:r>
      <w:r w:rsidR="001A7F48">
        <w:rPr>
          <w:rFonts w:cs="Times New Roman"/>
          <w:sz w:val="22"/>
        </w:rPr>
        <w:instrText>ADDIN CSL_CITATION {"citationItems":[{"id":"ITEM-1","itemData":{"DOI":"10.1057/9780230596634_6","author":[{"dropping-particle":"","family":"Dalby","given":"Simon","non-dropping-particle":"","parse-names":false,"suffix":""}],"container-title":"Environment and Security","id":"ITEM-1","issued":{"date-parts":[["2000"]]},"page":"84-100","publisher":"Palgrave Macmillan UK","publisher-place":"London","title":"Geopolitics and Ecology: Rethinking the Contexts of Environmental Security","type":"chapter"},"uris":["http://www.mendeley.com/documents/?uuid=6ff705c3-bffe-3cab-931f-24d4aed68b39"]}],"mendeley":{"formattedCitation":"(Dalby, 2000)","plainTextFormattedCitation":"(Dalby, 2000)","previouslyFormattedCitation":"(Dalby, 2000)"},"properties":{"noteIndex":0},"schema":"https://github.com/citation-style-language/schema/raw/master/csl-citation.json"}</w:instrText>
      </w:r>
      <w:r w:rsidR="00F17497">
        <w:rPr>
          <w:rFonts w:cs="Times New Roman"/>
          <w:sz w:val="22"/>
        </w:rPr>
        <w:fldChar w:fldCharType="separate"/>
      </w:r>
      <w:r w:rsidR="00F17497" w:rsidRPr="00F17497">
        <w:rPr>
          <w:rFonts w:cs="Times New Roman"/>
          <w:noProof/>
          <w:sz w:val="22"/>
        </w:rPr>
        <w:t>(Dalby, 2000)</w:t>
      </w:r>
      <w:r w:rsidR="00F17497">
        <w:rPr>
          <w:rFonts w:cs="Times New Roman"/>
          <w:sz w:val="22"/>
        </w:rPr>
        <w:fldChar w:fldCharType="end"/>
      </w:r>
      <w:r>
        <w:rPr>
          <w:rFonts w:cs="Times New Roman"/>
          <w:sz w:val="22"/>
        </w:rPr>
        <w:t xml:space="preserve"> and the ‘geopolitical economy of resource wars’ </w:t>
      </w:r>
      <w:r w:rsidR="00F17497">
        <w:rPr>
          <w:rFonts w:cs="Times New Roman"/>
          <w:sz w:val="22"/>
        </w:rPr>
        <w:fldChar w:fldCharType="begin" w:fldLock="1"/>
      </w:r>
      <w:r w:rsidR="00F17497">
        <w:rPr>
          <w:rFonts w:cs="Times New Roman"/>
          <w:sz w:val="22"/>
        </w:rPr>
        <w:instrText>ADDIN CSL_CITATION {"citationItems":[{"id":"ITEM-1","itemData":{"DOI":"10.1080/14650040412331307812","ISBN":"1465004041","ISSN":"14650045","abstract":"Geopolitical concerns about so-called 'resource wars' have mostly focused on international resource competition, and the vulnerability of resource supply. This article presents an alternative view emphasizing the political and economic vulnerabilities of resource-dependent states in relation to resource-linked armed conflicts. It then outlines how the geopolitics of resource competition, the history, identity formation, political economy, and characteristics of resource exploitation, as well as the financial opportunities afforded in part by businesses to belligerents can help to understand the geographies of 'resources wars'. Finally, the study suggests that curtailing resource access by belligerents can assist in the termination of conflicts, but that long-term solutions pass through fairer and more accountable political economy of internationally traded resources at both a domestic and global level.","author":[{"dropping-particle":"","family":"Billon","given":"Philippe","non-dropping-particle":"Le","parse-names":false,"suffix":""}],"container-title":"Geopolitics","id":"ITEM-1","issue":"1","issued":{"date-parts":[["2004"]]},"page":"1-28","title":"The geopolitical economy of 'resource wars'","type":"article-journal","volume":"9"},"uris":["http://www.mendeley.com/documents/?uuid=a888cf0a-396c-4543-8b71-622fb09fdbb9"]}],"mendeley":{"formattedCitation":"(Le Billon, 2004)","plainTextFormattedCitation":"(Le Billon, 2004)","previouslyFormattedCitation":"(Le Billon, 2004)"},"properties":{"noteIndex":0},"schema":"https://github.com/citation-style-language/schema/raw/master/csl-citation.json"}</w:instrText>
      </w:r>
      <w:r w:rsidR="00F17497">
        <w:rPr>
          <w:rFonts w:cs="Times New Roman"/>
          <w:sz w:val="22"/>
        </w:rPr>
        <w:fldChar w:fldCharType="separate"/>
      </w:r>
      <w:r w:rsidR="00F17497" w:rsidRPr="00F17497">
        <w:rPr>
          <w:rFonts w:cs="Times New Roman"/>
          <w:noProof/>
          <w:sz w:val="22"/>
        </w:rPr>
        <w:t>(Le Billon, 2004)</w:t>
      </w:r>
      <w:r w:rsidR="00F17497">
        <w:rPr>
          <w:rFonts w:cs="Times New Roman"/>
          <w:sz w:val="22"/>
        </w:rPr>
        <w:fldChar w:fldCharType="end"/>
      </w:r>
      <w:r w:rsidR="00F17497">
        <w:rPr>
          <w:rFonts w:cs="Times New Roman"/>
          <w:sz w:val="22"/>
        </w:rPr>
        <w:t>.</w:t>
      </w:r>
      <w:r>
        <w:rPr>
          <w:rFonts w:cs="Times New Roman"/>
          <w:sz w:val="22"/>
        </w:rPr>
        <w:t xml:space="preserve"> As such, it is important to</w:t>
      </w:r>
      <w:r w:rsidR="00F17497">
        <w:rPr>
          <w:rFonts w:cs="Times New Roman"/>
          <w:sz w:val="22"/>
        </w:rPr>
        <w:t xml:space="preserve"> acknowledge</w:t>
      </w:r>
      <w:r>
        <w:rPr>
          <w:rFonts w:cs="Times New Roman"/>
          <w:sz w:val="22"/>
        </w:rPr>
        <w:t xml:space="preserve"> </w:t>
      </w:r>
      <w:r w:rsidR="00F17497">
        <w:rPr>
          <w:rFonts w:cs="Times New Roman"/>
          <w:sz w:val="22"/>
        </w:rPr>
        <w:t>that the burgeoning enquiries into the intersections between political ecology and political geography, are built upon extensive theoretical foundations.</w:t>
      </w:r>
    </w:p>
    <w:p w14:paraId="77FC0EF3" w14:textId="330FAE22" w:rsidR="001139CD" w:rsidRDefault="001139CD" w:rsidP="001139CD">
      <w:pPr>
        <w:widowControl w:val="0"/>
        <w:autoSpaceDE w:val="0"/>
        <w:autoSpaceDN w:val="0"/>
        <w:adjustRightInd w:val="0"/>
        <w:rPr>
          <w:rFonts w:cs="Times New Roman"/>
          <w:sz w:val="22"/>
        </w:rPr>
      </w:pPr>
      <w:r>
        <w:rPr>
          <w:rFonts w:cs="Times New Roman"/>
          <w:sz w:val="22"/>
        </w:rPr>
        <w:tab/>
        <w:t>Both environmental geopolitics and geopolitical ecology are developing as theoretical approaches that sit in the disciplinary hinterlands between political ecology and political geography – in particular the sub-field of critical geopolitics. Geopolitic</w:t>
      </w:r>
      <w:r w:rsidR="00F17497">
        <w:rPr>
          <w:rFonts w:cs="Times New Roman"/>
          <w:sz w:val="22"/>
        </w:rPr>
        <w:t>al ecology is positioned as an “</w:t>
      </w:r>
      <w:r>
        <w:rPr>
          <w:rFonts w:cs="Times New Roman"/>
          <w:sz w:val="22"/>
        </w:rPr>
        <w:t>explicit encounter between critical ge</w:t>
      </w:r>
      <w:r w:rsidR="00F17497">
        <w:rPr>
          <w:rFonts w:cs="Times New Roman"/>
          <w:sz w:val="22"/>
        </w:rPr>
        <w:t>opolitics and political ecology”</w:t>
      </w:r>
      <w:r>
        <w:rPr>
          <w:rFonts w:cs="Times New Roman"/>
          <w:sz w:val="22"/>
        </w:rPr>
        <w:t xml:space="preserve"> (Bigger &amp; Neimark, 2017: 14). On the other hand, environmental geopolitics is framed first and foremost as a form of critical ge</w:t>
      </w:r>
      <w:r w:rsidR="00F17497">
        <w:rPr>
          <w:rFonts w:cs="Times New Roman"/>
          <w:sz w:val="22"/>
        </w:rPr>
        <w:t>opolitics that “</w:t>
      </w:r>
      <w:r>
        <w:rPr>
          <w:rFonts w:cs="Times New Roman"/>
          <w:sz w:val="22"/>
        </w:rPr>
        <w:t>questions arguments about how environmental features are tie</w:t>
      </w:r>
      <w:r w:rsidR="00F17497">
        <w:rPr>
          <w:rFonts w:cs="Times New Roman"/>
          <w:sz w:val="22"/>
        </w:rPr>
        <w:t>d either to risk or to security”</w:t>
      </w:r>
      <w:r>
        <w:rPr>
          <w:rFonts w:cs="Times New Roman"/>
          <w:sz w:val="22"/>
        </w:rPr>
        <w:t xml:space="preserve"> (O’Lear, 2020: 194). The attention that environmental geopolitics pays to analysing who benefits from these arguments, echoes political ecology’s concern with how power is unequall</w:t>
      </w:r>
      <w:r w:rsidR="00F17497">
        <w:rPr>
          <w:rFonts w:cs="Times New Roman"/>
          <w:sz w:val="22"/>
        </w:rPr>
        <w:t xml:space="preserve">y exercised and distributed </w:t>
      </w:r>
      <w:r w:rsidR="00F17497">
        <w:rPr>
          <w:rFonts w:cs="Times New Roman"/>
          <w:sz w:val="22"/>
        </w:rPr>
        <w:lastRenderedPageBreak/>
        <w:t>in “</w:t>
      </w:r>
      <w:r>
        <w:rPr>
          <w:rFonts w:cs="Times New Roman"/>
          <w:sz w:val="22"/>
        </w:rPr>
        <w:t>struggles over material re</w:t>
      </w:r>
      <w:r w:rsidR="00F17497">
        <w:rPr>
          <w:rFonts w:cs="Times New Roman"/>
          <w:sz w:val="22"/>
        </w:rPr>
        <w:t>sources as well as over meaning”</w:t>
      </w:r>
      <w:r>
        <w:rPr>
          <w:rFonts w:cs="Times New Roman"/>
          <w:sz w:val="22"/>
        </w:rPr>
        <w:t xml:space="preserve"> </w:t>
      </w:r>
      <w:r>
        <w:rPr>
          <w:rFonts w:cs="Times New Roman"/>
          <w:sz w:val="22"/>
        </w:rPr>
        <w:fldChar w:fldCharType="begin" w:fldLock="1"/>
      </w:r>
      <w:r w:rsidR="00EC7F7E">
        <w:rPr>
          <w:rFonts w:cs="Times New Roman"/>
          <w:sz w:val="22"/>
        </w:rPr>
        <w:instrText>ADDIN CSL_CITATION {"citationItems":[{"id":"ITEM-1","itemData":{"DOI":"10.1016/J.POLGEO.2016.11.008","ISSN":"0962-6298","author":[{"dropping-particle":"","family":"Benjaminsen","given":"Tor A.","non-dropping-particle":"","parse-names":false,"suffix":""},{"dropping-particle":"","family":"Buhaug","given":"Halvard","non-dropping-particle":"","parse-names":false,"suffix":""},{"dropping-particle":"","family":"McConnell","given":"Fiona","non-dropping-particle":"","parse-names":false,"suffix":""},{"dropping-particle":"","family":"Sharp","given":"Joanne","non-dropping-particle":"","parse-names":false,"suffix":""},{"dropping-particle":"","family":"Steinberg","given":"Philip E.","non-dropping-particle":"","parse-names":false,"suffix":""}],"container-title":"Political Geography","id":"ITEM-1","issued":{"date-parts":[["2017","1","1"]]},"page":"A1-A2","publisher":"Pergamon","title":"Political Geography and the environment","type":"article-journal","volume":"56"},"uris":["http://www.mendeley.com/documents/?uuid=0a5867dd-3bae-3db1-9617-700cd364a6ae"]}],"mendeley":{"formattedCitation":"(Benjaminsen &lt;i&gt;et al.&lt;/i&gt;, 2017)","manualFormatting":"(Benjaminsen et al., 2017: A1)","plainTextFormattedCitation":"(Benjaminsen et al., 2017)","previouslyFormattedCitation":"(Benjaminsen &lt;i&gt;et al.&lt;/i&gt;, 2017)"},"properties":{"noteIndex":0},"schema":"https://github.com/citation-style-language/schema/raw/master/csl-citation.json"}</w:instrText>
      </w:r>
      <w:r>
        <w:rPr>
          <w:rFonts w:cs="Times New Roman"/>
          <w:sz w:val="22"/>
        </w:rPr>
        <w:fldChar w:fldCharType="separate"/>
      </w:r>
      <w:r w:rsidRPr="001F216B">
        <w:rPr>
          <w:rFonts w:cs="Times New Roman"/>
          <w:noProof/>
          <w:sz w:val="22"/>
        </w:rPr>
        <w:t xml:space="preserve">(Benjaminsen </w:t>
      </w:r>
      <w:r w:rsidRPr="001F216B">
        <w:rPr>
          <w:rFonts w:cs="Times New Roman"/>
          <w:i/>
          <w:noProof/>
          <w:sz w:val="22"/>
        </w:rPr>
        <w:t>et al.</w:t>
      </w:r>
      <w:r w:rsidRPr="001F216B">
        <w:rPr>
          <w:rFonts w:cs="Times New Roman"/>
          <w:noProof/>
          <w:sz w:val="22"/>
        </w:rPr>
        <w:t>, 2017</w:t>
      </w:r>
      <w:r>
        <w:rPr>
          <w:rFonts w:cs="Times New Roman"/>
          <w:noProof/>
          <w:sz w:val="22"/>
        </w:rPr>
        <w:t>: A1</w:t>
      </w:r>
      <w:r w:rsidRPr="001F216B">
        <w:rPr>
          <w:rFonts w:cs="Times New Roman"/>
          <w:noProof/>
          <w:sz w:val="22"/>
        </w:rPr>
        <w:t>)</w:t>
      </w:r>
      <w:r>
        <w:rPr>
          <w:rFonts w:cs="Times New Roman"/>
          <w:sz w:val="22"/>
        </w:rPr>
        <w:fldChar w:fldCharType="end"/>
      </w:r>
      <w:r>
        <w:rPr>
          <w:rFonts w:cs="Times New Roman"/>
          <w:sz w:val="22"/>
        </w:rPr>
        <w:t>. As such, there are obvious overlaps between the two sub-disciplines and the frameworks they outline for understanding the geopolitics of environmental change. Indeed, some scholars have mobilised geopolitical ecology in one instance (</w:t>
      </w:r>
      <w:r w:rsidRPr="006320F7">
        <w:rPr>
          <w:rFonts w:cs="Times New Roman"/>
          <w:noProof/>
          <w:sz w:val="22"/>
        </w:rPr>
        <w:t>Mostafanezhad &amp; Evrard, 2018</w:t>
      </w:r>
      <w:r>
        <w:rPr>
          <w:rFonts w:cs="Times New Roman"/>
          <w:noProof/>
          <w:sz w:val="22"/>
        </w:rPr>
        <w:t>)</w:t>
      </w:r>
      <w:r>
        <w:rPr>
          <w:rFonts w:cs="Times New Roman"/>
          <w:sz w:val="22"/>
        </w:rPr>
        <w:t xml:space="preserve"> and environmental geopolitics in another </w:t>
      </w:r>
      <w:r>
        <w:rPr>
          <w:rFonts w:cs="Times New Roman"/>
          <w:sz w:val="22"/>
        </w:rPr>
        <w:fldChar w:fldCharType="begin" w:fldLock="1"/>
      </w:r>
      <w:r w:rsidR="00EC7F7E">
        <w:rPr>
          <w:rFonts w:cs="Times New Roman"/>
          <w:sz w:val="22"/>
        </w:rPr>
        <w:instrText>ADDIN CSL_CITATION {"citationItems":[{"id":"ITEM-1","itemData":{"DOI":"10.4337/9781788971249.00017","author":[{"dropping-particle":"","family":"Mostafanezhad","given":"Mary","non-dropping-particle":"","parse-names":false,"suffix":""},{"dropping-particle":"","family":"Evrard","given":"Olivier","non-dropping-particle":"","parse-names":false,"suffix":""}],"container-title":"A Research Agenda for Environmental Geopolitics","id":"ITEM-1","issue":"April 2018","issued":{"date-parts":[["2020"]]},"page":"121-135","title":"Environmental geopolitics of rumor: the sociality of uncertainty during northern Thailand’s smoky season","type":"article-journal"},"uris":["http://www.mendeley.com/documents/?uuid=644d1165-f99b-478b-b639-04d7a9e0b75d"]}],"mendeley":{"formattedCitation":"(Mostafanezhad and Evrard, 2020)","plainTextFormattedCitation":"(Mostafanezhad and Evrard, 2020)","previouslyFormattedCitation":"(Mostafanezhad and Evrard, 2020)"},"properties":{"noteIndex":0},"schema":"https://github.com/citation-style-language/schema/raw/master/csl-citation.json"}</w:instrText>
      </w:r>
      <w:r>
        <w:rPr>
          <w:rFonts w:cs="Times New Roman"/>
          <w:sz w:val="22"/>
        </w:rPr>
        <w:fldChar w:fldCharType="separate"/>
      </w:r>
      <w:r w:rsidR="00042533" w:rsidRPr="00042533">
        <w:rPr>
          <w:rFonts w:cs="Times New Roman"/>
          <w:noProof/>
          <w:sz w:val="22"/>
        </w:rPr>
        <w:t>(Mostafanezhad and Evrard, 2020)</w:t>
      </w:r>
      <w:r>
        <w:rPr>
          <w:rFonts w:cs="Times New Roman"/>
          <w:sz w:val="22"/>
        </w:rPr>
        <w:fldChar w:fldCharType="end"/>
      </w:r>
      <w:r>
        <w:rPr>
          <w:rFonts w:cs="Times New Roman"/>
          <w:sz w:val="22"/>
        </w:rPr>
        <w:t xml:space="preserve"> to speak to the nuances of their research contexts. However due to the slightly different emphasis in disciplinary orientation, proponents of the two theoretical frameworks deploy and develop the parameters of the sub-disciplines in varying ways. This presents an opportunity to bring the complementary sub-disciplines into dialogue with each other. Indeed, </w:t>
      </w:r>
      <w:r>
        <w:rPr>
          <w:rFonts w:cs="Times New Roman"/>
          <w:noProof/>
          <w:sz w:val="22"/>
        </w:rPr>
        <w:t xml:space="preserve">Mostafanezhad &amp; </w:t>
      </w:r>
      <w:r w:rsidRPr="006320F7">
        <w:rPr>
          <w:rFonts w:cs="Times New Roman"/>
          <w:noProof/>
          <w:sz w:val="22"/>
        </w:rPr>
        <w:t>Evrard</w:t>
      </w:r>
      <w:r w:rsidR="00F17497">
        <w:rPr>
          <w:rFonts w:cs="Times New Roman"/>
          <w:noProof/>
          <w:sz w:val="22"/>
        </w:rPr>
        <w:t xml:space="preserve"> suggest that “</w:t>
      </w:r>
      <w:r>
        <w:rPr>
          <w:rFonts w:cs="Times New Roman"/>
          <w:noProof/>
          <w:sz w:val="22"/>
        </w:rPr>
        <w:t>integrating geopolitical ecologies with environmental geopolitics is a useful theoretical context from which to examine the discursive and material framin</w:t>
      </w:r>
      <w:r w:rsidR="00F17497">
        <w:rPr>
          <w:rFonts w:cs="Times New Roman"/>
          <w:noProof/>
          <w:sz w:val="22"/>
        </w:rPr>
        <w:t>g of socio-environmental change”</w:t>
      </w:r>
      <w:r>
        <w:rPr>
          <w:rFonts w:cs="Times New Roman"/>
          <w:noProof/>
          <w:sz w:val="22"/>
        </w:rPr>
        <w:t xml:space="preserve"> </w:t>
      </w:r>
      <w:r>
        <w:rPr>
          <w:rFonts w:cs="Times New Roman"/>
          <w:noProof/>
          <w:sz w:val="22"/>
        </w:rPr>
        <w:fldChar w:fldCharType="begin" w:fldLock="1"/>
      </w:r>
      <w:r w:rsidR="00EC7F7E">
        <w:rPr>
          <w:rFonts w:cs="Times New Roman"/>
          <w:noProof/>
          <w:sz w:val="22"/>
        </w:rPr>
        <w:instrText>ADDIN CSL_CITATION {"citationItems":[{"id":"ITEM-1","itemData":{"DOI":"10.4337/9781788971249.00017","author":[{"dropping-particle":"","family":"Mostafanezhad","given":"Mary","non-dropping-particle":"","parse-names":false,"suffix":""},{"dropping-particle":"","family":"Evrard","given":"Olivier","non-dropping-particle":"","parse-names":false,"suffix":""}],"container-title":"A Research Agenda for Environmental Geopolitics","id":"ITEM-1","issue":"April 2018","issued":{"date-parts":[["2020"]]},"page":"121-135","title":"Environmental geopolitics of rumor: the sociality of uncertainty during northern Thailand’s smoky season","type":"article-journal"},"uris":["http://www.mendeley.com/documents/?uuid=644d1165-f99b-478b-b639-04d7a9e0b75d"]}],"mendeley":{"formattedCitation":"(Mostafanezhad and Evrard, 2020)","manualFormatting":"(Mostafanezhad and Evrard, 2020:123)","plainTextFormattedCitation":"(Mostafanezhad and Evrard, 2020)","previouslyFormattedCitation":"(Mostafanezhad and Evrard, 2020)"},"properties":{"noteIndex":0},"schema":"https://github.com/citation-style-language/schema/raw/master/csl-citation.json"}</w:instrText>
      </w:r>
      <w:r>
        <w:rPr>
          <w:rFonts w:cs="Times New Roman"/>
          <w:noProof/>
          <w:sz w:val="22"/>
        </w:rPr>
        <w:fldChar w:fldCharType="separate"/>
      </w:r>
      <w:r w:rsidRPr="00CD6F6B">
        <w:rPr>
          <w:rFonts w:cs="Times New Roman"/>
          <w:noProof/>
          <w:sz w:val="22"/>
        </w:rPr>
        <w:t>(Mostafanezhad and Evrard, 2020</w:t>
      </w:r>
      <w:r>
        <w:rPr>
          <w:rFonts w:cs="Times New Roman"/>
          <w:noProof/>
          <w:sz w:val="22"/>
        </w:rPr>
        <w:t>:123</w:t>
      </w:r>
      <w:r w:rsidRPr="00CD6F6B">
        <w:rPr>
          <w:rFonts w:cs="Times New Roman"/>
          <w:noProof/>
          <w:sz w:val="22"/>
        </w:rPr>
        <w:t>)</w:t>
      </w:r>
      <w:r>
        <w:rPr>
          <w:rFonts w:cs="Times New Roman"/>
          <w:noProof/>
          <w:sz w:val="22"/>
        </w:rPr>
        <w:fldChar w:fldCharType="end"/>
      </w:r>
      <w:r>
        <w:rPr>
          <w:rFonts w:cs="Times New Roman"/>
          <w:noProof/>
          <w:sz w:val="22"/>
        </w:rPr>
        <w:t xml:space="preserve">. To this extent, I incorporate aspects of each sub-discipline into my approach for more-than-human geopolitical ecology. </w:t>
      </w:r>
      <w:r>
        <w:rPr>
          <w:rFonts w:cs="Times New Roman"/>
          <w:sz w:val="22"/>
        </w:rPr>
        <w:t xml:space="preserve">I first examine the literature in environmental geopolitics and then geopolitical ecology. </w:t>
      </w:r>
      <w:r w:rsidR="00F17497">
        <w:rPr>
          <w:rFonts w:cs="Times New Roman"/>
          <w:sz w:val="22"/>
        </w:rPr>
        <w:t>I the</w:t>
      </w:r>
      <w:r w:rsidR="0073058B">
        <w:rPr>
          <w:rFonts w:cs="Times New Roman"/>
          <w:sz w:val="22"/>
        </w:rPr>
        <w:t>n explain what elements I apply</w:t>
      </w:r>
      <w:r w:rsidR="00F17497">
        <w:rPr>
          <w:rFonts w:cs="Times New Roman"/>
          <w:sz w:val="22"/>
        </w:rPr>
        <w:t xml:space="preserve"> </w:t>
      </w:r>
      <w:r>
        <w:rPr>
          <w:rFonts w:cs="Times New Roman"/>
          <w:sz w:val="22"/>
        </w:rPr>
        <w:t>from each approach, before acknowledging that a combination of these theoretical foundations can only take me so far in theorising the more-than-human dimensions of the geopo</w:t>
      </w:r>
      <w:r w:rsidR="00F17497">
        <w:rPr>
          <w:rFonts w:cs="Times New Roman"/>
          <w:sz w:val="22"/>
        </w:rPr>
        <w:t xml:space="preserve">litics of environmental change and environmental policymaking. </w:t>
      </w:r>
    </w:p>
    <w:p w14:paraId="1BD67BB0" w14:textId="77777777" w:rsidR="001139CD" w:rsidRPr="006F2AA5" w:rsidRDefault="001139CD" w:rsidP="001139CD">
      <w:pPr>
        <w:widowControl w:val="0"/>
        <w:autoSpaceDE w:val="0"/>
        <w:autoSpaceDN w:val="0"/>
        <w:adjustRightInd w:val="0"/>
        <w:rPr>
          <w:rFonts w:cs="Times New Roman"/>
          <w:sz w:val="22"/>
          <w:u w:val="single"/>
        </w:rPr>
      </w:pPr>
    </w:p>
    <w:p w14:paraId="0E53C8B6" w14:textId="77777777" w:rsidR="001139CD" w:rsidRDefault="001139CD" w:rsidP="001139CD">
      <w:pPr>
        <w:pStyle w:val="Heading3"/>
      </w:pPr>
      <w:bookmarkStart w:id="18" w:name="_Toc453224191"/>
      <w:r w:rsidRPr="006F2AA5">
        <w:t>2.1.1 Environmental geopolitics</w:t>
      </w:r>
      <w:bookmarkEnd w:id="18"/>
      <w:r>
        <w:t xml:space="preserve"> </w:t>
      </w:r>
    </w:p>
    <w:p w14:paraId="3F47A351" w14:textId="2198FB96" w:rsidR="001139CD" w:rsidRDefault="001139CD" w:rsidP="001139CD">
      <w:pPr>
        <w:widowControl w:val="0"/>
        <w:autoSpaceDE w:val="0"/>
        <w:autoSpaceDN w:val="0"/>
        <w:adjustRightInd w:val="0"/>
        <w:rPr>
          <w:rFonts w:cs="Times New Roman"/>
          <w:sz w:val="22"/>
        </w:rPr>
      </w:pPr>
      <w:r>
        <w:rPr>
          <w:rFonts w:cs="Times New Roman"/>
          <w:sz w:val="22"/>
        </w:rPr>
        <w:t xml:space="preserve">Environmental geopolitics is an emerging field of inquiry that is avowedly rooted in political geography and critical geopolitics in particular </w:t>
      </w:r>
      <w:r>
        <w:rPr>
          <w:rFonts w:cs="Times New Roman"/>
          <w:sz w:val="22"/>
        </w:rPr>
        <w:fldChar w:fldCharType="begin" w:fldLock="1"/>
      </w:r>
      <w:r>
        <w:rPr>
          <w:rFonts w:cs="Times New Roman"/>
          <w:sz w:val="22"/>
        </w:rPr>
        <w:instrText>ADDIN CSL_CITATION {"citationItems":[{"id":"ITEM-1","itemData":{"ISBN":"9781788971249","abstract":"\"Elgar Research Agendas outline the future of research in a given area. Leading scholars are given the space to explore their subject in provocative ways, and map out the potential directions of travel. They are relevant but also visionary. Challenging the mainstream view of the environment as either threatening or valuable, this book considers how geographic knowledge can be applied to offer a more nuanced understanding. Framed within geopolitics and using a range of methodologies, the chapters encapsulate different approaches to demonstrate how selective forms of knowledge, measurement, and spatial focus both embody and stabilise power, shaping how people perceive and respond to changing features of human-environment interactions. With key case studies analysed throughout, this will be a timely read for geography and environmental studies scholars. It will also be beneficial to those studying political science and regional studies, as well as those working in NGOs and think tanks\"-- 1. Environmental geopolitics: an introduction to questions and research approaches / Shannon O'Lear -- Part I: Interpreting and measuring the environment -- 2. Getting the measure of nature: the inconspicuous geopolitics of environmental measurement / Brendon Blue and Marc Tadaki -- 3. Science, territory, and the geopolitics of high seas conservation / Noella J. Gray, Leslie Acton, and Lisa M. Campbell -- 4. The geopolitics of environmental global mapping services: an analysis of global forest watch / Birgit Schneider and Lynda Olman -- Part II: Power, knowledge and human-environment interactions -- 5. Conflicts, commodities and the environmental geopolitics of supply chains / Philippe Le Billon and Lauren Shykora -- 6. Underground geopolitics: science, race, and territory in Peru during the late nineteenth century / Matthew Himley -- 7. Local knowledges and environmental governance: making space for alternative futures in the Arctic circumpolar region and the Mekong River Basin / Coleen A. Fox and Christopher Sneddon -- Part III: Overcoming selective spatial focus -- 8. The geopolitics of transportation in the melting Arctic / Frédéric Lasserre and Pierre-Louis Têtu -- 9. Environmental geopolitics of rumor: the sociality of uncertainty during Northern Thailand's smoky season / Mary Mostafanezhad and Olivier Evrard -- 10. Digging deep: crossing scale in the Georgian mining industry / Jesse Swann-Quinn -- 11. Looking ahead: environmental geopolitics research / Shannon O'Lea…","author":[{"dropping-particle":"","family":"O'Lear","given":"Shannon","non-dropping-particle":"","parse-names":false,"suffix":""}],"id":"ITEM-1","issued":{"date-parts":[["2020"]]},"number-of-pages":"192","title":"A research agenda for environmental geopolitics","type":"book"},"uris":["http://www.mendeley.com/documents/?uuid=0f6c42a6-6a63-31f3-a586-43ab6784e788"]}],"mendeley":{"formattedCitation":"(O’Lear, 2020)","plainTextFormattedCitation":"(O’Lear, 2020)","previouslyFormattedCitation":"(O’Lear, 2020)"},"properties":{"noteIndex":0},"schema":"https://github.com/citation-style-language/schema/raw/master/csl-citation.json"}</w:instrText>
      </w:r>
      <w:r>
        <w:rPr>
          <w:rFonts w:cs="Times New Roman"/>
          <w:sz w:val="22"/>
        </w:rPr>
        <w:fldChar w:fldCharType="separate"/>
      </w:r>
      <w:r w:rsidRPr="0099482B">
        <w:rPr>
          <w:rFonts w:cs="Times New Roman"/>
          <w:noProof/>
          <w:sz w:val="22"/>
        </w:rPr>
        <w:t>(O’Lear, 2020)</w:t>
      </w:r>
      <w:r>
        <w:rPr>
          <w:rFonts w:cs="Times New Roman"/>
          <w:sz w:val="22"/>
        </w:rPr>
        <w:fldChar w:fldCharType="end"/>
      </w:r>
      <w:r>
        <w:rPr>
          <w:rFonts w:cs="Times New Roman"/>
          <w:sz w:val="22"/>
        </w:rPr>
        <w:t>. Building</w:t>
      </w:r>
      <w:r w:rsidR="00F646A0">
        <w:rPr>
          <w:rFonts w:cs="Times New Roman"/>
          <w:sz w:val="22"/>
        </w:rPr>
        <w:t xml:space="preserve"> upon Castree’s assertion that “</w:t>
      </w:r>
      <w:r>
        <w:rPr>
          <w:rFonts w:cs="Times New Roman"/>
          <w:sz w:val="22"/>
        </w:rPr>
        <w:t>there is geopolitics to how environmental problems are represented</w:t>
      </w:r>
      <w:r w:rsidR="00F646A0">
        <w:rPr>
          <w:rFonts w:cs="Times New Roman"/>
          <w:sz w:val="22"/>
        </w:rPr>
        <w:t>”</w:t>
      </w:r>
      <w:r>
        <w:rPr>
          <w:rFonts w:cs="Times New Roman"/>
          <w:sz w:val="22"/>
        </w:rPr>
        <w:t xml:space="preserve"> (</w:t>
      </w:r>
      <w:r w:rsidRPr="00C605EF">
        <w:rPr>
          <w:rFonts w:cs="Times New Roman"/>
          <w:sz w:val="22"/>
        </w:rPr>
        <w:t>2003: 427),</w:t>
      </w:r>
      <w:r>
        <w:rPr>
          <w:rFonts w:cs="Times New Roman"/>
          <w:sz w:val="22"/>
        </w:rPr>
        <w:t xml:space="preserve"> environmental geopolitics applies the deconstructive logics of cr</w:t>
      </w:r>
      <w:r w:rsidR="00F646A0">
        <w:rPr>
          <w:rFonts w:cs="Times New Roman"/>
          <w:sz w:val="22"/>
        </w:rPr>
        <w:t>itical geopolitics to: examine “</w:t>
      </w:r>
      <w:r>
        <w:rPr>
          <w:rFonts w:cs="Times New Roman"/>
          <w:sz w:val="22"/>
        </w:rPr>
        <w:t>how environmental themes are used to support geopo</w:t>
      </w:r>
      <w:r w:rsidR="00F646A0">
        <w:rPr>
          <w:rFonts w:cs="Times New Roman"/>
          <w:sz w:val="22"/>
        </w:rPr>
        <w:t>litical arguments and realities”, and “</w:t>
      </w:r>
      <w:r>
        <w:rPr>
          <w:rFonts w:cs="Times New Roman"/>
          <w:sz w:val="22"/>
        </w:rPr>
        <w:t xml:space="preserve">ask how </w:t>
      </w:r>
      <w:r w:rsidRPr="00C81984">
        <w:rPr>
          <w:rFonts w:cs="Times New Roman"/>
          <w:i/>
          <w:sz w:val="22"/>
        </w:rPr>
        <w:t>the environment</w:t>
      </w:r>
      <w:r>
        <w:rPr>
          <w:rFonts w:cs="Times New Roman"/>
          <w:sz w:val="22"/>
        </w:rPr>
        <w:t xml:space="preserve"> is brought into narratives, practices and physica</w:t>
      </w:r>
      <w:r w:rsidR="00F646A0">
        <w:rPr>
          <w:rFonts w:cs="Times New Roman"/>
          <w:sz w:val="22"/>
        </w:rPr>
        <w:t xml:space="preserve">l realities of power and place” </w:t>
      </w:r>
      <w:r>
        <w:rPr>
          <w:rFonts w:cs="Times New Roman"/>
          <w:sz w:val="22"/>
        </w:rPr>
        <w:t xml:space="preserve">(O’Lear, 2018: 2). The key questions of environmental geopolitics focus on the geographies of human-environment relations. They ask: how are ‘the environment’ and environmental features being defined or portrayed in a given argument? How is the environmental feature in question shaped by human interactions, systems, and dynamics of power? How is the environmental argument linked to risk or security and how is this spatially focused? (O’Lear 2020). </w:t>
      </w:r>
      <w:r w:rsidR="00F646A0">
        <w:rPr>
          <w:rFonts w:cs="Times New Roman"/>
          <w:sz w:val="22"/>
        </w:rPr>
        <w:t>In other words</w:t>
      </w:r>
      <w:r>
        <w:rPr>
          <w:rFonts w:cs="Times New Roman"/>
          <w:sz w:val="22"/>
        </w:rPr>
        <w:t>, environmental geopolitics is a theoretical approach that seeks to discursively disentangle how geo-power is exercised spatially through environmental means, and with what material impacts.</w:t>
      </w:r>
    </w:p>
    <w:p w14:paraId="3A5132EB" w14:textId="7103D879" w:rsidR="001139CD" w:rsidRPr="008960B1" w:rsidRDefault="001139CD" w:rsidP="001139CD">
      <w:pPr>
        <w:widowControl w:val="0"/>
        <w:autoSpaceDE w:val="0"/>
        <w:autoSpaceDN w:val="0"/>
        <w:adjustRightInd w:val="0"/>
        <w:ind w:firstLine="720"/>
        <w:rPr>
          <w:rFonts w:cs="Times New Roman"/>
          <w:sz w:val="22"/>
        </w:rPr>
      </w:pPr>
      <w:r>
        <w:rPr>
          <w:rFonts w:cs="Times New Roman"/>
          <w:sz w:val="22"/>
        </w:rPr>
        <w:t>Environmental geopolitics has many antecedents in terms of critical geopolitical e</w:t>
      </w:r>
      <w:r w:rsidR="00F646A0">
        <w:rPr>
          <w:rFonts w:cs="Times New Roman"/>
          <w:sz w:val="22"/>
        </w:rPr>
        <w:t>ngagements with the environment, and in particular examinations of</w:t>
      </w:r>
      <w:r>
        <w:rPr>
          <w:rFonts w:cs="Times New Roman"/>
          <w:sz w:val="22"/>
        </w:rPr>
        <w:t xml:space="preserve"> the climate-change and conflict nexus </w:t>
      </w:r>
      <w:r>
        <w:rPr>
          <w:rFonts w:cs="Times New Roman"/>
          <w:sz w:val="22"/>
        </w:rPr>
        <w:fldChar w:fldCharType="begin" w:fldLock="1"/>
      </w:r>
      <w:r w:rsidR="00EC7F7E">
        <w:rPr>
          <w:rFonts w:cs="Times New Roman"/>
          <w:sz w:val="22"/>
        </w:rPr>
        <w:instrText>ADDIN CSL_CITATION {"citationItems":[{"id":"ITEM-1","itemData":{"DOI":"10.1080/00045600801922422","ISSN":"00045608","abstract":"In the late 1990s, natural resources such as oil, diamonds, and timber came under increased scrutiny by conflict analysts and media outlets for their purported role in many contemporary wars. This article discusses some of the limitations of conventional arguments linking wars and resources. Dominated by econometric approaches and rational choice theory interpretations, arguments pertaining to \"resource wars\" often oversimplify or overlook the geographical dimensions of resource-related conflicts. By defining spatiality primarily in terms of the location of resource reserves and flows generating revenues for belligerents, these approaches overlook other geographical aspects of resources crucial to conflicts. Focusing on \"conflict diamonds\" and drawing on recent international relations works and geographical research on the political ecology of violence, commodity chains, and consumption, the article presents an alternative conceptual framework engaging with resource-related spaces of vulnerability, risk, and opportunity for conflicts. This framework, in turn, highlights policy biases resulting from oversimplified readings of \"resource war\" geographies.","author":[{"dropping-particle":"","family":"Billon","given":"Philippe","non-dropping-particle":"Le","parse-names":false,"suffix":""}],"container-title":"Annals of the Association of American Geographers","id":"ITEM-1","issue":"2","issued":{"date-parts":[["2008"]]},"page":"345-372","title":"Diamond wars? Conflict diamonds and geographies of resource wars","type":"article-journal","volume":"98"},"uris":["http://www.mendeley.com/documents/?uuid=3e944809-1eaa-4e13-95a2-b22d2b342eb8"]},{"id":"ITEM-2","itemData":{"DOI":"10.1080/14650040903501070","ISSN":"14650045","abstract":"Dire warnings on the \"dangers\" of climate change are reinvigorating past debates over environmental security. However, one strain of this debate is exceeding the state-based logics of security found in more conventional environmental security approaches. The UNFCCC's goal of avoiding \"dangerous climate change\" that, inter alia, threatens sustainable development has inspired volumes of research on climate change mitigation and adaptation, and has increasingly become incorporated into World Bank and UN development programmes. However, much of this research has yet to examine the cultural and political effects of framing climate change through the loaded language of security. As a result, there has been little critical analysis of the emergence of a variety of disaster risk management and insurance-based adaptation strategies that attempt to offer security against the effects of dangerous climate change. This article articulates the insights of critical environmental security studies with recent research on biopolitical security and post-structural critiques of development to unpack the biopolitical and geopolitical assumptions that animate discourses on dangerous climate change and disasters. My argument here is twofold. First, I suggest that risk management and catastrophe insurance have political effects: these biopolitical technologies sustain the global social and political order that the history of Western-led \"development\" has produced. Second, along these lines, dangerous climate change discourses extend the project of earlier environmental security discourses, specifically, the attempt to secure Western ways of life against the effects of environmental change. In securing \"sustainable development,\" discourses on dangerous climate change combine biopolitical technologies of risk management with geopolitical technologies of security to sustain the exclusion and containment of underdeveloped populations, and the mobility of the global elite, that characterise contemporary practices of development. © Taylor &amp; Francis Group, LLC.","author":[{"dropping-particle":"","family":"Grove","given":"Kevin J.","non-dropping-particle":"","parse-names":false,"suffix":""}],"container-title":"Geopolitics","id":"ITEM-2","issue":"3","issued":{"date-parts":[["2010"]]},"page":"536-563","title":"Insuring \"our common future?\" Dangerous climate change and the biopolitics of environmental security","type":"article-journal","volume":"15"},"uris":["http://www.mendeley.com/documents/?uuid=a2e0b216-7ce8-41a7-95ed-73bb4034d284"]},{"id":"ITEM-3","itemData":{"ISBN":"9781137318954","abstract":"\"Climate Terror investigates the highly differentiated geographical politics of global warming. It explores how fear-inducing climate change discourses could result in new forms of dependencies, domination and militarised 'climate security'. In this revealing study from Doyle and Chaturvedi, the concept of environmental security is brought to life through cases of the most pressing environmental issues confronting the Global South, which are creating desperate realities for billions of people. The book proposes the following key questions, crucial to our understanding of this issue: Can the climate discourse be re-configured to provide a place where issues of environmental justice and sovereignty are paramount, rather than neo-liberal responses to climate? Can climate change give a voice to the global periphery, and can it be used as a vehicle for emancipation? Doyle and Chaturvedi's study concludes by taking note of the more optimistic response of 'emancipatory' groups and networks to concepts such as climate justice and climate debt, and the ways in which these groups have attempted to use this global climate moment for more democratic purposes. Is the climate story, regardless of its diverse intentions, a discourse now captured by the affluent North to control the development of the Global South? Has the emancipatory moment now passed or is there still hope for the re-emergence of subaltern perspectives on climate futures? The authors further discuss the deployment of terror vocabulary to address climate change, which is a part of refurbished designs and technologies of control, regulation and domination in a neo-liberal, post-political globalised world marked by profound asymmetries in terms of economic growth and human development. They argue for an increased understanding of the environment, not as an external enemy force, but as a diverse nature that is inclusive of people, a nature that has the potential to provide secure access to citizens of all countries to basic nutrition, adequate access to health, appropriate shelter, and a security to practice a diverse range of livelihoods.\"-- 1. An Introduction: A Critical Geopolitics of 'Climate Fear/Terror': Roots, Routes and Rhetoric -- 2. Climate 'Science': Categories, Cultures and Contestations -- 3. Terrorizing Climate Territories and Marginalized Geographies of the Post-Political -- 4. The Violence of Climate 'Markets': Insuring 'Our Way of Living' -- 5. 'Climate Borders' in the Anthropocene: Sec…","author":[{"dropping-particle":"","family":"Chaturvedi","given":"Sanjay","non-dropping-particle":"","parse-names":false,"suffix":""},{"dropping-particle":"","family":"Doyle","given":"Timothy","non-dropping-particle":"","parse-names":false,"suffix":""}],"id":"ITEM-3","issued":{"date-parts":[["2015"]]},"number-of-pages":"247","title":"Climate terror : a critical geopolitics of climate change","type":"book"},"uris":["http://www.mendeley.com/documents/?uuid=039cf3b6-220e-356b-8026-03f7ed080cf3"]},{"id":"ITEM-4","itemData":{"ISBN":"9781781009406","abstract":"\"This is a strong, balanced and provocative collection that is truly more than the sum of its parts, thanks to well-informed editorial hands. I am sure that this volume will become a standard reference in future discussions of polar geopolitics, for many years to come. This is a very valuable book.\"--Frances D. Abele, Carleton University, Canada. The polar regions (the Arctic and Antarctic) have enjoyed widespread public attention in recent years, as issues of conservation, sustainability, resource speculation and geopolitical manoeuvring have all garnered considerable international media interest. This critical collection of new and original papers - the first of its kind - offers a comprehensive exploration of these and other topics, consolidating the emergent field of polar geopolitics. The expert international contributors to this volume offer a range of insightful comparative, interdisciplinary and global perspectives on polar issues. Key topics discussed include resource extraction, regime formation, knowledge construction, border issues, governance and treaties, and indigenous livelihoods. Contributions from scholars of history, geography, political science, anthropology and international law make this a truly comprehensive take on the current state and future prospects of both the polar regions and polar geopolitics as a distinct discipline. Students and professors of geopolitics, political science and geography - especially those with an interest in the polar regions - will find much of value in this book's concrete expression of a new and fascinating field. Part I: Global and regional frameworks -- Polar geopolitics / Richard C. Powell and Klaus Dodds -- The polar regions and the law of the sea / Donald R. Rothwell -- Defining and recognizing the outer limits of the continental shelf in the polar regions / Harald Brekke -- Re-justifying the Antarctic Treaty System for the 21st century : rights, expectations and global equity / Alan D. Hemmings -- Adapting governance and regulation of the marine Arctic / Erik J. Molenaar -- Part II: National visions -- \"We have proved it, the Arctic is ours\" : resources, security and strategy in the Russian Arctic / Andrew Foxall -- Maintaining hegemony at a distance : ambivalence in US Arctic policy / Philip E. Steinberg -- \"Securing\" geography : framings, logics and strategies in the Norwegian high north / Berit Kristoffersen -- The reluctant Arctic citizen : Sweden and the north / Sverker Sőrlin -- China, Ca…","author":[{"dropping-particle":"","family":"Powell","given":"Richard.C","non-dropping-particle":"","parse-names":false,"suffix":""},{"dropping-particle":"","family":"Dodds","given":"Klaus","non-dropping-particle":"","parse-names":false,"suffix":""}],"id":"ITEM-4","issued":{"date-parts":[["2014"]]},"number-of-pages":"325","title":"Polar geopolitics? : knowledges, resources and legal regimes","type":"book"},"uris":["http://www.mendeley.com/documents/?uuid=3ae9e301-1f8f-3626-8975-8a085dfa35e4"]},{"id":"ITEM-5","itemData":{"DOI":"10.1016/j.polgeo.2010.01.004","ISBN":"0962-6298","ISSN":"09626298","abstract":"Twenty years ago the intellectual projects that have become known as critical geopolitics emerged at the end of the cold war as a series of critiques of geopolitical reasoning. Drawing heavily on Edward Said's formulations of Orientalism the critical analyses probed the dense cultural productions of danger, the rationalisations for intervention and the logics of \" Western\" foreign policies. The geographical specifications of the world in the political discourses used to justify numerous imperial actions, and the rationales for the provision of security came under sustained scrutiny. Now two decades later despite the supposed end of history and endless invocations of globalization, the themes of empire and Orientalism remain at the heart of the Western geopolitical imaginary, explicitly structuring how the security intellectuals of our time plan for war and justify the construction of their military machines. Given the continuing dangers of warfare in a biosphere that is being radically destabilized by the modes of economy and violence these geopolitical texts legitimize, the necessity for critique remains compelling. But given the proliferation of uses of the term critical geopolitics, and the numerous disciplinary concerns encompassed by it, perhaps the time has come to narrow its focus once again to its core themes which involve confronting and challenging the geographical reasoning used in the legitimizations of contemporary warfare. © 2010 Elsevier Ltd.","author":[{"dropping-particle":"","family":"Dalby","given":"Simon","non-dropping-particle":"","parse-names":false,"suffix":""}],"container-title":"Political Geography","id":"ITEM-5","issue":"5","issued":{"date-parts":[["2010"]]},"page":"280-288","publisher":"Elsevier Ltd","title":"Recontextualising violence, power and nature: The next twenty years of critical geopolitics?","type":"article-journal","volume":"29"},"uris":["http://www.mendeley.com/documents/?uuid=00e814b9-537a-46ae-b29a-251a2d109b8b"]},{"id":"ITEM-6","itemData":{"DOI":"10.1177/0304375414558355","ISBN":"978-0-521-84922-7","ISSN":"21633150","abstract":"Rising concerns about climate change and the growing realization that humanity has become a geological agent shaping planetary systems have led to the adoption of the term Anthropocene as an overarching term for the current period of planetary history. The growing disjunction between traditional geopolitical specifications of territorial and spatial categories of politics and the new geological circumstances require a reconsideration of the material context for politics. Having taken our fate into our own hands, governance mechanisms have to grapple with novel matters of pro-duction and energy challenging modern assumptions about an autonomous humanity playing out its political drama against a stable natural background. While governing climate is generating new spatial categories of politics, it is far from clear that these devices can reassemble the human and natural systems into a sustainable configuration for the next period of the Anthropocene. One of the key dichotomies that structures modern thinking, the division between human and nature, is no longer tenable. We are literally making our own future, and the consequences of these reconsiderations are profound for politics in general and security in particular.","author":[{"dropping-particle":"","family":"Dalby","given":"Simon","non-dropping-particle":"","parse-names":false,"suffix":""}],"container-title":"Alternatives","id":"ITEM-6","issued":{"date-parts":[["2014"]]},"title":"Environmental geopolitics in the twenty-first century","type":"article"},"uris":["http://www.mendeley.com/documents/?uuid=f5104b60-37e8-359c-a85d-26d73e309037"]},{"id":"ITEM-7","itemData":{"DOI":"10.1016/j.polgeo.2013.09.004","ISSN":"09626298","abstract":"In his 2012 Political Geography plenary at the 2012 Royal Geographical Society meeting, Stuart Elden posed the possibilities of a \"geopolitics\" that engages the earth, the air and volumetric understandings as an alternative to geopolitics as a synonym for global politics with its two dimensional cartographic imagination. More is needed than political geography writ large: a material sensibility is necessary to think about security and geography but one that is not linked to traditional determinist formulations. Climate change has a long connection to geopolitics, but now humanity is determining the future of the planetary climate. Picking up Elden's themes, this paper explores how taking the physicality of climate change seriously requires a rethinking of politics in the face of numerous transformations in what is becoming the more obviously artificial planet in the Anthropocene epoch. The geometrics now needed in security analysis include the volumes of global carbon dioxide and Arctic ice. Geopolitical discourse needs a fundamental overhaul to deal with the new circumstances and incorporate climate change as a production problem in the making of a new world, not as a deterministic phenomenon shaping human life in coming decades. © 2013 Elsevier Ltd.","author":[{"dropping-particle":"","family":"Dalby","given":"Simon","non-dropping-particle":"","parse-names":false,"suffix":""}],"container-title":"Political Geography","id":"ITEM-7","issued":{"date-parts":[["2013"]]},"page":"38-47","publisher":"Elsevier Ltd","title":"The geopolitics of climate change","type":"article-journal","volume":"37"},"uris":["http://www.mendeley.com/documents/?uuid=01a8ebe4-fee4-4a99-8199-35aa873c1f20"]},{"id":"ITEM-8","itemData":{"DOI":"10.1016/j.polgeo.2017.05.007","ISSN":"09626298","abstract":"For proponents of the view that anthropogenic climate change will become a ‘threat multiplier’ for instability in the decades ahead, the Syrian civil war has become a recurring reference point, providing apparently compelling evidence that such conflict effects are already with us. According to this view, human-induced climatic change was a contributory factor in the extreme drought experienced within Syria prior to its civil war; this drought in turn led to large-scale migration; and this migration in turn exacerbated the socio-economic stresses that underpinned Syria's descent into war. This article provides a systematic interrogation of these claims, and finds little merit to them. Amongst other things it shows that there is no clear and reliable evidence that anthropogenic climate change was a factor in Syria's pre-civil war drought; that this drought did not cause anywhere near the scale of migration that is often alleged; and that there exists no solid evidence that drought migration pressures in Syria contributed to civil war onset. The Syria case, the article finds, does not support ‘threat multiplier’ views of the impacts of climate change; to the contrary, we conclude, policymakers, commentators and scholars alike should exercise far greater caution when drawing such linkages or when securitising climate change.","author":[{"dropping-particle":"","family":"Selby","given":"Jan","non-dropping-particle":"","parse-names":false,"suffix":""},{"dropping-particle":"","family":"Dahi","given":"Omar S.","non-dropping-particle":"","parse-names":false,"suffix":""},{"dropping-particle":"","family":"Fröhlich","given":"Christiane","non-dropping-particle":"","parse-names":false,"suffix":""},{"dropping-particle":"","family":"Hulme","given":"Mike","non-dropping-particle":"","parse-names":false,"suffix":""}],"container-title":"Political Geography","id":"ITEM-8","issued":{"date-parts":[["2017"]]},"page":"232-244","title":"Climate change and the Syrian civil war revisited","type":"article-journal","volume":"60"},"uris":["http://www.mendeley.com/documents/?uuid=8869a469-f615-4a12-9e37-80ed4b642642"]},{"id":"ITEM-9","itemData":{"DOI":"10.1016/j.geoforum.2018.06.010","ISSN":"00167185","abstract":"This article is the second in a series on the alleged links between climate change, drought and the onset of Syria's civil war. In a previous article it was argued that there is little merit to the Syria-climate conflict thesis, including no clear evidence that drought-related migration contributed to civil war onset. Building on this earlier work, the present article investigates an issue which was not fully analysed in the previous one: the nature and causes of the pre-civil war agrarian crisis in Syria's northeast Jazira region, and especially in the governorate of Hasakah. This crisis is usually represented as rooted essentially in a severe multi-year drought which, it is claimed, led to multiple crop failures and in turn large-scale migration. Here it is argued, by contrast, that the central causes of Hasakah's agrarian crisis were long-term and structural, involving three main factors: extreme water resource degradation; deepening rural poverty; and underpinning these, specific features of Syria's and Hasakah's politics and political economy. The article contends, most notably, that the exceptional severity of Hasakah's crisis was a function of the nationwide collapse of Syria's agrarian and rentier model of state-building and development, combined with Hasakah's distinctive political geography as an ethnically contested borderland and frontier zone. I thus conclude that rather than supporting narratives of environmental scarcity-induced conflict, the Syrian case actually confirms the opposite: namely, political ecologists’ insistence on the centrality of the political, and of conflict, in causing environmental scarcities and insecurities.","author":[{"dropping-particle":"","family":"Selby","given":"Jan","non-dropping-particle":"","parse-names":false,"suffix":""}],"container-title":"Geoforum","id":"ITEM-9","issue":"November 2017","issued":{"date-parts":[["2019"]]},"page":"260-274","publisher":"Elsevier","title":"Climate change and the Syrian civil war, Part II: The Jazira's agrarian crisis","type":"article-journal","volume":"101"},"uris":["http://www.mendeley.com/documents/?uuid=69b5699d-bdbc-449a-ba2b-83d9aecb6fe4"]}],"mendeley":{"formattedCitation":"(Le Billon, 2008; Dalby, 2010, 2013, 2014; Grove, 2010; Powell and Dodds, 2014; Chaturvedi and Doyle, 2015; Selby &lt;i&gt;et al.&lt;/i&gt;, 2017; Selby, 2019)","plainTextFormattedCitation":"(Le Billon, 2008; Dalby, 2010, 2013, 2014; Grove, 2010; Powell and Dodds, 2014; Chaturvedi and Doyle, 2015; Selby et al., 2017; Selby, 2019)","previouslyFormattedCitation":"(Le Billon, 2008; Dalby, 2010, 2013, 2014; Grove, 2010; Powell and Dodds, 2014; Chaturvedi and Doyle, 2015; Selby &lt;i&gt;et al.&lt;/i&gt;, 2017; Selby, 2019)"},"properties":{"noteIndex":0},"schema":"https://github.com/citation-style-language/schema/raw/master/csl-citation.json"}</w:instrText>
      </w:r>
      <w:r>
        <w:rPr>
          <w:rFonts w:cs="Times New Roman"/>
          <w:sz w:val="22"/>
        </w:rPr>
        <w:fldChar w:fldCharType="separate"/>
      </w:r>
      <w:r w:rsidR="00042533" w:rsidRPr="00042533">
        <w:rPr>
          <w:rFonts w:cs="Times New Roman"/>
          <w:noProof/>
          <w:sz w:val="22"/>
        </w:rPr>
        <w:t xml:space="preserve">(Le Billon, 2008; Dalby, 2010, 2013, 2014; Grove, 2010; Powell and Dodds, 2014; Chaturvedi and Doyle, 2015; Selby </w:t>
      </w:r>
      <w:r w:rsidR="00042533" w:rsidRPr="00042533">
        <w:rPr>
          <w:rFonts w:cs="Times New Roman"/>
          <w:i/>
          <w:noProof/>
          <w:sz w:val="22"/>
        </w:rPr>
        <w:t>et al.</w:t>
      </w:r>
      <w:r w:rsidR="00042533" w:rsidRPr="00042533">
        <w:rPr>
          <w:rFonts w:cs="Times New Roman"/>
          <w:noProof/>
          <w:sz w:val="22"/>
        </w:rPr>
        <w:t>, 2017; Selby, 2019)</w:t>
      </w:r>
      <w:r>
        <w:rPr>
          <w:rFonts w:cs="Times New Roman"/>
          <w:sz w:val="22"/>
        </w:rPr>
        <w:fldChar w:fldCharType="end"/>
      </w:r>
      <w:r>
        <w:rPr>
          <w:rFonts w:cs="Times New Roman"/>
          <w:sz w:val="22"/>
        </w:rPr>
        <w:t xml:space="preserve">. The emerging scholarship on environmental geopolitics </w:t>
      </w:r>
      <w:r>
        <w:rPr>
          <w:rFonts w:cs="Times New Roman"/>
          <w:sz w:val="22"/>
        </w:rPr>
        <w:lastRenderedPageBreak/>
        <w:t xml:space="preserve">represents an increasingly well-defined intellectual project spearheaded by Shannon O’Lear (2018, 2020), which provides a coherent framework for critical engagements with the geopolitics </w:t>
      </w:r>
      <w:r w:rsidR="009717EB">
        <w:rPr>
          <w:rFonts w:cs="Times New Roman"/>
          <w:sz w:val="22"/>
        </w:rPr>
        <w:t xml:space="preserve">of human-environment relations. </w:t>
      </w:r>
      <w:r>
        <w:rPr>
          <w:rFonts w:cs="Times New Roman"/>
          <w:sz w:val="22"/>
        </w:rPr>
        <w:t xml:space="preserve">These developing engagements move beyond conceptualising the geopolitics of the environment in terms of the traditional war-environment-security nexus </w:t>
      </w:r>
      <w:r>
        <w:rPr>
          <w:rFonts w:cs="Times New Roman"/>
          <w:sz w:val="22"/>
        </w:rPr>
        <w:fldChar w:fldCharType="begin" w:fldLock="1"/>
      </w:r>
      <w:r>
        <w:rPr>
          <w:rFonts w:cs="Times New Roman"/>
          <w:sz w:val="22"/>
        </w:rPr>
        <w:instrText>ADDIN CSL_CITATION {"citationItems":[{"id":"ITEM-1","itemData":{"ISBN":"0002520079","author":[{"dropping-particle":"","family":"Moisio","given":"Sami","non-dropping-particle":"","parse-names":false,"suffix":""}],"id":"ITEM-1","issued":{"date-parts":[["2015"]]},"title":"Geopolitics/Critical Geopolitics","type":"article-journal"},"uris":["http://www.mendeley.com/documents/?uuid=ee6dfca9-c718-485b-a3fc-6364245d12ca"]}],"mendeley":{"formattedCitation":"(Moisio, 2015)","plainTextFormattedCitation":"(Moisio, 2015)","previouslyFormattedCitation":"(Moisio, 2015)"},"properties":{"noteIndex":0},"schema":"https://github.com/citation-style-language/schema/raw/master/csl-citation.json"}</w:instrText>
      </w:r>
      <w:r>
        <w:rPr>
          <w:rFonts w:cs="Times New Roman"/>
          <w:sz w:val="22"/>
        </w:rPr>
        <w:fldChar w:fldCharType="separate"/>
      </w:r>
      <w:r w:rsidRPr="00AC05DA">
        <w:rPr>
          <w:rFonts w:cs="Times New Roman"/>
          <w:noProof/>
          <w:sz w:val="22"/>
        </w:rPr>
        <w:t>(Moisio, 2015)</w:t>
      </w:r>
      <w:r>
        <w:rPr>
          <w:rFonts w:cs="Times New Roman"/>
          <w:sz w:val="22"/>
        </w:rPr>
        <w:fldChar w:fldCharType="end"/>
      </w:r>
      <w:r>
        <w:rPr>
          <w:rFonts w:cs="Times New Roman"/>
          <w:sz w:val="22"/>
        </w:rPr>
        <w:t>; although the geopolitics of environmental conflict re</w:t>
      </w:r>
      <w:r w:rsidR="009717EB">
        <w:rPr>
          <w:rFonts w:cs="Times New Roman"/>
          <w:sz w:val="22"/>
        </w:rPr>
        <w:t xml:space="preserve">mains analytically significant. </w:t>
      </w:r>
      <w:r>
        <w:rPr>
          <w:rFonts w:cs="Times New Roman"/>
          <w:sz w:val="22"/>
        </w:rPr>
        <w:t xml:space="preserve">Instead, environmental geopolitics broadens the intellectual purview by engaging with a range of geopolitical-environmental issues including: the geopolitics of territorialisation and conservation in the high-seas </w:t>
      </w:r>
      <w:r>
        <w:rPr>
          <w:rFonts w:cs="Times New Roman"/>
          <w:sz w:val="22"/>
        </w:rPr>
        <w:fldChar w:fldCharType="begin" w:fldLock="1"/>
      </w:r>
      <w:r w:rsidR="00EC7F7E">
        <w:rPr>
          <w:rFonts w:cs="Times New Roman"/>
          <w:sz w:val="22"/>
        </w:rPr>
        <w:instrText>ADDIN CSL_CITATION {"citationItems":[{"id":"ITEM-1","itemData":{"DOI":"10.4337/9781788971249.00009","author":[{"dropping-particle":"","family":"Gray","given":"Noella J.","non-dropping-particle":"","parse-names":false,"suffix":""},{"dropping-particle":"","family":"Acton","given":"Leslie","non-dropping-particle":"","parse-names":false,"suffix":""},{"dropping-particle":"","family":"Campbell","given":"Lisa M.","non-dropping-particle":"","parse-names":false,"suffix":""}],"container-title":"A Research Agenda for Environmental Geopolitics","id":"ITEM-1","issued":{"date-parts":[["2020"]]},"page":"30-43","title":"Science, territory, and the geopolitics of high seas conservation","type":"article-journal"},"uris":["http://www.mendeley.com/documents/?uuid=7b763890-4451-4882-8433-41b8616bf833"]}],"mendeley":{"formattedCitation":"(Gray, Acton and Campbell, 2020)","plainTextFormattedCitation":"(Gray, Acton and Campbell, 2020)","previouslyFormattedCitation":"(Gray, Acton and Campbell, 2020)"},"properties":{"noteIndex":0},"schema":"https://github.com/citation-style-language/schema/raw/master/csl-citation.json"}</w:instrText>
      </w:r>
      <w:r>
        <w:rPr>
          <w:rFonts w:cs="Times New Roman"/>
          <w:sz w:val="22"/>
        </w:rPr>
        <w:fldChar w:fldCharType="separate"/>
      </w:r>
      <w:r w:rsidR="00042533" w:rsidRPr="00042533">
        <w:rPr>
          <w:rFonts w:cs="Times New Roman"/>
          <w:noProof/>
          <w:sz w:val="22"/>
        </w:rPr>
        <w:t>(Gray, Acton and Campbell, 2020)</w:t>
      </w:r>
      <w:r>
        <w:rPr>
          <w:rFonts w:cs="Times New Roman"/>
          <w:sz w:val="22"/>
        </w:rPr>
        <w:fldChar w:fldCharType="end"/>
      </w:r>
      <w:r>
        <w:rPr>
          <w:rFonts w:cs="Times New Roman"/>
          <w:sz w:val="22"/>
        </w:rPr>
        <w:t>; the geopolitical power of rumour</w:t>
      </w:r>
      <w:r w:rsidR="009717EB">
        <w:rPr>
          <w:rFonts w:cs="Times New Roman"/>
          <w:sz w:val="22"/>
        </w:rPr>
        <w:t>s</w:t>
      </w:r>
      <w:r>
        <w:rPr>
          <w:rFonts w:cs="Times New Roman"/>
          <w:sz w:val="22"/>
        </w:rPr>
        <w:t xml:space="preserve"> in shaping environmental narratives </w:t>
      </w:r>
      <w:r>
        <w:rPr>
          <w:rFonts w:cs="Times New Roman"/>
          <w:sz w:val="22"/>
        </w:rPr>
        <w:fldChar w:fldCharType="begin" w:fldLock="1"/>
      </w:r>
      <w:r w:rsidR="00EC7F7E">
        <w:rPr>
          <w:rFonts w:cs="Times New Roman"/>
          <w:sz w:val="22"/>
        </w:rPr>
        <w:instrText>ADDIN CSL_CITATION {"citationItems":[{"id":"ITEM-1","itemData":{"DOI":"10.4337/9781788971249.00017","author":[{"dropping-particle":"","family":"Mostafanezhad","given":"Mary","non-dropping-particle":"","parse-names":false,"suffix":""},{"dropping-particle":"","family":"Evrard","given":"Olivier","non-dropping-particle":"","parse-names":false,"suffix":""}],"container-title":"A Research Agenda for Environmental Geopolitics","id":"ITEM-1","issue":"April 2018","issued":{"date-parts":[["2020"]]},"page":"121-135","title":"Environmental geopolitics of rumor: the sociality of uncertainty during northern Thailand’s smoky season","type":"article-journal"},"uris":["http://www.mendeley.com/documents/?uuid=644d1165-f99b-478b-b639-04d7a9e0b75d"]}],"mendeley":{"formattedCitation":"(Mostafanezhad and Evrard, 2020)","plainTextFormattedCitation":"(Mostafanezhad and Evrard, 2020)","previouslyFormattedCitation":"(Mostafanezhad and Evrard, 2020)"},"properties":{"noteIndex":0},"schema":"https://github.com/citation-style-language/schema/raw/master/csl-citation.json"}</w:instrText>
      </w:r>
      <w:r>
        <w:rPr>
          <w:rFonts w:cs="Times New Roman"/>
          <w:sz w:val="22"/>
        </w:rPr>
        <w:fldChar w:fldCharType="separate"/>
      </w:r>
      <w:r w:rsidR="00042533" w:rsidRPr="00042533">
        <w:rPr>
          <w:rFonts w:cs="Times New Roman"/>
          <w:noProof/>
          <w:sz w:val="22"/>
        </w:rPr>
        <w:t>(Mostafanezhad and Evrard, 2020)</w:t>
      </w:r>
      <w:r>
        <w:rPr>
          <w:rFonts w:cs="Times New Roman"/>
          <w:sz w:val="22"/>
        </w:rPr>
        <w:fldChar w:fldCharType="end"/>
      </w:r>
      <w:r>
        <w:rPr>
          <w:rFonts w:cs="Times New Roman"/>
          <w:sz w:val="22"/>
        </w:rPr>
        <w:t xml:space="preserve">; and the geopolitical representations of conflict-commodities and their supply chains </w:t>
      </w:r>
      <w:r>
        <w:rPr>
          <w:rFonts w:cs="Times New Roman"/>
          <w:sz w:val="22"/>
        </w:rPr>
        <w:fldChar w:fldCharType="begin" w:fldLock="1"/>
      </w:r>
      <w:r w:rsidR="00EC7F7E">
        <w:rPr>
          <w:rFonts w:cs="Times New Roman"/>
          <w:sz w:val="22"/>
        </w:rPr>
        <w:instrText>ADDIN CSL_CITATION {"citationItems":[{"id":"ITEM-1","itemData":{"DOI":"10.4337/9781788971249.00012","author":[{"dropping-particle":"","family":"Billon","given":"Philippe","non-dropping-particle":"Le","parse-names":false,"suffix":""},{"dropping-particle":"","family":"Shykora","given":"Lauren","non-dropping-particle":"","parse-names":false,"suffix":""}],"container-title":"A Research Agenda for Environmental Geopolitics","id":"ITEM-1","issued":{"date-parts":[["2020"]]},"page":"59-73","title":"Conflicts, commodities and the environmental geopolitics of supply chains","type":"article-journal"},"uris":["http://www.mendeley.com/documents/?uuid=f0705e7a-526a-4309-aa11-e6a80c350d5e"]}],"mendeley":{"formattedCitation":"(Le Billon and Shykora, 2020)","plainTextFormattedCitation":"(Le Billon and Shykora, 2020)","previouslyFormattedCitation":"(Le Billon and Shykora, 2020)"},"properties":{"noteIndex":0},"schema":"https://github.com/citation-style-language/schema/raw/master/csl-citation.json"}</w:instrText>
      </w:r>
      <w:r>
        <w:rPr>
          <w:rFonts w:cs="Times New Roman"/>
          <w:sz w:val="22"/>
        </w:rPr>
        <w:fldChar w:fldCharType="separate"/>
      </w:r>
      <w:r w:rsidR="00042533" w:rsidRPr="00042533">
        <w:rPr>
          <w:rFonts w:cs="Times New Roman"/>
          <w:noProof/>
          <w:sz w:val="22"/>
        </w:rPr>
        <w:t>(Le Billon and Shykora, 2020)</w:t>
      </w:r>
      <w:r>
        <w:rPr>
          <w:rFonts w:cs="Times New Roman"/>
          <w:sz w:val="22"/>
        </w:rPr>
        <w:fldChar w:fldCharType="end"/>
      </w:r>
      <w:r>
        <w:rPr>
          <w:rFonts w:cs="Times New Roman"/>
          <w:sz w:val="22"/>
        </w:rPr>
        <w:t>. In this regard, environmental geo</w:t>
      </w:r>
      <w:r w:rsidR="001A7F48">
        <w:rPr>
          <w:rFonts w:cs="Times New Roman"/>
          <w:sz w:val="22"/>
        </w:rPr>
        <w:t xml:space="preserve">politics is pushing boundaries. </w:t>
      </w:r>
      <w:r>
        <w:rPr>
          <w:rFonts w:cs="Times New Roman"/>
          <w:sz w:val="22"/>
        </w:rPr>
        <w:t>The sub-discipline is increasingly producing a synthesised theoretical approach to research on the ever-expanding geopolitics and discourses of environmental change.</w:t>
      </w:r>
    </w:p>
    <w:p w14:paraId="581B28B4" w14:textId="59D90751" w:rsidR="001139CD" w:rsidRPr="00B31A18" w:rsidRDefault="001139CD" w:rsidP="001139CD">
      <w:pPr>
        <w:rPr>
          <w:rFonts w:eastAsia="Times New Roman" w:cs="Times New Roman"/>
          <w:sz w:val="22"/>
        </w:rPr>
      </w:pPr>
      <w:r w:rsidRPr="00980ED7">
        <w:rPr>
          <w:rFonts w:cs="Times New Roman"/>
          <w:sz w:val="22"/>
        </w:rPr>
        <w:tab/>
        <w:t xml:space="preserve">Environmental geopolitics does useful work in deconstructing the discourses that underpin how the environment is made and re-made as geopolitical; and theorising how such discourses are stabilised through reference to scientific </w:t>
      </w:r>
      <w:r w:rsidR="00CA293D">
        <w:rPr>
          <w:rFonts w:cs="Times New Roman"/>
          <w:sz w:val="22"/>
        </w:rPr>
        <w:t>evidence and/or the notions of risk and security</w:t>
      </w:r>
      <w:r w:rsidRPr="00980ED7">
        <w:rPr>
          <w:rFonts w:cs="Times New Roman"/>
          <w:sz w:val="22"/>
        </w:rPr>
        <w:t>. O’L</w:t>
      </w:r>
      <w:r w:rsidR="00CA293D">
        <w:rPr>
          <w:rFonts w:cs="Times New Roman"/>
          <w:sz w:val="22"/>
        </w:rPr>
        <w:t>ear develops the argument that “</w:t>
      </w:r>
      <w:r w:rsidRPr="00980ED7">
        <w:rPr>
          <w:rFonts w:cs="Times New Roman"/>
          <w:sz w:val="22"/>
        </w:rPr>
        <w:t xml:space="preserve">we can study discourse by examining how it </w:t>
      </w:r>
      <w:r w:rsidRPr="00980ED7">
        <w:rPr>
          <w:rFonts w:cs="Times New Roman"/>
          <w:i/>
          <w:sz w:val="22"/>
        </w:rPr>
        <w:t>speaks</w:t>
      </w:r>
      <w:r w:rsidRPr="00980ED7">
        <w:rPr>
          <w:rFonts w:cs="Times New Roman"/>
          <w:sz w:val="22"/>
        </w:rPr>
        <w:t xml:space="preserve"> through materiality, embodiment, and practices as well as through textual or vi</w:t>
      </w:r>
      <w:r w:rsidR="00CA293D">
        <w:rPr>
          <w:rFonts w:cs="Times New Roman"/>
          <w:sz w:val="22"/>
        </w:rPr>
        <w:t xml:space="preserve">sual narratives” </w:t>
      </w:r>
      <w:r w:rsidRPr="00980ED7">
        <w:rPr>
          <w:rFonts w:cs="Times New Roman"/>
          <w:sz w:val="22"/>
        </w:rPr>
        <w:t xml:space="preserve">(2018: 15-16). Historically, scholarship from critical geopolitics centred verbal narratives and texts </w:t>
      </w:r>
      <w:r>
        <w:rPr>
          <w:rFonts w:cs="Times New Roman"/>
          <w:sz w:val="22"/>
        </w:rPr>
        <w:t>as the primary medium through which</w:t>
      </w:r>
      <w:r w:rsidRPr="00980ED7">
        <w:rPr>
          <w:rFonts w:cs="Times New Roman"/>
          <w:sz w:val="22"/>
        </w:rPr>
        <w:t xml:space="preserve"> to deconstruct geopolitical discourses</w:t>
      </w:r>
      <w:r w:rsidR="001A7F48">
        <w:rPr>
          <w:rFonts w:cs="Times New Roman"/>
          <w:sz w:val="22"/>
        </w:rPr>
        <w:t xml:space="preserve"> </w:t>
      </w:r>
      <w:r w:rsidR="001A7F48">
        <w:rPr>
          <w:rFonts w:cs="Times New Roman"/>
          <w:sz w:val="22"/>
        </w:rPr>
        <w:fldChar w:fldCharType="begin" w:fldLock="1"/>
      </w:r>
      <w:r w:rsidR="00CA293D">
        <w:rPr>
          <w:rFonts w:cs="Times New Roman"/>
          <w:sz w:val="22"/>
        </w:rPr>
        <w:instrText>ADDIN CSL_CITATION {"citationItems":[{"id":"ITEM-1","itemData":{"ISBN":"9780816626038","abstract":"1. Geopolitics -- 2. Critical Geopolitics -- 3. Imperial Incitement: Halford Mackinder, the British Empire, and the Writing of Geographical Sight -- 4. \"It's Smart to Be Geopolitical\": Narrating German Geopolitics in U.S. Political Discourse, 1939-1943 -- 5. Critical Approaches to \"Geopolitics\" -- 6. Between a Holocaust and a Quagmire: \"Bosnia\" in the U.S. Geo-Political Imagination, 1991-1994 -- 7. Visions and Vertigo: Postmodernity and the Writing of Global Space.","author":[{"dropping-particle":"","family":"Toal","given":"Gerard.","non-dropping-particle":"","parse-names":false,"suffix":""}],"id":"ITEM-1","issued":{"date-parts":[["1996"]]},"number-of-pages":"314","publisher":"University of Minnesota Press","title":"Critical geopolitics : the politics of writing global space","type":"book"},"uris":["http://www.mendeley.com/documents/?uuid=602fc40c-9641-38ec-90b9-665f4215a108"]}],"mendeley":{"formattedCitation":"(Toal, 1996)","plainTextFormattedCitation":"(Toal, 1996)","previouslyFormattedCitation":"(Toal, 1996)"},"properties":{"noteIndex":0},"schema":"https://github.com/citation-style-language/schema/raw/master/csl-citation.json"}</w:instrText>
      </w:r>
      <w:r w:rsidR="001A7F48">
        <w:rPr>
          <w:rFonts w:cs="Times New Roman"/>
          <w:sz w:val="22"/>
        </w:rPr>
        <w:fldChar w:fldCharType="separate"/>
      </w:r>
      <w:r w:rsidR="001A7F48" w:rsidRPr="001A7F48">
        <w:rPr>
          <w:rFonts w:cs="Times New Roman"/>
          <w:noProof/>
          <w:sz w:val="22"/>
        </w:rPr>
        <w:t>(Toal, 1996)</w:t>
      </w:r>
      <w:r w:rsidR="001A7F48">
        <w:rPr>
          <w:rFonts w:cs="Times New Roman"/>
          <w:sz w:val="22"/>
        </w:rPr>
        <w:fldChar w:fldCharType="end"/>
      </w:r>
      <w:r>
        <w:rPr>
          <w:rFonts w:eastAsia="Times New Roman" w:cs="Times New Roman"/>
          <w:color w:val="222222"/>
          <w:sz w:val="22"/>
          <w:shd w:val="clear" w:color="auto" w:fill="FFFFFF"/>
        </w:rPr>
        <w:t xml:space="preserve">; but it is increasingly recognised that discourses are evident in tangible ways in physical places. As such, a broader appreciation of how discourse works ‘off-the-page’ </w:t>
      </w:r>
      <w:r>
        <w:rPr>
          <w:rFonts w:eastAsia="Times New Roman" w:cs="Times New Roman"/>
          <w:color w:val="222222"/>
          <w:sz w:val="22"/>
          <w:shd w:val="clear" w:color="auto" w:fill="FFFFFF"/>
        </w:rPr>
        <w:fldChar w:fldCharType="begin" w:fldLock="1"/>
      </w:r>
      <w:r>
        <w:rPr>
          <w:rFonts w:eastAsia="Times New Roman" w:cs="Times New Roman"/>
          <w:color w:val="222222"/>
          <w:sz w:val="22"/>
          <w:shd w:val="clear" w:color="auto" w:fill="FFFFFF"/>
        </w:rPr>
        <w:instrText>ADDIN CSL_CITATION {"citationItems":[{"id":"ITEM-1","itemData":{"ISBN":"1442265817","abstract":" This thought-provoking and clearly argued text provides a critical geopolitical lens for understanding global environment politics. A subfield of political geography, environmental geopolitics examines how environmental themes are used to support geopolitical arguments and physical realities of power and place. Shannon O’Lear considers common, problematic traits of such familiar but widely misunderstood narratives about human-environment relationships. Mainstream themes about human-environment relationships include narratives about presumed connections between human population trends and resource scarcity; ways in which conflict and violence are linked to resource use or environmental degradation; climate security; and the application of science to solve environmental problems. O’Lear questions these narratives, arguing that the role or meaning of the environment is rarely specified, humans’ role in these situations tends to be considered selectively, and little attention is paid to spatial dimensions of human-environment relationships. She shows that how we tend to think about environmental concerns often obscure value judgments and constrain more dynamic approaches to human-environment relationships. Environmental geopolitics demonstrates how we can question familiar assumptions to generate more just and creative approaches to our many relationships with the environment.\r\n","author":[{"dropping-particle":"","family":"O'Lear","given":"Shannon","non-dropping-particle":"","parse-names":false,"suffix":""}],"id":"ITEM-1","issued":{"date-parts":[["2018"]]},"number-of-pages":"216","title":"Environmental Geopolitics","type":"book"},"uris":["http://www.mendeley.com/documents/?uuid=59389a53-42d6-3563-9aec-f89f03ab5871"]}],"mendeley":{"formattedCitation":"(O’Lear, 2018)","plainTextFormattedCitation":"(O’Lear, 2018)","previouslyFormattedCitation":"(O’Lear, 2018)"},"properties":{"noteIndex":0},"schema":"https://github.com/citation-style-language/schema/raw/master/csl-citation.json"}</w:instrText>
      </w:r>
      <w:r>
        <w:rPr>
          <w:rFonts w:eastAsia="Times New Roman" w:cs="Times New Roman"/>
          <w:color w:val="222222"/>
          <w:sz w:val="22"/>
          <w:shd w:val="clear" w:color="auto" w:fill="FFFFFF"/>
        </w:rPr>
        <w:fldChar w:fldCharType="separate"/>
      </w:r>
      <w:r w:rsidRPr="00CD6F6B">
        <w:rPr>
          <w:rFonts w:eastAsia="Times New Roman" w:cs="Times New Roman"/>
          <w:noProof/>
          <w:color w:val="222222"/>
          <w:sz w:val="22"/>
          <w:shd w:val="clear" w:color="auto" w:fill="FFFFFF"/>
        </w:rPr>
        <w:t>(O’Lear, 2018)</w:t>
      </w:r>
      <w:r>
        <w:rPr>
          <w:rFonts w:eastAsia="Times New Roman" w:cs="Times New Roman"/>
          <w:color w:val="222222"/>
          <w:sz w:val="22"/>
          <w:shd w:val="clear" w:color="auto" w:fill="FFFFFF"/>
        </w:rPr>
        <w:fldChar w:fldCharType="end"/>
      </w:r>
      <w:r>
        <w:rPr>
          <w:rFonts w:eastAsia="Times New Roman" w:cs="Times New Roman"/>
          <w:color w:val="222222"/>
          <w:sz w:val="22"/>
          <w:shd w:val="clear" w:color="auto" w:fill="FFFFFF"/>
        </w:rPr>
        <w:t xml:space="preserve"> is</w:t>
      </w:r>
      <w:r>
        <w:rPr>
          <w:rFonts w:cs="Times New Roman"/>
          <w:sz w:val="22"/>
        </w:rPr>
        <w:t xml:space="preserve"> important for understanding how geopolitical claims materialise – and are contested – in forms that physically shape human-environment relations. </w:t>
      </w:r>
    </w:p>
    <w:p w14:paraId="24F5583C" w14:textId="3263F71B" w:rsidR="001139CD" w:rsidRDefault="001139CD" w:rsidP="001139CD">
      <w:pPr>
        <w:widowControl w:val="0"/>
        <w:autoSpaceDE w:val="0"/>
        <w:autoSpaceDN w:val="0"/>
        <w:adjustRightInd w:val="0"/>
        <w:ind w:firstLine="720"/>
        <w:rPr>
          <w:rFonts w:cs="Times New Roman"/>
          <w:sz w:val="22"/>
        </w:rPr>
      </w:pPr>
      <w:r>
        <w:rPr>
          <w:rFonts w:cs="Times New Roman"/>
          <w:sz w:val="22"/>
        </w:rPr>
        <w:t>The materiality of geopolitical discourses is realised through the tangible things we create and build. In particular, the materialities of geopolit</w:t>
      </w:r>
      <w:r w:rsidR="00CA293D">
        <w:rPr>
          <w:rFonts w:cs="Times New Roman"/>
          <w:sz w:val="22"/>
        </w:rPr>
        <w:t>ical discourses are evident in “</w:t>
      </w:r>
      <w:r>
        <w:rPr>
          <w:rFonts w:cs="Times New Roman"/>
          <w:sz w:val="22"/>
        </w:rPr>
        <w:t>how societies draw from environmental resources in particular ways, and they are evident in altered landscapes resulting from the extraction, construction, and movement of things, and pa</w:t>
      </w:r>
      <w:r w:rsidR="00CA293D">
        <w:rPr>
          <w:rFonts w:cs="Times New Roman"/>
          <w:sz w:val="22"/>
        </w:rPr>
        <w:t>tterns of consumption and waste”</w:t>
      </w:r>
      <w:r>
        <w:rPr>
          <w:rFonts w:cs="Times New Roman"/>
          <w:sz w:val="22"/>
        </w:rPr>
        <w:t xml:space="preserve"> </w:t>
      </w:r>
      <w:r>
        <w:rPr>
          <w:rFonts w:cs="Times New Roman"/>
          <w:sz w:val="22"/>
        </w:rPr>
        <w:fldChar w:fldCharType="begin" w:fldLock="1"/>
      </w:r>
      <w:r>
        <w:rPr>
          <w:rFonts w:cs="Times New Roman"/>
          <w:sz w:val="22"/>
        </w:rPr>
        <w:instrText>ADDIN CSL_CITATION {"citationItems":[{"id":"ITEM-1","itemData":{"ISBN":"1442265817","abstract":" This thought-provoking and clearly argued text provides a critical geopolitical lens for understanding global environment politics. A subfield of political geography, environmental geopolitics examines how environmental themes are used to support geopolitical arguments and physical realities of power and place. Shannon O’Lear considers common, problematic traits of such familiar but widely misunderstood narratives about human-environment relationships. Mainstream themes about human-environment relationships include narratives about presumed connections between human population trends and resource scarcity; ways in which conflict and violence are linked to resource use or environmental degradation; climate security; and the application of science to solve environmental problems. O’Lear questions these narratives, arguing that the role or meaning of the environment is rarely specified, humans’ role in these situations tends to be considered selectively, and little attention is paid to spatial dimensions of human-environment relationships. She shows that how we tend to think about environmental concerns often obscure value judgments and constrain more dynamic approaches to human-environment relationships. Environmental geopolitics demonstrates how we can question familiar assumptions to generate more just and creative approaches to our many relationships with the environment.\r\n","author":[{"dropping-particle":"","family":"O'Lear","given":"Shannon","non-dropping-particle":"","parse-names":false,"suffix":""}],"id":"ITEM-1","issued":{"date-parts":[["2018"]]},"number-of-pages":"216","title":"Environmental Geopolitics","type":"book"},"uris":["http://www.mendeley.com/documents/?uuid=59389a53-42d6-3563-9aec-f89f03ab5871"]}],"mendeley":{"formattedCitation":"(O’Lear, 2018)","manualFormatting":"(O’Lear, 2018: 168)","plainTextFormattedCitation":"(O’Lear, 2018)","previouslyFormattedCitation":"(O’Lear, 2018)"},"properties":{"noteIndex":0},"schema":"https://github.com/citation-style-language/schema/raw/master/csl-citation.json"}</w:instrText>
      </w:r>
      <w:r>
        <w:rPr>
          <w:rFonts w:cs="Times New Roman"/>
          <w:sz w:val="22"/>
        </w:rPr>
        <w:fldChar w:fldCharType="separate"/>
      </w:r>
      <w:r w:rsidRPr="00727999">
        <w:rPr>
          <w:rFonts w:cs="Times New Roman"/>
          <w:noProof/>
          <w:sz w:val="22"/>
        </w:rPr>
        <w:t>(O’Lear, 2018</w:t>
      </w:r>
      <w:r>
        <w:rPr>
          <w:rFonts w:cs="Times New Roman"/>
          <w:noProof/>
          <w:sz w:val="22"/>
        </w:rPr>
        <w:t>: 168</w:t>
      </w:r>
      <w:r w:rsidRPr="00727999">
        <w:rPr>
          <w:rFonts w:cs="Times New Roman"/>
          <w:noProof/>
          <w:sz w:val="22"/>
        </w:rPr>
        <w:t>)</w:t>
      </w:r>
      <w:r>
        <w:rPr>
          <w:rFonts w:cs="Times New Roman"/>
          <w:sz w:val="22"/>
        </w:rPr>
        <w:fldChar w:fldCharType="end"/>
      </w:r>
      <w:r>
        <w:rPr>
          <w:rFonts w:cs="Times New Roman"/>
          <w:sz w:val="22"/>
        </w:rPr>
        <w:t xml:space="preserve">. For example, Le Billon and Shykora (2020) examine the environmental geopolitics of commodities, and acknowledge that supply chains are material manifestations of geopolitical discourses. Geopolitical interests and representations of commodities fuelled the expansion of colonialism, and have created political entities and imaginaries such as West Africa’s ‘Ivory Coast’ </w:t>
      </w:r>
      <w:r w:rsidR="00CA293D">
        <w:rPr>
          <w:rFonts w:cs="Times New Roman"/>
          <w:sz w:val="22"/>
        </w:rPr>
        <w:fldChar w:fldCharType="begin" w:fldLock="1"/>
      </w:r>
      <w:r w:rsidR="00D73E60">
        <w:rPr>
          <w:rFonts w:cs="Times New Roman"/>
          <w:sz w:val="22"/>
        </w:rPr>
        <w:instrText>ADDIN CSL_CITATION {"citationItems":[{"id":"ITEM-1","itemData":{"ISBN":"9780415310062","abstract":"2nd ed. Geopolitics identifies and scrutinizes the central features of geopolitics from the sixteenth century to the present, paying close attention to its persisting conceptual underpinnings, novel turns and shifting impacts. Book Cover; Title; Contents; List of illustrations; Acknowledgements; Introduction; Visualizing global space; Turning time into space; A world of territorial states; Pursuing primacy; The three ages of geopolitics; A new age of 'global' geopolitics?; Conclusion; Glossary; Bibliography; Index.","author":[{"dropping-particle":"","family":"Agnew","given":"John A.","non-dropping-particle":"","parse-names":false,"suffix":""}],"id":"ITEM-1","issued":{"date-parts":[["2003"]]},"number-of-pages":"154","publisher":"Routledge","title":"Geopolitics : re-visioning world politics","type":"book"},"uris":["http://www.mendeley.com/documents/?uuid=d7b24175-0ce3-3338-a65d-275d434df80a"]}],"mendeley":{"formattedCitation":"(Agnew, 2003)","plainTextFormattedCitation":"(Agnew, 2003)","previouslyFormattedCitation":"(Agnew, 2003)"},"properties":{"noteIndex":0},"schema":"https://github.com/citation-style-language/schema/raw/master/csl-citation.json"}</w:instrText>
      </w:r>
      <w:r w:rsidR="00CA293D">
        <w:rPr>
          <w:rFonts w:cs="Times New Roman"/>
          <w:sz w:val="22"/>
        </w:rPr>
        <w:fldChar w:fldCharType="separate"/>
      </w:r>
      <w:r w:rsidR="00CA293D" w:rsidRPr="00CA293D">
        <w:rPr>
          <w:rFonts w:cs="Times New Roman"/>
          <w:noProof/>
          <w:sz w:val="22"/>
        </w:rPr>
        <w:t>(Agnew, 2003)</w:t>
      </w:r>
      <w:r w:rsidR="00CA293D">
        <w:rPr>
          <w:rFonts w:cs="Times New Roman"/>
          <w:sz w:val="22"/>
        </w:rPr>
        <w:fldChar w:fldCharType="end"/>
      </w:r>
      <w:r w:rsidR="00CA293D">
        <w:rPr>
          <w:rFonts w:cs="Times New Roman"/>
          <w:sz w:val="22"/>
        </w:rPr>
        <w:t xml:space="preserve"> </w:t>
      </w:r>
      <w:r>
        <w:rPr>
          <w:rFonts w:cs="Times New Roman"/>
          <w:sz w:val="22"/>
        </w:rPr>
        <w:t xml:space="preserve">and the Middle East’s ‘oil curse’ </w:t>
      </w:r>
      <w:r>
        <w:rPr>
          <w:rFonts w:cs="Times New Roman"/>
          <w:sz w:val="22"/>
        </w:rPr>
        <w:fldChar w:fldCharType="begin" w:fldLock="1"/>
      </w:r>
      <w:r>
        <w:rPr>
          <w:rFonts w:cs="Times New Roman"/>
          <w:sz w:val="22"/>
        </w:rPr>
        <w:instrText>ADDIN CSL_CITATION {"citationItems":[{"id":"ITEM-1","itemData":{"DOI":"10.1093/acprof:oso/9780199333462.001.0001","ISBN":"9780199333462","abstract":"and Keywords This chapter presents the major arguments, approach and structure of the book.","author":[{"dropping-particle":"","family":"Billon","given":"Philippe","non-dropping-particle":"Le","parse-names":false,"suffix":""}],"id":"ITEM-1","issued":{"date-parts":[["2014"]]},"title":"Wars of Plunder: Conflicts, Profits and the Politics of Resources Introduction","type":"article-journal"},"uris":["http://www.mendeley.com/documents/?uuid=d5418d48-c585-3845-9e57-d56a96d4e5af"]}],"mendeley":{"formattedCitation":"(Le Billon, 2014)","plainTextFormattedCitation":"(Le Billon, 2014)","previouslyFormattedCitation":"(Le Billon, 2014)"},"properties":{"noteIndex":0},"schema":"https://github.com/citation-style-language/schema/raw/master/csl-citation.json"}</w:instrText>
      </w:r>
      <w:r>
        <w:rPr>
          <w:rFonts w:cs="Times New Roman"/>
          <w:sz w:val="22"/>
        </w:rPr>
        <w:fldChar w:fldCharType="separate"/>
      </w:r>
      <w:r w:rsidRPr="007868C5">
        <w:rPr>
          <w:rFonts w:cs="Times New Roman"/>
          <w:noProof/>
          <w:sz w:val="22"/>
        </w:rPr>
        <w:t>(Le Billon, 2014)</w:t>
      </w:r>
      <w:r>
        <w:rPr>
          <w:rFonts w:cs="Times New Roman"/>
          <w:sz w:val="22"/>
        </w:rPr>
        <w:fldChar w:fldCharType="end"/>
      </w:r>
      <w:r>
        <w:rPr>
          <w:rFonts w:cs="Times New Roman"/>
          <w:sz w:val="22"/>
        </w:rPr>
        <w:t xml:space="preserve">. Le Billon and Shykora suggest the power implications of these material </w:t>
      </w:r>
      <w:r w:rsidR="002B212E">
        <w:rPr>
          <w:rFonts w:cs="Times New Roman"/>
          <w:sz w:val="22"/>
        </w:rPr>
        <w:t>commodity discourses result in “</w:t>
      </w:r>
      <w:r>
        <w:rPr>
          <w:rFonts w:cs="Times New Roman"/>
          <w:sz w:val="22"/>
        </w:rPr>
        <w:t>selective geographies of environmental degradati</w:t>
      </w:r>
      <w:r w:rsidR="002B212E">
        <w:rPr>
          <w:rFonts w:cs="Times New Roman"/>
          <w:sz w:val="22"/>
        </w:rPr>
        <w:t xml:space="preserve">on and resource (in)securities” </w:t>
      </w:r>
      <w:r>
        <w:rPr>
          <w:rFonts w:cs="Times New Roman"/>
          <w:sz w:val="22"/>
        </w:rPr>
        <w:t xml:space="preserve">(2020: 59), which serve to distort global supply chain governance and obfuscate the environmental impacts of resource extraction. They argue that ‘Othered’ spaces are represented in ways that intrinsically associate them </w:t>
      </w:r>
      <w:r>
        <w:rPr>
          <w:rFonts w:cs="Times New Roman"/>
          <w:sz w:val="22"/>
        </w:rPr>
        <w:lastRenderedPageBreak/>
        <w:t xml:space="preserve">with particular commodities that result from their geographies – ‘mineral deposits’ or ‘climate’ – </w:t>
      </w:r>
      <w:r w:rsidR="002B212E">
        <w:rPr>
          <w:rFonts w:cs="Times New Roman"/>
          <w:sz w:val="22"/>
        </w:rPr>
        <w:t>“</w:t>
      </w:r>
      <w:r>
        <w:rPr>
          <w:rFonts w:cs="Times New Roman"/>
          <w:sz w:val="22"/>
        </w:rPr>
        <w:t>rather than as the product of exploitative and racialize</w:t>
      </w:r>
      <w:r w:rsidR="002B212E">
        <w:rPr>
          <w:rFonts w:cs="Times New Roman"/>
          <w:sz w:val="22"/>
        </w:rPr>
        <w:t>d commodity production networks”</w:t>
      </w:r>
      <w:r>
        <w:rPr>
          <w:rFonts w:cs="Times New Roman"/>
          <w:sz w:val="22"/>
        </w:rPr>
        <w:t xml:space="preserve"> (</w:t>
      </w:r>
      <w:r w:rsidRPr="007868C5">
        <w:rPr>
          <w:rFonts w:cs="Times New Roman"/>
          <w:sz w:val="22"/>
        </w:rPr>
        <w:t>Le Billon and Shykora, 2020</w:t>
      </w:r>
      <w:r>
        <w:rPr>
          <w:rFonts w:cs="Times New Roman"/>
          <w:sz w:val="22"/>
        </w:rPr>
        <w:t>: 60). Thus supply chains of commodities such as oil, diamonds, palm oil</w:t>
      </w:r>
      <w:r w:rsidR="002B212E">
        <w:rPr>
          <w:rFonts w:cs="Times New Roman"/>
          <w:sz w:val="22"/>
        </w:rPr>
        <w:t>,</w:t>
      </w:r>
      <w:r>
        <w:rPr>
          <w:rFonts w:cs="Times New Roman"/>
          <w:sz w:val="22"/>
        </w:rPr>
        <w:t xml:space="preserve"> and quinoa are material manifestations of particular environmental-geopoli</w:t>
      </w:r>
      <w:r w:rsidR="002B212E">
        <w:rPr>
          <w:rFonts w:cs="Times New Roman"/>
          <w:sz w:val="22"/>
        </w:rPr>
        <w:t>tical discourses, and show how “</w:t>
      </w:r>
      <w:r>
        <w:rPr>
          <w:rFonts w:cs="Times New Roman"/>
          <w:sz w:val="22"/>
        </w:rPr>
        <w:t>things, artefacts, and physical systems interact with and shape decisions about how physical space wil</w:t>
      </w:r>
      <w:r w:rsidR="002B212E">
        <w:rPr>
          <w:rFonts w:cs="Times New Roman"/>
          <w:sz w:val="22"/>
        </w:rPr>
        <w:t xml:space="preserve">l be used, valued and devalued” </w:t>
      </w:r>
      <w:r>
        <w:rPr>
          <w:rFonts w:cs="Times New Roman"/>
          <w:sz w:val="22"/>
        </w:rPr>
        <w:t xml:space="preserve">(O’Lear, 2018: 16). </w:t>
      </w:r>
    </w:p>
    <w:p w14:paraId="7346BD47" w14:textId="71F0C324" w:rsidR="001139CD" w:rsidRDefault="001139CD" w:rsidP="00250737">
      <w:pPr>
        <w:widowControl w:val="0"/>
        <w:autoSpaceDE w:val="0"/>
        <w:autoSpaceDN w:val="0"/>
        <w:adjustRightInd w:val="0"/>
        <w:ind w:firstLine="720"/>
        <w:rPr>
          <w:rFonts w:cs="Times New Roman"/>
          <w:sz w:val="22"/>
        </w:rPr>
      </w:pPr>
      <w:r>
        <w:rPr>
          <w:rFonts w:cs="Times New Roman"/>
          <w:sz w:val="22"/>
        </w:rPr>
        <w:t>Environmental geopolitical discourse is also witnessed via embodied identities. Lived experiences of space and power are expressed through how bodies are grouped in relation to the en</w:t>
      </w:r>
      <w:r w:rsidR="002B212E">
        <w:rPr>
          <w:rFonts w:cs="Times New Roman"/>
          <w:sz w:val="22"/>
        </w:rPr>
        <w:t>vironment. Identity discourses “</w:t>
      </w:r>
      <w:r>
        <w:rPr>
          <w:rFonts w:cs="Times New Roman"/>
          <w:sz w:val="22"/>
        </w:rPr>
        <w:t>intertwine with how</w:t>
      </w:r>
      <w:r w:rsidR="002B212E">
        <w:rPr>
          <w:rFonts w:cs="Times New Roman"/>
          <w:sz w:val="22"/>
        </w:rPr>
        <w:t xml:space="preserve"> we interpret security and risk”</w:t>
      </w:r>
      <w:r>
        <w:rPr>
          <w:rFonts w:cs="Times New Roman"/>
          <w:sz w:val="22"/>
        </w:rPr>
        <w:t xml:space="preserve"> (O’Lear 2018: 168). This effectively refers to how power is exercised discursively to designate distinct groups as either at risk, or part of the</w:t>
      </w:r>
      <w:r w:rsidR="002B212E">
        <w:rPr>
          <w:rFonts w:cs="Times New Roman"/>
          <w:sz w:val="22"/>
        </w:rPr>
        <w:t xml:space="preserve"> environmental threat. </w:t>
      </w:r>
      <w:r w:rsidR="00825FA1">
        <w:rPr>
          <w:rFonts w:cs="Times New Roman"/>
          <w:sz w:val="22"/>
        </w:rPr>
        <w:t xml:space="preserve">For example, </w:t>
      </w:r>
      <w:r w:rsidR="00825FA1">
        <w:rPr>
          <w:rFonts w:cs="Times New Roman"/>
          <w:sz w:val="22"/>
        </w:rPr>
        <w:fldChar w:fldCharType="begin" w:fldLock="1"/>
      </w:r>
      <w:r w:rsidR="00825FA1">
        <w:rPr>
          <w:rFonts w:cs="Times New Roman"/>
          <w:sz w:val="22"/>
        </w:rPr>
        <w:instrText>ADDIN CSL_CITATION {"citationItems":[{"id":"ITEM-1","itemData":{"DOI":"10.4337/9781788971249.00017","author":[{"dropping-particle":"","family":"Mostafanezhad","given":"Mary","non-dropping-particle":"","parse-names":false,"suffix":""},{"dropping-particle":"","family":"Evrard","given":"Olivier","non-dropping-particle":"","parse-names":false,"suffix":""}],"container-title":"A Research Agenda for Environmental Geopolitics","id":"ITEM-1","issue":"April 2018","issued":{"date-parts":[["2020"]]},"page":"121-135","title":"Environmental geopolitics of rumor: the sociality of uncertainty during northern Thailand’s smoky season","type":"article-journal"},"uris":["http://www.mendeley.com/documents/?uuid=644d1165-f99b-478b-b639-04d7a9e0b75d"]}],"mendeley":{"formattedCitation":"(Mostafanezhad and Evrard, 2020)","manualFormatting":"Mostafanezhad and Evrard (2020)","plainTextFormattedCitation":"(Mostafanezhad and Evrard, 2020)","previouslyFormattedCitation":"(Mostafanezhad and Evrard, 2020)"},"properties":{"noteIndex":0},"schema":"https://github.com/citation-style-language/schema/raw/master/csl-citation.json"}</w:instrText>
      </w:r>
      <w:r w:rsidR="00825FA1">
        <w:rPr>
          <w:rFonts w:cs="Times New Roman"/>
          <w:sz w:val="22"/>
        </w:rPr>
        <w:fldChar w:fldCharType="separate"/>
      </w:r>
      <w:r w:rsidR="00825FA1">
        <w:rPr>
          <w:rFonts w:cs="Times New Roman"/>
          <w:noProof/>
          <w:sz w:val="22"/>
        </w:rPr>
        <w:t>Mostafanezhad and Evrard</w:t>
      </w:r>
      <w:r w:rsidR="00825FA1" w:rsidRPr="0068327C">
        <w:rPr>
          <w:rFonts w:cs="Times New Roman"/>
          <w:noProof/>
          <w:sz w:val="22"/>
        </w:rPr>
        <w:t xml:space="preserve"> </w:t>
      </w:r>
      <w:r w:rsidR="00825FA1">
        <w:rPr>
          <w:rFonts w:cs="Times New Roman"/>
          <w:noProof/>
          <w:sz w:val="22"/>
        </w:rPr>
        <w:t>(</w:t>
      </w:r>
      <w:r w:rsidR="00825FA1" w:rsidRPr="0068327C">
        <w:rPr>
          <w:rFonts w:cs="Times New Roman"/>
          <w:noProof/>
          <w:sz w:val="22"/>
        </w:rPr>
        <w:t>2020)</w:t>
      </w:r>
      <w:r w:rsidR="00825FA1">
        <w:rPr>
          <w:rFonts w:cs="Times New Roman"/>
          <w:sz w:val="22"/>
        </w:rPr>
        <w:fldChar w:fldCharType="end"/>
      </w:r>
      <w:r w:rsidR="00825FA1">
        <w:rPr>
          <w:rFonts w:cs="Times New Roman"/>
          <w:sz w:val="22"/>
        </w:rPr>
        <w:t xml:space="preserve"> show how geopolitical discourses are embodied in the ‘microsocial interactions’ between lowland dwellers and highland farmers, in relation to the uncertain causes of seasonal smoke haze in Northern Thailand. Increasingly, lowland dwellers blame the agricultural burning practices of mobile highland populations for causing the air pollution ‘crisis’. </w:t>
      </w:r>
      <w:r>
        <w:rPr>
          <w:rFonts w:cs="Times New Roman"/>
          <w:sz w:val="22"/>
        </w:rPr>
        <w:t>In the process, highlanders are constructed as a threat to nati</w:t>
      </w:r>
      <w:r w:rsidR="00825FA1">
        <w:rPr>
          <w:rFonts w:cs="Times New Roman"/>
          <w:sz w:val="22"/>
        </w:rPr>
        <w:t>onal and environmental security, which has led to the creation of securitized policies such as burning bans. These policies radically challenge the livelihoods of highlanders and “reinforce historically salient narratives about ‘irresponsible’ highlanders in the region” (</w:t>
      </w:r>
      <w:r w:rsidR="00825FA1">
        <w:rPr>
          <w:rFonts w:cs="Times New Roman"/>
          <w:noProof/>
          <w:sz w:val="22"/>
        </w:rPr>
        <w:t xml:space="preserve">Mostafanezhad &amp; Evrard, 2020: 131). As such, </w:t>
      </w:r>
      <w:r w:rsidR="00825FA1">
        <w:rPr>
          <w:rFonts w:cs="Times New Roman"/>
          <w:sz w:val="22"/>
        </w:rPr>
        <w:t>the designation of responsibility for the haze is “</w:t>
      </w:r>
      <w:r>
        <w:rPr>
          <w:rFonts w:cs="Times New Roman"/>
          <w:sz w:val="22"/>
        </w:rPr>
        <w:t>divid</w:t>
      </w:r>
      <w:r w:rsidR="00825FA1">
        <w:rPr>
          <w:rFonts w:cs="Times New Roman"/>
          <w:sz w:val="22"/>
        </w:rPr>
        <w:t>ed along</w:t>
      </w:r>
      <w:r w:rsidR="00250737">
        <w:rPr>
          <w:rFonts w:cs="Times New Roman"/>
          <w:sz w:val="22"/>
        </w:rPr>
        <w:t xml:space="preserve"> ethnic and class lines” (ibi</w:t>
      </w:r>
      <w:r w:rsidR="00944ACB">
        <w:rPr>
          <w:rFonts w:cs="Times New Roman"/>
          <w:sz w:val="22"/>
        </w:rPr>
        <w:t>d);</w:t>
      </w:r>
      <w:r w:rsidR="00825FA1">
        <w:rPr>
          <w:rFonts w:cs="Times New Roman"/>
          <w:sz w:val="22"/>
        </w:rPr>
        <w:t xml:space="preserve"> </w:t>
      </w:r>
      <w:r>
        <w:rPr>
          <w:rFonts w:cs="Times New Roman"/>
          <w:noProof/>
          <w:sz w:val="22"/>
        </w:rPr>
        <w:t>thereby</w:t>
      </w:r>
      <w:r>
        <w:rPr>
          <w:rFonts w:cs="Times New Roman"/>
          <w:sz w:val="22"/>
        </w:rPr>
        <w:t xml:space="preserve"> pointing to</w:t>
      </w:r>
      <w:r w:rsidR="00825FA1">
        <w:rPr>
          <w:rFonts w:cs="Times New Roman"/>
          <w:sz w:val="22"/>
        </w:rPr>
        <w:t xml:space="preserve"> how geopolitical discourses </w:t>
      </w:r>
      <w:r w:rsidR="00250737">
        <w:rPr>
          <w:rFonts w:cs="Times New Roman"/>
          <w:sz w:val="22"/>
        </w:rPr>
        <w:t xml:space="preserve">are inscribed in embodied ways. </w:t>
      </w:r>
      <w:r>
        <w:rPr>
          <w:rFonts w:cs="Times New Roman"/>
          <w:sz w:val="22"/>
        </w:rPr>
        <w:t>This example forcefully points to how environmental geopolitical relations</w:t>
      </w:r>
      <w:r w:rsidR="00250737">
        <w:rPr>
          <w:rFonts w:cs="Times New Roman"/>
          <w:sz w:val="22"/>
        </w:rPr>
        <w:t xml:space="preserve"> are mediated through the inscription of embodied geopolitic</w:t>
      </w:r>
      <w:r w:rsidR="00944ACB">
        <w:rPr>
          <w:rFonts w:cs="Times New Roman"/>
          <w:sz w:val="22"/>
        </w:rPr>
        <w:t>al discourses, which demarcate difference between</w:t>
      </w:r>
      <w:r w:rsidR="00250737">
        <w:rPr>
          <w:rFonts w:cs="Times New Roman"/>
          <w:sz w:val="22"/>
        </w:rPr>
        <w:t xml:space="preserve"> groups</w:t>
      </w:r>
      <w:r w:rsidR="00944ACB">
        <w:rPr>
          <w:rFonts w:cs="Times New Roman"/>
          <w:sz w:val="22"/>
        </w:rPr>
        <w:t xml:space="preserve"> of actors</w:t>
      </w:r>
      <w:r w:rsidR="00250737">
        <w:rPr>
          <w:rFonts w:cs="Times New Roman"/>
          <w:sz w:val="22"/>
        </w:rPr>
        <w:t>.</w:t>
      </w:r>
    </w:p>
    <w:p w14:paraId="7BD83191" w14:textId="57870B5E" w:rsidR="001139CD" w:rsidRDefault="001139CD" w:rsidP="0040196B">
      <w:pPr>
        <w:widowControl w:val="0"/>
        <w:autoSpaceDE w:val="0"/>
        <w:autoSpaceDN w:val="0"/>
        <w:adjustRightInd w:val="0"/>
        <w:ind w:firstLine="720"/>
        <w:rPr>
          <w:rFonts w:cs="Times New Roman"/>
          <w:sz w:val="22"/>
        </w:rPr>
      </w:pPr>
      <w:r>
        <w:rPr>
          <w:rFonts w:cs="Times New Roman"/>
          <w:sz w:val="22"/>
        </w:rPr>
        <w:t xml:space="preserve">Finally, environmental geopolitics discourses are also </w:t>
      </w:r>
      <w:r w:rsidR="00250737">
        <w:rPr>
          <w:rFonts w:cs="Times New Roman"/>
          <w:sz w:val="22"/>
        </w:rPr>
        <w:t>evident through practices “</w:t>
      </w:r>
      <w:r>
        <w:rPr>
          <w:rFonts w:cs="Times New Roman"/>
          <w:sz w:val="22"/>
        </w:rPr>
        <w:t xml:space="preserve">that implement spatial discourse, resist a spatial discourse, or construct an alternative space to foster a particular </w:t>
      </w:r>
      <w:r w:rsidR="00250737">
        <w:rPr>
          <w:rFonts w:cs="Times New Roman"/>
          <w:sz w:val="22"/>
        </w:rPr>
        <w:t xml:space="preserve">form of activity or resistance” </w:t>
      </w:r>
      <w:r>
        <w:rPr>
          <w:rFonts w:cs="Times New Roman"/>
          <w:sz w:val="22"/>
        </w:rPr>
        <w:t>(O’Lear, 2018: 17-18). Geopolitical discour</w:t>
      </w:r>
      <w:r w:rsidR="00250737">
        <w:rPr>
          <w:rFonts w:cs="Times New Roman"/>
          <w:sz w:val="22"/>
        </w:rPr>
        <w:t>se can therefore be located in “</w:t>
      </w:r>
      <w:r>
        <w:rPr>
          <w:rFonts w:cs="Times New Roman"/>
          <w:sz w:val="22"/>
        </w:rPr>
        <w:t>what people are doing, how they are engaging with or responding to an environmental setting, and the intended as well as unintended</w:t>
      </w:r>
      <w:r w:rsidR="00250737">
        <w:rPr>
          <w:rFonts w:cs="Times New Roman"/>
          <w:sz w:val="22"/>
        </w:rPr>
        <w:t xml:space="preserve"> outcomes of those interactions”</w:t>
      </w:r>
      <w:r>
        <w:rPr>
          <w:rFonts w:cs="Times New Roman"/>
          <w:sz w:val="22"/>
        </w:rPr>
        <w:t xml:space="preserve"> (O’Lear, 2018: 169). Geopolitical discourse as practice is exemplified in </w:t>
      </w:r>
      <w:r w:rsidRPr="0068327C">
        <w:rPr>
          <w:rFonts w:cs="Times New Roman"/>
          <w:sz w:val="22"/>
        </w:rPr>
        <w:t xml:space="preserve">Gray </w:t>
      </w:r>
      <w:r w:rsidRPr="0068327C">
        <w:rPr>
          <w:rFonts w:cs="Times New Roman"/>
          <w:i/>
          <w:sz w:val="22"/>
        </w:rPr>
        <w:t>et al.’s</w:t>
      </w:r>
      <w:r>
        <w:rPr>
          <w:rFonts w:cs="Times New Roman"/>
          <w:sz w:val="22"/>
        </w:rPr>
        <w:t xml:space="preserve"> (2020) discussion of ‘Science, Territory, and the Geopolitics of High Seas conservation’. The authors argue that conservation has been brought under expanding practices of territorialisation in the high seas. They explain that through efforts to define the Sargasso</w:t>
      </w:r>
      <w:r w:rsidR="00250737">
        <w:rPr>
          <w:rFonts w:cs="Times New Roman"/>
          <w:sz w:val="22"/>
        </w:rPr>
        <w:t xml:space="preserve"> Sea in a policy-relevant way, “</w:t>
      </w:r>
      <w:r>
        <w:rPr>
          <w:rFonts w:cs="Times New Roman"/>
          <w:sz w:val="22"/>
        </w:rPr>
        <w:t>actors interested in promoting high seas governance may continue to reproduce</w:t>
      </w:r>
      <w:r w:rsidR="00250737">
        <w:rPr>
          <w:rFonts w:cs="Times New Roman"/>
          <w:sz w:val="22"/>
        </w:rPr>
        <w:t xml:space="preserve"> dominant territorial practices”</w:t>
      </w:r>
      <w:r>
        <w:rPr>
          <w:rFonts w:cs="Times New Roman"/>
          <w:sz w:val="22"/>
        </w:rPr>
        <w:t xml:space="preserve"> (Gray </w:t>
      </w:r>
      <w:r w:rsidRPr="00F95F43">
        <w:rPr>
          <w:rFonts w:cs="Times New Roman"/>
          <w:i/>
          <w:sz w:val="22"/>
        </w:rPr>
        <w:t>et al</w:t>
      </w:r>
      <w:r>
        <w:rPr>
          <w:rFonts w:cs="Times New Roman"/>
          <w:i/>
          <w:sz w:val="22"/>
        </w:rPr>
        <w:t xml:space="preserve">. </w:t>
      </w:r>
      <w:r w:rsidRPr="005F64EA">
        <w:rPr>
          <w:rFonts w:cs="Times New Roman"/>
          <w:sz w:val="22"/>
        </w:rPr>
        <w:t>2020</w:t>
      </w:r>
      <w:r>
        <w:rPr>
          <w:rFonts w:cs="Times New Roman"/>
          <w:sz w:val="22"/>
        </w:rPr>
        <w:t>: 40</w:t>
      </w:r>
      <w:r w:rsidRPr="005F64EA">
        <w:rPr>
          <w:rFonts w:cs="Times New Roman"/>
          <w:sz w:val="22"/>
        </w:rPr>
        <w:t>)</w:t>
      </w:r>
      <w:r w:rsidR="00B941E2">
        <w:rPr>
          <w:rFonts w:cs="Times New Roman"/>
          <w:sz w:val="22"/>
        </w:rPr>
        <w:t xml:space="preserve">. This is despite ostensible </w:t>
      </w:r>
      <w:r>
        <w:rPr>
          <w:rFonts w:cs="Times New Roman"/>
          <w:sz w:val="22"/>
        </w:rPr>
        <w:t xml:space="preserve">efforts to transform the geopolitics of high seas governance </w:t>
      </w:r>
      <w:r w:rsidR="0040196B">
        <w:rPr>
          <w:rFonts w:cs="Times New Roman"/>
          <w:sz w:val="22"/>
        </w:rPr>
        <w:t xml:space="preserve">by seeking to conserve </w:t>
      </w:r>
      <w:r>
        <w:rPr>
          <w:rFonts w:cs="Times New Roman"/>
          <w:sz w:val="22"/>
        </w:rPr>
        <w:t xml:space="preserve">the mobile ecosystem of the Sargasso Sea. </w:t>
      </w:r>
      <w:r w:rsidR="0040196B">
        <w:rPr>
          <w:rFonts w:cs="Times New Roman"/>
          <w:sz w:val="22"/>
        </w:rPr>
        <w:t xml:space="preserve">Instead, </w:t>
      </w:r>
      <w:r>
        <w:rPr>
          <w:rFonts w:cs="Times New Roman"/>
          <w:sz w:val="22"/>
        </w:rPr>
        <w:t xml:space="preserve">the ‘Sargasso Sea Geographical Area of Collaboration’ has been delimited as a clean boundary line strictly located in the high seas, despite the </w:t>
      </w:r>
      <w:r>
        <w:rPr>
          <w:rFonts w:cs="Times New Roman"/>
          <w:sz w:val="22"/>
        </w:rPr>
        <w:lastRenderedPageBreak/>
        <w:t>fact that the ecological reality of this sea is mobile, shifting, and extends ac</w:t>
      </w:r>
      <w:r w:rsidR="00B941E2">
        <w:rPr>
          <w:rFonts w:cs="Times New Roman"/>
          <w:sz w:val="22"/>
        </w:rPr>
        <w:t xml:space="preserve">ross jurisdictional boundaries. </w:t>
      </w:r>
      <w:r>
        <w:rPr>
          <w:rFonts w:cs="Times New Roman"/>
          <w:sz w:val="22"/>
        </w:rPr>
        <w:t>The hegemony and power of classical geopolitical discourse underwrites the territo</w:t>
      </w:r>
      <w:r w:rsidR="00B941E2">
        <w:rPr>
          <w:rFonts w:cs="Times New Roman"/>
          <w:sz w:val="22"/>
        </w:rPr>
        <w:t>rialis</w:t>
      </w:r>
      <w:r>
        <w:rPr>
          <w:rFonts w:cs="Times New Roman"/>
          <w:sz w:val="22"/>
        </w:rPr>
        <w:t>ing practices and implementation of spatial discourse in the high seas, even when that does not fit material realities. This</w:t>
      </w:r>
      <w:r w:rsidR="0040196B">
        <w:rPr>
          <w:rFonts w:cs="Times New Roman"/>
          <w:sz w:val="22"/>
        </w:rPr>
        <w:t xml:space="preserve"> reiterates that practices are “</w:t>
      </w:r>
      <w:r>
        <w:rPr>
          <w:rFonts w:cs="Times New Roman"/>
          <w:sz w:val="22"/>
        </w:rPr>
        <w:t>created and legitimized by particular understandings o</w:t>
      </w:r>
      <w:r w:rsidR="0040196B">
        <w:rPr>
          <w:rFonts w:cs="Times New Roman"/>
          <w:sz w:val="22"/>
        </w:rPr>
        <w:t>f the world”</w:t>
      </w:r>
      <w:r>
        <w:rPr>
          <w:rFonts w:cs="Times New Roman"/>
          <w:sz w:val="22"/>
        </w:rPr>
        <w:t xml:space="preserve"> (O’Lear, 2018: 169) which shape how actors interact with the environment in geopolitical ways. </w:t>
      </w:r>
    </w:p>
    <w:p w14:paraId="2FF293B8" w14:textId="77777777" w:rsidR="001139CD" w:rsidRDefault="001139CD" w:rsidP="001139CD">
      <w:pPr>
        <w:widowControl w:val="0"/>
        <w:autoSpaceDE w:val="0"/>
        <w:autoSpaceDN w:val="0"/>
        <w:adjustRightInd w:val="0"/>
        <w:ind w:firstLine="720"/>
        <w:rPr>
          <w:rFonts w:cs="Times New Roman"/>
          <w:sz w:val="22"/>
        </w:rPr>
      </w:pPr>
      <w:r>
        <w:rPr>
          <w:rFonts w:cs="Times New Roman"/>
          <w:sz w:val="22"/>
        </w:rPr>
        <w:t xml:space="preserve">In this regard, approaches from environmental geopolitics demonstrate that understanding geopolitical discourse as narrative, materiality, embodiment, and practice is a productive way of conceptualising the proliferating means by which human-environment interactions are made geopolitical. A further key theoretical contribution of environmental geopolitics scholarship, is how the research agenda conceptualises scientific knowledge and notions of security and risk, as ‘discourse stabilisers’ (O’Lear, 2018). </w:t>
      </w:r>
    </w:p>
    <w:p w14:paraId="0819C00E" w14:textId="1448D556" w:rsidR="001139CD" w:rsidRDefault="001139CD" w:rsidP="001139CD">
      <w:pPr>
        <w:widowControl w:val="0"/>
        <w:autoSpaceDE w:val="0"/>
        <w:autoSpaceDN w:val="0"/>
        <w:adjustRightInd w:val="0"/>
        <w:ind w:firstLine="720"/>
        <w:rPr>
          <w:rFonts w:cs="Times New Roman"/>
          <w:sz w:val="22"/>
        </w:rPr>
      </w:pPr>
      <w:r>
        <w:rPr>
          <w:rFonts w:cs="Times New Roman"/>
          <w:sz w:val="22"/>
        </w:rPr>
        <w:t>O’Lear (2018) argues that critical attention should be paid to deconstructing how discourses of environmental geopolitics are legitimized, stabilised, and sustained with science, security, and risk. Science is used to present a view of the world as fact. However scientific methods and methodologies are shaped by human subjectivity, and scientific evidence only ever represents a partial view of the world. Thus science is inherently political, but is often deployed as an ostensibly ‘objective’ indicator of a particular phenomenon</w:t>
      </w:r>
      <w:r w:rsidR="0040196B">
        <w:rPr>
          <w:rFonts w:cs="Times New Roman"/>
          <w:sz w:val="22"/>
        </w:rPr>
        <w:t>,</w:t>
      </w:r>
      <w:r>
        <w:rPr>
          <w:rFonts w:cs="Times New Roman"/>
          <w:sz w:val="22"/>
        </w:rPr>
        <w:t xml:space="preserve"> in order to convince people to think and act in particular ways (O’Lear, 2018). As in the case of Sargasso Sea conservation, ‘science’ can be disseminated in reductive and decontextualized ways, which serve to stabilise particular geopolitical </w:t>
      </w:r>
      <w:r w:rsidR="00B941E2">
        <w:rPr>
          <w:rFonts w:cs="Times New Roman"/>
          <w:sz w:val="22"/>
        </w:rPr>
        <w:t>discourses such as territorialis</w:t>
      </w:r>
      <w:r>
        <w:rPr>
          <w:rFonts w:cs="Times New Roman"/>
          <w:sz w:val="22"/>
        </w:rPr>
        <w:t xml:space="preserve">ing practices in the high seas (Gray </w:t>
      </w:r>
      <w:r w:rsidRPr="00B941E2">
        <w:rPr>
          <w:rFonts w:cs="Times New Roman"/>
          <w:i/>
          <w:sz w:val="22"/>
        </w:rPr>
        <w:t>et al</w:t>
      </w:r>
      <w:r>
        <w:rPr>
          <w:rFonts w:cs="Times New Roman"/>
          <w:sz w:val="22"/>
        </w:rPr>
        <w:t xml:space="preserve">., 2020). Environmental geopolitics urges critical questioning of ‘science as fact’, in order to destabilise the assumptions that environmental geopolitics discourses are sustained by; and to consider whose facts, and what alternative facts may be missing from the dominant perspectives. </w:t>
      </w:r>
    </w:p>
    <w:p w14:paraId="005BC6C4" w14:textId="77777777" w:rsidR="0040196B" w:rsidRDefault="0040196B" w:rsidP="001139CD">
      <w:pPr>
        <w:widowControl w:val="0"/>
        <w:autoSpaceDE w:val="0"/>
        <w:autoSpaceDN w:val="0"/>
        <w:adjustRightInd w:val="0"/>
        <w:ind w:firstLine="720"/>
        <w:rPr>
          <w:rFonts w:cs="Times New Roman"/>
          <w:sz w:val="22"/>
        </w:rPr>
      </w:pPr>
      <w:r>
        <w:rPr>
          <w:rFonts w:cs="Times New Roman"/>
          <w:sz w:val="22"/>
        </w:rPr>
        <w:t>Finally, “</w:t>
      </w:r>
      <w:r w:rsidR="001139CD">
        <w:rPr>
          <w:rFonts w:cs="Times New Roman"/>
          <w:sz w:val="22"/>
        </w:rPr>
        <w:t xml:space="preserve">an environmental geopolitics analysis of discourse can be particularly useful when it focuses attention </w:t>
      </w:r>
      <w:r>
        <w:rPr>
          <w:rFonts w:cs="Times New Roman"/>
          <w:sz w:val="22"/>
        </w:rPr>
        <w:t>on notions of risk and security”</w:t>
      </w:r>
      <w:r w:rsidR="001139CD">
        <w:rPr>
          <w:rFonts w:cs="Times New Roman"/>
          <w:sz w:val="22"/>
        </w:rPr>
        <w:t xml:space="preserve"> (O’Lear, 2018: 173)</w:t>
      </w:r>
      <w:r>
        <w:rPr>
          <w:rFonts w:cs="Times New Roman"/>
          <w:sz w:val="22"/>
        </w:rPr>
        <w:t>,</w:t>
      </w:r>
      <w:r w:rsidR="001139CD">
        <w:rPr>
          <w:rFonts w:cs="Times New Roman"/>
          <w:sz w:val="22"/>
        </w:rPr>
        <w:t xml:space="preserve"> as strategies that stabilise discourses. Environmental ge</w:t>
      </w:r>
      <w:r>
        <w:rPr>
          <w:rFonts w:cs="Times New Roman"/>
          <w:sz w:val="22"/>
        </w:rPr>
        <w:t>opolitical discourses mobilise risk and security</w:t>
      </w:r>
      <w:r w:rsidR="001139CD">
        <w:rPr>
          <w:rFonts w:cs="Times New Roman"/>
          <w:sz w:val="22"/>
        </w:rPr>
        <w:t xml:space="preserve"> to identify particular places, groups, and practices as a threat. In doing so, these discourses simultaneously define who, what, or </w:t>
      </w:r>
      <w:r>
        <w:rPr>
          <w:rFonts w:cs="Times New Roman"/>
          <w:sz w:val="22"/>
        </w:rPr>
        <w:t>where needs securing. As such, ‘</w:t>
      </w:r>
      <w:r w:rsidR="001139CD">
        <w:rPr>
          <w:rFonts w:cs="Times New Roman"/>
          <w:sz w:val="22"/>
        </w:rPr>
        <w:t>risk’ and ‘security’ are invoked to justify and stabilise geopolitical interventions and action. Environmental geopolitical analyses therefore stress the need to question the underlying logics of risk and security as they are applied to particular environmental-ge</w:t>
      </w:r>
      <w:r>
        <w:rPr>
          <w:rFonts w:cs="Times New Roman"/>
          <w:sz w:val="22"/>
        </w:rPr>
        <w:t xml:space="preserve">opolitical discourses, asking: </w:t>
      </w:r>
    </w:p>
    <w:p w14:paraId="41E494EC" w14:textId="492CFBC4" w:rsidR="001139CD" w:rsidRDefault="001139CD" w:rsidP="00B941E2">
      <w:pPr>
        <w:pStyle w:val="Quote"/>
      </w:pPr>
      <w:r>
        <w:t>What are the underlying values or goals? Who benefits from this view and where? How do aspects of the environment or environmental features play into this worldview? What is the call to action (or inacti</w:t>
      </w:r>
      <w:r w:rsidR="0040196B">
        <w:t>on) embedded in this discourse?</w:t>
      </w:r>
      <w:r>
        <w:t xml:space="preserve"> (O’Lear, 2018: 173). </w:t>
      </w:r>
    </w:p>
    <w:p w14:paraId="793200E4" w14:textId="77777777" w:rsidR="001139CD" w:rsidRPr="001139CD" w:rsidRDefault="001139CD" w:rsidP="001139CD">
      <w:pPr>
        <w:pStyle w:val="Heading3"/>
      </w:pPr>
      <w:bookmarkStart w:id="19" w:name="_Toc453224192"/>
      <w:r w:rsidRPr="001139CD">
        <w:lastRenderedPageBreak/>
        <w:t>2.1.2 Geopolitical Ecology</w:t>
      </w:r>
      <w:bookmarkEnd w:id="19"/>
      <w:r w:rsidRPr="001139CD">
        <w:t xml:space="preserve"> </w:t>
      </w:r>
    </w:p>
    <w:p w14:paraId="0E591EE5" w14:textId="5EBCC344" w:rsidR="001139CD" w:rsidRDefault="001139CD" w:rsidP="001139CD">
      <w:pPr>
        <w:widowControl w:val="0"/>
        <w:autoSpaceDE w:val="0"/>
        <w:autoSpaceDN w:val="0"/>
        <w:adjustRightInd w:val="0"/>
        <w:rPr>
          <w:rFonts w:cs="Times New Roman"/>
          <w:sz w:val="22"/>
        </w:rPr>
      </w:pPr>
      <w:r w:rsidRPr="005D0B8C">
        <w:rPr>
          <w:rFonts w:cs="Times New Roman"/>
          <w:sz w:val="22"/>
        </w:rPr>
        <w:t xml:space="preserve">In a similar vein to environmental geopolitics, geopolitical ecology has only recently emerged as a term to signify efforts to organise a coherent sub-discipline and intellectual project. </w:t>
      </w:r>
      <w:r>
        <w:rPr>
          <w:rFonts w:cs="Times New Roman"/>
          <w:sz w:val="22"/>
        </w:rPr>
        <w:t xml:space="preserve">Proponents of geopolitical ecology recognise that the approach has various precursors and is new only in name </w:t>
      </w:r>
      <w:r>
        <w:rPr>
          <w:rFonts w:cs="Times New Roman"/>
          <w:sz w:val="22"/>
        </w:rPr>
        <w:fldChar w:fldCharType="begin" w:fldLock="1"/>
      </w:r>
      <w:r w:rsidR="007F33AB">
        <w:rPr>
          <w:rFonts w:cs="Times New Roman"/>
          <w:sz w:val="22"/>
        </w:rPr>
        <w:instrText>ADDIN CSL_CITATION {"citationItems":[{"id":"ITEM-1","itemData":{"DOI":"10.1080/00045608.2010.538323","ISSN":"1467-8306","author":[{"dropping-particle":"","family":"Sundberg","given":"Juanita","non-dropping-particle":"","parse-names":false,"suffix":""}],"container-title":"Annals of the Association of American Geographers","id":"ITEM-1","issue":"2","issued":{"date-parts":[["2011"]]},"page":"318-336","title":"Diabolic Caminos in the Desert and Cat Fights on the Río: A Posthumanist Political Ecology of Boundary Enforcement in the United States-Mexico Borderlands","type":"article-journal","volume":"101"},"uris":["http://www.mendeley.com/documents/?uuid=87d9fcca-b3b4-33ea-a05b-75f0deb6179a"]},{"id":"ITEM-2","itemData":{"DOI":"10.1016/J.POLGEO.2017.03.006","ISSN":"0962-6298","author":[{"dropping-particle":"","family":"Harris","given":"Leila M.","non-dropping-particle":"","parse-names":false,"suffix":""}],"container-title":"Political Geography","id":"ITEM-2","issued":{"date-parts":[["2017","5","1"]]},"page":"90-92","publisher":"Pergamon","title":"Political ecologies of the state: Recent interventions and questions going forward","type":"article-journal","volume":"58"},"uris":["http://www.mendeley.com/documents/?uuid=3cea8f60-b0d5-3906-ae79-af1b5ce22c86"]},{"id":"ITEM-3","itemData":{"DOI":"10.1080/14650045.2010.493777","ISSN":"1557-3028","author":[{"dropping-particle":"","family":"Rossiter","given":"David A","non-dropping-particle":"","parse-names":false,"suffix":""}],"container-title":"Geopolitics","id":"ITEM-3","issue":"1","issued":{"date-parts":[["2011"]]},"page":"107-120","title":"Leave the Lemons at Home: Towards a Political Ecology of Border Space","type":"article-journal","volume":"16"},"uris":["http://www.mendeley.com/documents/?uuid=7caf6e1e-92bb-30d9-b103-620c383fba89"]},{"id":"ITEM-4","itemData":{"DOI":"10.1016/j.polgeo.2016.11.012","ISSN":"09626298","author":[{"dropping-particle":"","family":"Ramutsindela","given":"Maano","non-dropping-particle":"","parse-names":false,"suffix":""}],"container-title":"Political Geography","id":"ITEM-4","issued":{"date-parts":[["2017"]]},"page":"106-113","publisher":"Elsevier Ltd","title":"Greening Africa's borderlands: The symbiotic politics of land and borders in peace parks","type":"article-journal","volume":"56"},"uris":["http://www.mendeley.com/documents/?uuid=a360ce81-b9f5-4d9d-bb15-7181df307865"]},{"id":"ITEM-5","itemData":{"DOI":"10.1080/14650045.2014.920232","ISSN":"15573028","abstract":"This paper draws from research on small-scale maize production in Mexico's Central Highland region to discuss the geopolitical implications of everyday agricultural practices. An overwhelming majority of maize farmers in this region, as well as in the country more broadly, continue to cultivate locally adapted maize varieties they have bred themselves - criollo maize is the vernacular term - despite decades of concerted government attempts to effect the widespread adoption of commercially bred and licensed hybrid varieties. This state effort to restructure agricultural systems and food security according to nationalist and capitalist priorities is one tactic in a long and violent struggle for control over peasant land and labour in Mexico. By integrating feminist scholarship in geopolitics and in political ecology, I am following the lead of geographers who regard the materialities of everyday life as a foundation for political tensions and conflicts that are constantly unfolding along intersecting lines of difference. Though geopolitics has rarely turned its attention directly to theories of intimate socio-ecological relations, I argue that the field has much analytical and political leverage to gain by engaging with political ecology, and that feminist geographic imaginaries provide a crucial space in which to do so. This approach allows for an analysis of how a dominant geopolitics of land and agriculture is being undermined through the routine production of criollo maize, revealing new potential for creating broad political alliances with social movements that are currently working toward alternative visions of agriculture and food security. © Taylor &amp; Francis Group, LLC.","author":[{"dropping-particle":"","family":"Mullaney","given":"Emma Gaalaas","non-dropping-particle":"","parse-names":false,"suffix":""}],"container-title":"Geopolitics","id":"ITEM-5","issue":"2","issued":{"date-parts":[["2014"]]},"page":"406-430","publisher":"Routledge","title":"Geopolitical Maize: Peasant Seeds, Everyday Practices, and Food Security in Mexico","type":"article-journal","volume":"19"},"uris":["http://www.mendeley.com/documents/?uuid=50dac149-d485-49f1-85cb-6b8c11ac0439"]},{"id":"ITEM-6","itemData":{"ISBN":"9781781683934","abstract":"Machines of democracy -- The prize from fairyland -- Consent of the governed -- Mechanisms of goodwill -- Fuel economy -- Sabotage -- The crisis that never happened -- McJihad.","author":[{"dropping-particle":"","family":"Mitchell","given":"Timothy","non-dropping-particle":"","parse-names":false,"suffix":""}],"id":"ITEM-6","issued":{"date-parts":[["2013"]]},"number-of-pages":"224","title":"Carbon democracy : political power in the age of oil","type":"book"},"uris":["http://www.mendeley.com/documents/?uuid=5b587a60-3007-3284-ba19-f456fbb8a5f7"]},{"id":"ITEM-7","itemData":{"DOI":"10.1080/00045608.2011.560064","ISSN":"00045608","abstract":"We examine the significance of a specific type of political violence-counterinsurgency-in the making of political forests, providing a link between literatures on the political ecology of forests and the geographies of war. During the Cold War, particularly between the 1950s and the end of the 1970s, natures were remade in relation to nation-states in part through engagements with \"insurgencies\" and \"emergencies\" staged from forested territories. These insurgencies represented alternative civilizing projects to those of the nascent nation-states; they also took place in historical moments and sites where the reach of centrifically focused nations was still tentative. We argue that war, insurgency, and counterinsurgency helped normalize political forests as components of the modern nation-state during and in the aftermath of violence. The political violence also enabled state-based forestry to expand under the rubric of scientific forestry. Military counterinsurgency operations contributed to the practical and political separation of forests and agriculture, furthered and created newly racialized state forests and citizen-subjects, and facilitated the transfer of technologies to forestry departments. The crisis rhetoric of environmental security around \"jungles,\" as dangerous spaces peopled with suspect populations, particularly near international borders, articulated with conservation and other national security discourses that emerged concurrently. Counterinsurgency measures thus strengthened the territorial power and reach of national states by extending its political forests. © 2011 by Association of American Geographers.","author":[{"dropping-particle":"","family":"Peluso","given":"Nancy Lee","non-dropping-particle":"","parse-names":false,"suffix":""},{"dropping-particle":"","family":"Vandergeest","given":"Peter","non-dropping-particle":"","parse-names":false,"suffix":""}],"container-title":"Annals of the Association of American Geographers","id":"ITEM-7","issue":"3","issued":{"date-parts":[["2011"]]},"page":"587-608","title":"Political ecologies of war and forests: Counterinsurgencies and the making of national natures","type":"article-journal","volume":"101"},"uris":["http://www.mendeley.com/documents/?uuid=8a142c83-98ab-4caf-b32a-61c351af0ca8"]},{"id":"ITEM-8","itemData":{"DOI":"10.1007/BF00993352","ISSN":"03042421","author":[{"dropping-particle":"","family":"Vandergeest","given":"Peter","non-dropping-particle":"","parse-names":false,"suffix":""},{"dropping-particle":"","family":"Peluso","given":"Nancy Lee","non-dropping-particle":"","parse-names":false,"suffix":""}],"container-title":"Theory and Society","id":"ITEM-8","issue":"3","issued":{"date-parts":[["1995"]]},"page":"385-426","title":"Territorialization and state power in Thailand","type":"article-journal","volume":"24"},"uris":["http://www.mendeley.com/documents/?uuid=9045e492-e445-478a-82d5-215739384f56"]}],"mendeley":{"formattedCitation":"(Vandergeest and Peluso, 1995; Peluso and Vandergeest, 2011; Rossiter, 2011; Sundberg, 2011; Mitchell, 2013; Mullaney, 2014; Harris, 2017; Ramutsindela, 2017)","plainTextFormattedCitation":"(Vandergeest and Peluso, 1995; Peluso and Vandergeest, 2011; Rossiter, 2011; Sundberg, 2011; Mitchell, 2013; Mullaney, 2014; Harris, 2017; Ramutsindela, 2017)","previouslyFormattedCitation":"(Vandergeest and Peluso, 1995; Peluso and Vandergeest, 2011; Rossiter, 2011; Sundberg, 2011; Mitchell, 2013; Mullaney, 2014; Harris, 2017; Ramutsindela, 2017)"},"properties":{"noteIndex":0},"schema":"https://github.com/citation-style-language/schema/raw/master/csl-citation.json"}</w:instrText>
      </w:r>
      <w:r>
        <w:rPr>
          <w:rFonts w:cs="Times New Roman"/>
          <w:sz w:val="22"/>
        </w:rPr>
        <w:fldChar w:fldCharType="separate"/>
      </w:r>
      <w:r w:rsidR="00D73E60" w:rsidRPr="00D73E60">
        <w:rPr>
          <w:rFonts w:cs="Times New Roman"/>
          <w:noProof/>
          <w:sz w:val="22"/>
        </w:rPr>
        <w:t>(Vandergeest and Peluso, 1995; Peluso and Vandergeest, 2011; Rossiter, 2011; Sundberg, 2011; Mitchell, 2013; Mullaney, 2014; Harris, 2017; Ramutsindela, 2017)</w:t>
      </w:r>
      <w:r>
        <w:rPr>
          <w:rFonts w:cs="Times New Roman"/>
          <w:sz w:val="22"/>
        </w:rPr>
        <w:fldChar w:fldCharType="end"/>
      </w:r>
      <w:r>
        <w:rPr>
          <w:rFonts w:cs="Times New Roman"/>
          <w:sz w:val="22"/>
        </w:rPr>
        <w:t>. The current efforts to codify geopolitical ecology as a c</w:t>
      </w:r>
      <w:r w:rsidR="00D73E60">
        <w:rPr>
          <w:rFonts w:cs="Times New Roman"/>
          <w:sz w:val="22"/>
        </w:rPr>
        <w:t>onceptual framework is seen as “timely”</w:t>
      </w:r>
      <w:r>
        <w:rPr>
          <w:rFonts w:cs="Times New Roman"/>
          <w:sz w:val="22"/>
        </w:rPr>
        <w:t xml:space="preserve"> </w:t>
      </w:r>
      <w:r>
        <w:rPr>
          <w:rFonts w:cs="Times New Roman"/>
          <w:sz w:val="22"/>
        </w:rPr>
        <w:fldChar w:fldCharType="begin" w:fldLock="1"/>
      </w:r>
      <w:r w:rsidR="00EC7F7E">
        <w:rPr>
          <w:rFonts w:cs="Times New Roman"/>
          <w:sz w:val="22"/>
        </w:rPr>
        <w:instrText>ADDIN CSL_CITATION {"citationItems":[{"id":"ITEM-1","itemData":{"DOI":"10.1111/tran.12319","ISSN":"14755661","abstract":"This paper examines the US military's impact on climate by analysing the geopolitical ecology of its global logistical supply chains. Our geopolitical ecology framework interrogates the material-ecological metabolic flows (hydrocarbon-based fuels, water, sand, concrete) that shape geopolitical and geoeconomic power relations. We argue that to account for the US military as a major climate actor, one must understand the logistical supply chain that makes its acquisition and consumption of hydrocarbon-based fuels possible. Our paper focuses on the US Defense Logistics Agency – Energy (DLA-E), a large yet virtually unresearched sub-agency within the US Department of Defense. The DLA-E is the primary purchase-point for hydrocarbon-based fuels for the US military, as well as a powerful actor in the global oil market. After outlining our geopolitical ecology approach, we detail the scope of the DLA-E's operations, its supply chain, bureaucratic practices, and the physical infrastructure that facilitates the US military's consumption of hydro-based carbons on a global scale. We show several “path dependencies” – warfighting paradigms, weapons systems, bureaucratic requirements, and waste – that are put in place by military supply chains and undergird a heavy reliance on carbon-based fuels by the US military for years to come. The paper, based on comprehensive records of bulk fuel purchases we have gathered from DLA-E through Freedom of Information Act requests, represents a partial yet robust picture of the geopolitical ecology of American imperialism.","author":[{"dropping-particle":"","family":"Belcher","given":"Oliver","non-dropping-particle":"","parse-names":false,"suffix":""},{"dropping-particle":"","family":"Bigger","given":"Patrick","non-dropping-particle":"","parse-names":false,"suffix":""},{"dropping-particle":"","family":"Neimark","given":"Ben","non-dropping-particle":"","parse-names":false,"suffix":""},{"dropping-particle":"","family":"Kennelly","given":"Cara","non-dropping-particle":"","parse-names":false,"suffix":""}],"container-title":"Transactions of the Institute of British Geographers","id":"ITEM-1","issue":"May","issued":{"date-parts":[["2019"]]},"page":"1-16","title":"Hidden carbon costs of the “everywhere war”: Logistics, geopolitical ecology, and the carbon boot-print of the US military","type":"article-journal"},"uris":["http://www.mendeley.com/documents/?uuid=8269da4a-ff8f-4dd0-9952-fd48160f3b55"]}],"mendeley":{"formattedCitation":"(Belcher &lt;i&gt;et al.&lt;/i&gt;, 2019)","manualFormatting":"(Belcher et al., 2019: 3)","plainTextFormattedCitation":"(Belcher et al., 2019)","previouslyFormattedCitation":"(Belcher &lt;i&gt;et al.&lt;/i&gt;, 2019)"},"properties":{"noteIndex":0},"schema":"https://github.com/citation-style-language/schema/raw/master/csl-citation.json"}</w:instrText>
      </w:r>
      <w:r>
        <w:rPr>
          <w:rFonts w:cs="Times New Roman"/>
          <w:sz w:val="22"/>
        </w:rPr>
        <w:fldChar w:fldCharType="separate"/>
      </w:r>
      <w:r w:rsidRPr="007B2269">
        <w:rPr>
          <w:rFonts w:cs="Times New Roman"/>
          <w:noProof/>
          <w:sz w:val="22"/>
        </w:rPr>
        <w:t xml:space="preserve">(Belcher </w:t>
      </w:r>
      <w:r w:rsidRPr="007B2269">
        <w:rPr>
          <w:rFonts w:cs="Times New Roman"/>
          <w:i/>
          <w:noProof/>
          <w:sz w:val="22"/>
        </w:rPr>
        <w:t>et al.</w:t>
      </w:r>
      <w:r w:rsidRPr="007B2269">
        <w:rPr>
          <w:rFonts w:cs="Times New Roman"/>
          <w:noProof/>
          <w:sz w:val="22"/>
        </w:rPr>
        <w:t>, 2019</w:t>
      </w:r>
      <w:r>
        <w:rPr>
          <w:rFonts w:cs="Times New Roman"/>
          <w:noProof/>
          <w:sz w:val="22"/>
        </w:rPr>
        <w:t>: 3</w:t>
      </w:r>
      <w:r w:rsidRPr="007B2269">
        <w:rPr>
          <w:rFonts w:cs="Times New Roman"/>
          <w:noProof/>
          <w:sz w:val="22"/>
        </w:rPr>
        <w:t>)</w:t>
      </w:r>
      <w:r>
        <w:rPr>
          <w:rFonts w:cs="Times New Roman"/>
          <w:sz w:val="22"/>
        </w:rPr>
        <w:fldChar w:fldCharType="end"/>
      </w:r>
      <w:r>
        <w:rPr>
          <w:rFonts w:cs="Times New Roman"/>
          <w:sz w:val="22"/>
        </w:rPr>
        <w:t xml:space="preserve"> given the proliferating ways in which the environment is becoming a heightened concern and arena for geopolitical activity. This intellectual project focuses on bringing together political ecology and critical geopolitics to analyse issues of environmental change that have been</w:t>
      </w:r>
      <w:r w:rsidR="00D73E60">
        <w:rPr>
          <w:rFonts w:cs="Times New Roman"/>
          <w:sz w:val="22"/>
        </w:rPr>
        <w:t xml:space="preserve"> “</w:t>
      </w:r>
      <w:r w:rsidRPr="005D0B8C">
        <w:rPr>
          <w:rFonts w:cs="Times New Roman"/>
          <w:sz w:val="22"/>
        </w:rPr>
        <w:t>influenced by militaries or broader national secur</w:t>
      </w:r>
      <w:r w:rsidR="00D73E60">
        <w:rPr>
          <w:rFonts w:cs="Times New Roman"/>
          <w:sz w:val="22"/>
        </w:rPr>
        <w:t xml:space="preserve">ity institutions or imperatives” </w:t>
      </w:r>
      <w:r w:rsidRPr="005D0B8C">
        <w:rPr>
          <w:rFonts w:cs="Times New Roman"/>
          <w:sz w:val="22"/>
        </w:rPr>
        <w:fldChar w:fldCharType="begin" w:fldLock="1"/>
      </w:r>
      <w:r w:rsidR="00EC7F7E">
        <w:rPr>
          <w:rFonts w:cs="Times New Roman"/>
          <w:sz w:val="22"/>
        </w:rPr>
        <w:instrText>ADDIN CSL_CITATION {"citationItems":[{"id":"ITEM-1","itemData":{"DOI":"10.1016/J.POLGEO.2017.03.007","ISSN":"0962-6298","abstract":"The United States military is treating climate change as a crucial factor in its preparation for future conflicts. This concern manifests not only in strategic planning and forward-looking documents, but also in building infrastructural capacity and material provision. Yet, the impetus to ‘green’ the military goes beyond the deployment of existing technologies. We examine several facets of the military's role as an environmental actor, particularly through its promotion of the US Navy's ‘Great Green Fleet’ (GGF), which actively supports the development of advanced biofuels by subsidizing their development and facilitating wider marketization. The GGF promises to reduce military reliance on conventional fossil fuels and reconfigure its energy sourcing, thus reducing dependence on imported hydrocarbons; this is with an eye towards ultimately severing the logistical relationship between existing energy infrastructures and the spaces of military intervention. Taking an integrated lens of political ecology and geopolitics - ‘geopolitical ecology’ - we seek to provide an understanding of the production of weaponized nature. We demonstrate that the US military's discursive use of climate change to justify the provision of new military hardware and advanced biofuels promotes a vision of resource conflicts to support the development of technologies to overcome the constraints to delivery of fuel to emergent front lines. We argue that while this may appear to be militarized greenwashing, it signals a shift in the logics and practices of fuel sourcing driven by a dystopian vision of climate change, which the US military played a significant role in creating.","author":[{"dropping-particle":"","family":"Bigger","given":"Patrick","non-dropping-particle":"","parse-names":false,"suffix":""},{"dropping-particle":"","family":"Neimark","given":"Benjamin D.","non-dropping-particle":"","parse-names":false,"suffix":""}],"container-title":"Political Geography","id":"ITEM-1","issued":{"date-parts":[["2017","9","1"]]},"page":"13-22","publisher":"Pergamon","title":"Weaponizing nature: The geopolitical ecology of the US Navy’s biofuel program","type":"article-journal","volume":"60"},"uris":["http://www.mendeley.com/documents/?uuid=284b1a67-7602-3066-a25f-5d25723549cc"]}],"mendeley":{"formattedCitation":"(Bigger and Neimark, 2017)","manualFormatting":"(Bigger &amp; Neimark, 2017: 14)","plainTextFormattedCitation":"(Bigger and Neimark, 2017)","previouslyFormattedCitation":"(Bigger and Neimark, 2017)"},"properties":{"noteIndex":0},"schema":"https://github.com/citation-style-language/schema/raw/master/csl-citation.json"}</w:instrText>
      </w:r>
      <w:r w:rsidRPr="005D0B8C">
        <w:rPr>
          <w:rFonts w:cs="Times New Roman"/>
          <w:sz w:val="22"/>
        </w:rPr>
        <w:fldChar w:fldCharType="separate"/>
      </w:r>
      <w:r w:rsidRPr="005D0B8C">
        <w:rPr>
          <w:rFonts w:cs="Times New Roman"/>
          <w:noProof/>
          <w:sz w:val="22"/>
        </w:rPr>
        <w:t>(Bigger &amp; Neimark, 2017: 14)</w:t>
      </w:r>
      <w:r w:rsidRPr="005D0B8C">
        <w:rPr>
          <w:rFonts w:cs="Times New Roman"/>
          <w:sz w:val="22"/>
        </w:rPr>
        <w:fldChar w:fldCharType="end"/>
      </w:r>
      <w:r w:rsidRPr="005D0B8C">
        <w:rPr>
          <w:rFonts w:cs="Times New Roman"/>
          <w:sz w:val="22"/>
        </w:rPr>
        <w:t>.</w:t>
      </w:r>
    </w:p>
    <w:p w14:paraId="3A42E48B" w14:textId="77777777" w:rsidR="00D73E60" w:rsidRDefault="001139CD" w:rsidP="00D73E60">
      <w:pPr>
        <w:widowControl w:val="0"/>
        <w:autoSpaceDE w:val="0"/>
        <w:autoSpaceDN w:val="0"/>
        <w:adjustRightInd w:val="0"/>
        <w:rPr>
          <w:rFonts w:cs="Times New Roman"/>
          <w:sz w:val="22"/>
        </w:rPr>
      </w:pPr>
      <w:r w:rsidRPr="005D0B8C">
        <w:rPr>
          <w:rFonts w:cs="Times New Roman"/>
          <w:sz w:val="22"/>
        </w:rPr>
        <w:t>Bigger &amp; Neimark have championed the development of geopolitic</w:t>
      </w:r>
      <w:r w:rsidR="00D73E60">
        <w:rPr>
          <w:rFonts w:cs="Times New Roman"/>
          <w:sz w:val="22"/>
        </w:rPr>
        <w:t>al ecology, and define it as a:</w:t>
      </w:r>
    </w:p>
    <w:p w14:paraId="2F4FD508" w14:textId="2A283A71" w:rsidR="00D73E60" w:rsidRDefault="00B941E2" w:rsidP="00D73E60">
      <w:pPr>
        <w:pStyle w:val="Quote"/>
      </w:pPr>
      <w:r>
        <w:t>C</w:t>
      </w:r>
      <w:r w:rsidR="001139CD" w:rsidRPr="005D0B8C">
        <w:t>onceptual framework that combines the strengths of political ecology with those of geopolitics in order to account for, and gain a deeper understanding of the role of large geopolitical institutions, like the US military</w:t>
      </w:r>
      <w:r w:rsidR="00D73E60">
        <w:t xml:space="preserve">, in environmental change </w:t>
      </w:r>
      <w:r w:rsidR="001139CD">
        <w:t>(2017:14</w:t>
      </w:r>
      <w:r w:rsidR="001139CD" w:rsidRPr="005D0B8C">
        <w:t>)</w:t>
      </w:r>
      <w:r w:rsidR="001139CD">
        <w:t xml:space="preserve">. </w:t>
      </w:r>
    </w:p>
    <w:p w14:paraId="0C02F89B" w14:textId="6EA301D7" w:rsidR="001139CD" w:rsidRDefault="001139CD" w:rsidP="00D73E60">
      <w:pPr>
        <w:widowControl w:val="0"/>
        <w:autoSpaceDE w:val="0"/>
        <w:autoSpaceDN w:val="0"/>
        <w:adjustRightInd w:val="0"/>
        <w:rPr>
          <w:rFonts w:cs="Times New Roman"/>
          <w:sz w:val="22"/>
        </w:rPr>
      </w:pPr>
      <w:r>
        <w:rPr>
          <w:rFonts w:cs="Times New Roman"/>
          <w:sz w:val="22"/>
        </w:rPr>
        <w:t>To this extent, geopolitical ecology combines politi</w:t>
      </w:r>
      <w:r w:rsidR="00D73E60">
        <w:rPr>
          <w:rFonts w:cs="Times New Roman"/>
          <w:sz w:val="22"/>
        </w:rPr>
        <w:t>cal ecology’s attention to how “</w:t>
      </w:r>
      <w:r>
        <w:rPr>
          <w:rFonts w:cs="Times New Roman"/>
          <w:sz w:val="22"/>
        </w:rPr>
        <w:t>themes of scale, inequality, power, and even the state</w:t>
      </w:r>
      <w:r w:rsidR="00D73E60">
        <w:rPr>
          <w:rFonts w:cs="Times New Roman"/>
          <w:sz w:val="22"/>
        </w:rPr>
        <w:t>”</w:t>
      </w:r>
      <w:r>
        <w:rPr>
          <w:rFonts w:cs="Times New Roman"/>
          <w:sz w:val="22"/>
        </w:rPr>
        <w:t xml:space="preserve"> </w:t>
      </w:r>
      <w:r>
        <w:rPr>
          <w:rFonts w:cs="Times New Roman"/>
          <w:sz w:val="22"/>
        </w:rPr>
        <w:fldChar w:fldCharType="begin" w:fldLock="1"/>
      </w:r>
      <w:r w:rsidR="00EC7F7E">
        <w:rPr>
          <w:rFonts w:cs="Times New Roman"/>
          <w:sz w:val="22"/>
        </w:rPr>
        <w:instrText>ADDIN CSL_CITATION {"citationItems":[{"id":"ITEM-1","itemData":{"DOI":"10.1016/J.POLGEO.2017.03.006","ISSN":"0962-6298","author":[{"dropping-particle":"","family":"Harris","given":"Leila M.","non-dropping-particle":"","parse-names":false,"suffix":""}],"container-title":"Political Geography","id":"ITEM-1","issued":{"date-parts":[["2017","5","1"]]},"page":"90-92","publisher":"Pergamon","title":"Political ecologies of the state: Recent interventions and questions going forward","type":"article-journal","volume":"58"},"uris":["http://www.mendeley.com/documents/?uuid=3cea8f60-b0d5-3906-ae79-af1b5ce22c86"]}],"mendeley":{"formattedCitation":"(Harris, 2017)","manualFormatting":"(Harris, 2017: 90)","plainTextFormattedCitation":"(Harris, 2017)","previouslyFormattedCitation":"(Harris, 2017)"},"properties":{"noteIndex":0},"schema":"https://github.com/citation-style-language/schema/raw/master/csl-citation.json"}</w:instrText>
      </w:r>
      <w:r>
        <w:rPr>
          <w:rFonts w:cs="Times New Roman"/>
          <w:sz w:val="22"/>
        </w:rPr>
        <w:fldChar w:fldCharType="separate"/>
      </w:r>
      <w:r w:rsidRPr="00B02FF3">
        <w:rPr>
          <w:rFonts w:cs="Times New Roman"/>
          <w:noProof/>
          <w:sz w:val="22"/>
        </w:rPr>
        <w:t>(Harris, 2017</w:t>
      </w:r>
      <w:r>
        <w:rPr>
          <w:rFonts w:cs="Times New Roman"/>
          <w:noProof/>
          <w:sz w:val="22"/>
        </w:rPr>
        <w:t>: 90</w:t>
      </w:r>
      <w:r w:rsidRPr="00B02FF3">
        <w:rPr>
          <w:rFonts w:cs="Times New Roman"/>
          <w:noProof/>
          <w:sz w:val="22"/>
        </w:rPr>
        <w:t>)</w:t>
      </w:r>
      <w:r>
        <w:rPr>
          <w:rFonts w:cs="Times New Roman"/>
          <w:sz w:val="22"/>
        </w:rPr>
        <w:fldChar w:fldCharType="end"/>
      </w:r>
      <w:r>
        <w:rPr>
          <w:rFonts w:cs="Times New Roman"/>
          <w:sz w:val="22"/>
        </w:rPr>
        <w:t xml:space="preserve"> are encapsulated in human-environment relations; and critical geopolitics’ attention to </w:t>
      </w:r>
      <w:r w:rsidR="00D73E60">
        <w:rPr>
          <w:rFonts w:cs="Times New Roman"/>
          <w:sz w:val="22"/>
        </w:rPr>
        <w:t>“</w:t>
      </w:r>
      <w:r>
        <w:rPr>
          <w:rFonts w:cs="Times New Roman"/>
          <w:sz w:val="22"/>
        </w:rPr>
        <w:t>the discursive-material co-constitution of global institutional geopolitics</w:t>
      </w:r>
      <w:r w:rsidR="00D73E60">
        <w:rPr>
          <w:rFonts w:cs="Times New Roman"/>
          <w:sz w:val="22"/>
        </w:rPr>
        <w:t>”</w:t>
      </w:r>
      <w:r>
        <w:rPr>
          <w:rFonts w:cs="Times New Roman"/>
          <w:sz w:val="22"/>
        </w:rPr>
        <w:t xml:space="preserve"> (Bigger &amp; Neimark, 2017: 14) via processes of statecraft, foreign policy, and territorialisation. As such, geopolitical ecology examines how nature, conservation</w:t>
      </w:r>
      <w:r w:rsidR="00D73E60">
        <w:rPr>
          <w:rFonts w:cs="Times New Roman"/>
          <w:sz w:val="22"/>
        </w:rPr>
        <w:t>,</w:t>
      </w:r>
      <w:r>
        <w:rPr>
          <w:rFonts w:cs="Times New Roman"/>
          <w:sz w:val="22"/>
        </w:rPr>
        <w:t xml:space="preserve"> and resource manage</w:t>
      </w:r>
      <w:r w:rsidR="00D73E60">
        <w:rPr>
          <w:rFonts w:cs="Times New Roman"/>
          <w:sz w:val="22"/>
        </w:rPr>
        <w:t>ment are increasingly situated “</w:t>
      </w:r>
      <w:r>
        <w:rPr>
          <w:rFonts w:cs="Times New Roman"/>
          <w:sz w:val="22"/>
        </w:rPr>
        <w:t>as central tools – and sites of inquiry – in the contemporary politics of boundary making and the geographical extensio</w:t>
      </w:r>
      <w:r w:rsidR="00D73E60">
        <w:rPr>
          <w:rFonts w:cs="Times New Roman"/>
          <w:sz w:val="22"/>
        </w:rPr>
        <w:t>n, or limitation of state power”</w:t>
      </w:r>
      <w:r>
        <w:rPr>
          <w:rFonts w:cs="Times New Roman"/>
          <w:sz w:val="22"/>
        </w:rPr>
        <w:t xml:space="preserve"> </w:t>
      </w:r>
      <w:r>
        <w:rPr>
          <w:rFonts w:cs="Times New Roman"/>
          <w:sz w:val="22"/>
        </w:rPr>
        <w:fldChar w:fldCharType="begin" w:fldLock="1"/>
      </w:r>
      <w:r>
        <w:rPr>
          <w:rFonts w:cs="Times New Roman"/>
          <w:sz w:val="22"/>
        </w:rPr>
        <w:instrText>ADDIN CSL_CITATION {"citationItems":[{"id":"ITEM-1","itemData":{"DOI":"10.1080/24694452.2018.1446820","ISSN":"2469-4452","author":[{"dropping-particle":"","family":"Havice","given":"Elizabeth","non-dropping-particle":"","parse-names":false,"suffix":""}],"container-title":"Annals of the American Association of Geographers","id":"ITEM-1","issue":"5","issued":{"date-parts":[["2018","9","3"]]},"page":"1280-1297","title":"Unsettled Sovereignty and the Sea: Mobilities and More-Than-Territorial Configurations of State Power","type":"article-journal","volume":"108"},"uris":["http://www.mendeley.com/documents/?uuid=6680a181-1bce-3aa3-a2b2-0b30f361edeb"]}],"mendeley":{"formattedCitation":"(Havice, 2018)","manualFormatting":"(Havice, 2018:3)","plainTextFormattedCitation":"(Havice, 2018)","previouslyFormattedCitation":"(Havice, 2018)"},"properties":{"noteIndex":0},"schema":"https://github.com/citation-style-language/schema/raw/master/csl-citation.json"}</w:instrText>
      </w:r>
      <w:r>
        <w:rPr>
          <w:rFonts w:cs="Times New Roman"/>
          <w:sz w:val="22"/>
        </w:rPr>
        <w:fldChar w:fldCharType="separate"/>
      </w:r>
      <w:r w:rsidRPr="00EB3067">
        <w:rPr>
          <w:rFonts w:cs="Times New Roman"/>
          <w:noProof/>
          <w:sz w:val="22"/>
        </w:rPr>
        <w:t>(Havice, 2018</w:t>
      </w:r>
      <w:r>
        <w:rPr>
          <w:rFonts w:cs="Times New Roman"/>
          <w:noProof/>
          <w:sz w:val="22"/>
        </w:rPr>
        <w:t>:3</w:t>
      </w:r>
      <w:r w:rsidRPr="00EB3067">
        <w:rPr>
          <w:rFonts w:cs="Times New Roman"/>
          <w:noProof/>
          <w:sz w:val="22"/>
        </w:rPr>
        <w:t>)</w:t>
      </w:r>
      <w:r>
        <w:rPr>
          <w:rFonts w:cs="Times New Roman"/>
          <w:sz w:val="22"/>
        </w:rPr>
        <w:fldChar w:fldCharType="end"/>
      </w:r>
      <w:r>
        <w:rPr>
          <w:rFonts w:cs="Times New Roman"/>
          <w:sz w:val="22"/>
        </w:rPr>
        <w:t>. Put simply, geopolitical ecology seeks to interrogate the manner in w</w:t>
      </w:r>
      <w:r w:rsidR="00D73E60">
        <w:rPr>
          <w:rFonts w:cs="Times New Roman"/>
          <w:sz w:val="22"/>
        </w:rPr>
        <w:t>hich geopolitical institutions “</w:t>
      </w:r>
      <w:r>
        <w:rPr>
          <w:rFonts w:cs="Times New Roman"/>
          <w:sz w:val="22"/>
        </w:rPr>
        <w:t xml:space="preserve">define, control, </w:t>
      </w:r>
      <w:r w:rsidR="00D73E60">
        <w:rPr>
          <w:rFonts w:cs="Times New Roman"/>
          <w:sz w:val="22"/>
        </w:rPr>
        <w:t>and manage nature”</w:t>
      </w:r>
      <w:r>
        <w:rPr>
          <w:rFonts w:cs="Times New Roman"/>
          <w:sz w:val="22"/>
        </w:rPr>
        <w:t xml:space="preserve"> (Bigger &amp; Neimark, 2017: 20) as a way of consolidating, defending, or challenging the exte</w:t>
      </w:r>
      <w:r w:rsidR="00B941E2">
        <w:rPr>
          <w:rFonts w:cs="Times New Roman"/>
          <w:sz w:val="22"/>
        </w:rPr>
        <w:t xml:space="preserve">nsion of sovereign, territorial, </w:t>
      </w:r>
      <w:r>
        <w:rPr>
          <w:rFonts w:cs="Times New Roman"/>
          <w:sz w:val="22"/>
        </w:rPr>
        <w:t xml:space="preserve">or economic power. </w:t>
      </w:r>
    </w:p>
    <w:p w14:paraId="69081BBC" w14:textId="76CAD8B8" w:rsidR="001139CD" w:rsidRPr="005D0B8C" w:rsidRDefault="001139CD" w:rsidP="001139CD">
      <w:pPr>
        <w:widowControl w:val="0"/>
        <w:autoSpaceDE w:val="0"/>
        <w:autoSpaceDN w:val="0"/>
        <w:adjustRightInd w:val="0"/>
        <w:ind w:firstLine="720"/>
        <w:rPr>
          <w:rFonts w:cs="Times New Roman"/>
          <w:sz w:val="22"/>
        </w:rPr>
      </w:pPr>
      <w:r w:rsidRPr="005D0B8C">
        <w:rPr>
          <w:rFonts w:cs="Times New Roman"/>
          <w:sz w:val="22"/>
        </w:rPr>
        <w:t xml:space="preserve">In many ways, geopolitical ecology builds on environmental geopolitics – even if not explicitly framed as such. The deconstruction of ‘geostrategic’ discourses (Bigger &amp; Neimark, 2017) and the disentangling of </w:t>
      </w:r>
      <w:r>
        <w:rPr>
          <w:rFonts w:cs="Times New Roman"/>
          <w:sz w:val="22"/>
        </w:rPr>
        <w:t xml:space="preserve">the </w:t>
      </w:r>
      <w:r w:rsidRPr="005D0B8C">
        <w:rPr>
          <w:rFonts w:cs="Times New Roman"/>
          <w:sz w:val="22"/>
        </w:rPr>
        <w:t xml:space="preserve">notions of security and risk that are wrapped up in these discourses, is central to emerging work in geopolitical ecology. </w:t>
      </w:r>
      <w:r>
        <w:rPr>
          <w:rFonts w:cs="Times New Roman"/>
          <w:sz w:val="22"/>
        </w:rPr>
        <w:t xml:space="preserve">However, geopolitical ecology makes a number of important theoretical contributions that are rooted in its political ecology foundations. For example, where </w:t>
      </w:r>
      <w:r w:rsidRPr="005D0B8C">
        <w:rPr>
          <w:rFonts w:cs="Times New Roman"/>
          <w:sz w:val="22"/>
        </w:rPr>
        <w:t xml:space="preserve">environmental geopolitics approaches examine how geopolitical discourse is variably enacted </w:t>
      </w:r>
      <w:r w:rsidRPr="005D0B8C">
        <w:rPr>
          <w:rFonts w:cs="Times New Roman"/>
          <w:i/>
          <w:sz w:val="22"/>
        </w:rPr>
        <w:t xml:space="preserve">onto </w:t>
      </w:r>
      <w:r w:rsidRPr="005D0B8C">
        <w:rPr>
          <w:rFonts w:cs="Times New Roman"/>
          <w:sz w:val="22"/>
        </w:rPr>
        <w:t>environmental features in order to produce and sustain a particular worldview and/or spatial configuration of power; a key contri</w:t>
      </w:r>
      <w:r>
        <w:rPr>
          <w:rFonts w:cs="Times New Roman"/>
          <w:sz w:val="22"/>
        </w:rPr>
        <w:t>bution of geopolitical ecology</w:t>
      </w:r>
      <w:r w:rsidRPr="005D0B8C">
        <w:rPr>
          <w:rFonts w:cs="Times New Roman"/>
          <w:sz w:val="22"/>
        </w:rPr>
        <w:t xml:space="preserve"> is foregrounding how ‘ecology’ is materially incorporated</w:t>
      </w:r>
      <w:r w:rsidRPr="005D0B8C">
        <w:rPr>
          <w:rFonts w:cs="Times New Roman"/>
          <w:i/>
          <w:sz w:val="22"/>
        </w:rPr>
        <w:t xml:space="preserve"> into</w:t>
      </w:r>
      <w:r w:rsidRPr="005D0B8C">
        <w:rPr>
          <w:rFonts w:cs="Times New Roman"/>
          <w:sz w:val="22"/>
        </w:rPr>
        <w:t xml:space="preserve"> geopolitical strategies and interventions. For example </w:t>
      </w:r>
      <w:r w:rsidRPr="005D0B8C">
        <w:rPr>
          <w:rFonts w:cs="Times New Roman"/>
          <w:sz w:val="22"/>
        </w:rPr>
        <w:fldChar w:fldCharType="begin" w:fldLock="1"/>
      </w:r>
      <w:r w:rsidR="00EC7F7E">
        <w:rPr>
          <w:rFonts w:cs="Times New Roman"/>
          <w:sz w:val="22"/>
        </w:rPr>
        <w:instrText>ADDIN CSL_CITATION {"citationItems":[{"id":"ITEM-1","itemData":{"DOI":"10.1111/tran.12319","ISSN":"14755661","abstract":"This paper examines the US military's impact on climate by analysing the geopolitical ecology of its global logistical supply chains. Our geopolitical ecology framework interrogates the material-ecological metabolic flows (hydrocarbon-based fuels, water, sand, concrete) that shape geopolitical and geoeconomic power relations. We argue that to account for the US military as a major climate actor, one must understand the logistical supply chain that makes its acquisition and consumption of hydrocarbon-based fuels possible. Our paper focuses on the US Defense Logistics Agency – Energy (DLA-E), a large yet virtually unresearched sub-agency within the US Department of Defense. The DLA-E is the primary purchase-point for hydrocarbon-based fuels for the US military, as well as a powerful actor in the global oil market. After outlining our geopolitical ecology approach, we detail the scope of the DLA-E's operations, its supply chain, bureaucratic practices, and the physical infrastructure that facilitates the US military's consumption of hydro-based carbons on a global scale. We show several “path dependencies” – warfighting paradigms, weapons systems, bureaucratic requirements, and waste – that are put in place by military supply chains and undergird a heavy reliance on carbon-based fuels by the US military for years to come. The paper, based on comprehensive records of bulk fuel purchases we have gathered from DLA-E through Freedom of Information Act requests, represents a partial yet robust picture of the geopolitical ecology of American imperialism.","author":[{"dropping-particle":"","family":"Belcher","given":"Oliver","non-dropping-particle":"","parse-names":false,"suffix":""},{"dropping-particle":"","family":"Bigger","given":"Patrick","non-dropping-particle":"","parse-names":false,"suffix":""},{"dropping-particle":"","family":"Neimark","given":"Ben","non-dropping-particle":"","parse-names":false,"suffix":""},{"dropping-particle":"","family":"Kennelly","given":"Cara","non-dropping-particle":"","parse-names":false,"suffix":""}],"container-title":"Transactions of the Institute of British Geographers","id":"ITEM-1","issue":"May","issued":{"date-parts":[["2019"]]},"page":"1-16","title":"Hidden carbon costs of the “everywhere war”: Logistics, geopolitical ecology, and the carbon boot-print of the US military","type":"article-journal"},"uris":["http://www.mendeley.com/documents/?uuid=8269da4a-ff8f-4dd0-9952-fd48160f3b55"]}],"mendeley":{"formattedCitation":"(Belcher &lt;i&gt;et al.&lt;/i&gt;, 2019)","manualFormatting":"Belcher et al., (2019)","plainTextFormattedCitation":"(Belcher et al., 2019)","previouslyFormattedCitation":"(Belcher &lt;i&gt;et al.&lt;/i&gt;, 2019)"},"properties":{"noteIndex":0},"schema":"https://github.com/citation-style-language/schema/raw/master/csl-citation.json"}</w:instrText>
      </w:r>
      <w:r w:rsidRPr="005D0B8C">
        <w:rPr>
          <w:rFonts w:cs="Times New Roman"/>
          <w:sz w:val="22"/>
        </w:rPr>
        <w:fldChar w:fldCharType="separate"/>
      </w:r>
      <w:r w:rsidRPr="005D0B8C">
        <w:rPr>
          <w:rFonts w:cs="Times New Roman"/>
          <w:noProof/>
          <w:sz w:val="22"/>
        </w:rPr>
        <w:t xml:space="preserve">Belcher </w:t>
      </w:r>
      <w:r w:rsidRPr="005D0B8C">
        <w:rPr>
          <w:rFonts w:cs="Times New Roman"/>
          <w:i/>
          <w:noProof/>
          <w:sz w:val="22"/>
        </w:rPr>
        <w:t>et al.</w:t>
      </w:r>
      <w:r w:rsidRPr="005D0B8C">
        <w:rPr>
          <w:rFonts w:cs="Times New Roman"/>
          <w:noProof/>
          <w:sz w:val="22"/>
        </w:rPr>
        <w:t>, (2019)</w:t>
      </w:r>
      <w:r w:rsidRPr="005D0B8C">
        <w:rPr>
          <w:rFonts w:cs="Times New Roman"/>
          <w:sz w:val="22"/>
        </w:rPr>
        <w:fldChar w:fldCharType="end"/>
      </w:r>
      <w:r w:rsidRPr="005D0B8C">
        <w:rPr>
          <w:rFonts w:cs="Times New Roman"/>
          <w:sz w:val="22"/>
        </w:rPr>
        <w:t xml:space="preserve"> examine the material-ecological metabolic flows of hydrocarbon fuels, water, sand, and concrete in fuelling and shaping the US military’s geopolitical and geoeconomic activities</w:t>
      </w:r>
      <w:r>
        <w:rPr>
          <w:rFonts w:cs="Times New Roman"/>
          <w:sz w:val="22"/>
        </w:rPr>
        <w:t xml:space="preserve">. </w:t>
      </w:r>
      <w:r w:rsidRPr="005D0B8C">
        <w:rPr>
          <w:rFonts w:cs="Times New Roman"/>
          <w:sz w:val="22"/>
        </w:rPr>
        <w:t xml:space="preserve">This </w:t>
      </w:r>
      <w:r w:rsidRPr="005D0B8C">
        <w:rPr>
          <w:rFonts w:cs="Times New Roman"/>
          <w:sz w:val="22"/>
        </w:rPr>
        <w:lastRenderedPageBreak/>
        <w:t xml:space="preserve">examination touches </w:t>
      </w:r>
      <w:r>
        <w:rPr>
          <w:rFonts w:cs="Times New Roman"/>
          <w:sz w:val="22"/>
        </w:rPr>
        <w:t>up</w:t>
      </w:r>
      <w:r w:rsidRPr="005D0B8C">
        <w:rPr>
          <w:rFonts w:cs="Times New Roman"/>
          <w:sz w:val="22"/>
        </w:rPr>
        <w:t xml:space="preserve">on how US military institutions intervene into environmental issues by mobilising discourses around the ‘threat’ of climate change (see also Bigger &amp; Neimark, 2017); but also points to how their consumption of nature is inherently geopolitical and produces an excessive ‘carbon boot-print’ that ironically exacerbates </w:t>
      </w:r>
      <w:r w:rsidR="00892374">
        <w:rPr>
          <w:rFonts w:cs="Times New Roman"/>
          <w:sz w:val="22"/>
        </w:rPr>
        <w:t xml:space="preserve">global </w:t>
      </w:r>
      <w:r w:rsidRPr="005D0B8C">
        <w:rPr>
          <w:rFonts w:cs="Times New Roman"/>
          <w:sz w:val="22"/>
        </w:rPr>
        <w:t>climate insecurity</w:t>
      </w:r>
      <w:r>
        <w:rPr>
          <w:rFonts w:cs="Times New Roman"/>
          <w:sz w:val="22"/>
        </w:rPr>
        <w:t xml:space="preserve"> </w:t>
      </w:r>
      <w:r>
        <w:rPr>
          <w:rFonts w:cs="Times New Roman"/>
          <w:sz w:val="22"/>
        </w:rPr>
        <w:fldChar w:fldCharType="begin" w:fldLock="1"/>
      </w:r>
      <w:r w:rsidR="00EC7F7E">
        <w:rPr>
          <w:rFonts w:cs="Times New Roman"/>
          <w:sz w:val="22"/>
        </w:rPr>
        <w:instrText>ADDIN CSL_CITATION {"citationItems":[{"id":"ITEM-1","itemData":{"DOI":"10.1111/tran.12319","ISSN":"14755661","abstract":"This paper examines the US military's impact on climate by analysing the geopolitical ecology of its global logistical supply chains. Our geopolitical ecology framework interrogates the material-ecological metabolic flows (hydrocarbon-based fuels, water, sand, concrete) that shape geopolitical and geoeconomic power relations. We argue that to account for the US military as a major climate actor, one must understand the logistical supply chain that makes its acquisition and consumption of hydrocarbon-based fuels possible. Our paper focuses on the US Defense Logistics Agency – Energy (DLA-E), a large yet virtually unresearched sub-agency within the US Department of Defense. The DLA-E is the primary purchase-point for hydrocarbon-based fuels for the US military, as well as a powerful actor in the global oil market. After outlining our geopolitical ecology approach, we detail the scope of the DLA-E's operations, its supply chain, bureaucratic practices, and the physical infrastructure that facilitates the US military's consumption of hydro-based carbons on a global scale. We show several “path dependencies” – warfighting paradigms, weapons systems, bureaucratic requirements, and waste – that are put in place by military supply chains and undergird a heavy reliance on carbon-based fuels by the US military for years to come. The paper, based on comprehensive records of bulk fuel purchases we have gathered from DLA-E through Freedom of Information Act requests, represents a partial yet robust picture of the geopolitical ecology of American imperialism.","author":[{"dropping-particle":"","family":"Belcher","given":"Oliver","non-dropping-particle":"","parse-names":false,"suffix":""},{"dropping-particle":"","family":"Bigger","given":"Patrick","non-dropping-particle":"","parse-names":false,"suffix":""},{"dropping-particle":"","family":"Neimark","given":"Ben","non-dropping-particle":"","parse-names":false,"suffix":""},{"dropping-particle":"","family":"Kennelly","given":"Cara","non-dropping-particle":"","parse-names":false,"suffix":""}],"container-title":"Transactions of the Institute of British Geographers","id":"ITEM-1","issue":"May","issued":{"date-parts":[["2019"]]},"page":"1-16","title":"Hidden carbon costs of the “everywhere war”: Logistics, geopolitical ecology, and the carbon boot-print of the US military","type":"article-journal"},"uris":["http://www.mendeley.com/documents/?uuid=8269da4a-ff8f-4dd0-9952-fd48160f3b55"]}],"mendeley":{"formattedCitation":"(Belcher &lt;i&gt;et al.&lt;/i&gt;, 2019)","plainTextFormattedCitation":"(Belcher et al., 2019)","previouslyFormattedCitation":"(Belcher &lt;i&gt;et al.&lt;/i&gt;, 2019)"},"properties":{"noteIndex":0},"schema":"https://github.com/citation-style-language/schema/raw/master/csl-citation.json"}</w:instrText>
      </w:r>
      <w:r>
        <w:rPr>
          <w:rFonts w:cs="Times New Roman"/>
          <w:sz w:val="22"/>
        </w:rPr>
        <w:fldChar w:fldCharType="separate"/>
      </w:r>
      <w:r w:rsidR="00042533" w:rsidRPr="00042533">
        <w:rPr>
          <w:rFonts w:cs="Times New Roman"/>
          <w:noProof/>
          <w:sz w:val="22"/>
        </w:rPr>
        <w:t xml:space="preserve">(Belcher </w:t>
      </w:r>
      <w:r w:rsidR="00042533" w:rsidRPr="00042533">
        <w:rPr>
          <w:rFonts w:cs="Times New Roman"/>
          <w:i/>
          <w:noProof/>
          <w:sz w:val="22"/>
        </w:rPr>
        <w:t>et al.</w:t>
      </w:r>
      <w:r w:rsidR="00042533" w:rsidRPr="00042533">
        <w:rPr>
          <w:rFonts w:cs="Times New Roman"/>
          <w:noProof/>
          <w:sz w:val="22"/>
        </w:rPr>
        <w:t>, 2019)</w:t>
      </w:r>
      <w:r>
        <w:rPr>
          <w:rFonts w:cs="Times New Roman"/>
          <w:sz w:val="22"/>
        </w:rPr>
        <w:fldChar w:fldCharType="end"/>
      </w:r>
      <w:r w:rsidRPr="005D0B8C">
        <w:rPr>
          <w:rFonts w:cs="Times New Roman"/>
          <w:sz w:val="22"/>
        </w:rPr>
        <w:t>. Thus, the emphasis on ‘ecology’ in geopolitical ecology is important</w:t>
      </w:r>
      <w:r w:rsidR="00892374">
        <w:rPr>
          <w:rFonts w:cs="Times New Roman"/>
          <w:sz w:val="22"/>
        </w:rPr>
        <w:t xml:space="preserve"> as it orients the focus of analyses to</w:t>
      </w:r>
      <w:r w:rsidRPr="005D0B8C">
        <w:rPr>
          <w:rFonts w:cs="Times New Roman"/>
          <w:sz w:val="22"/>
        </w:rPr>
        <w:t xml:space="preserve"> how certain ‘threats’ </w:t>
      </w:r>
      <w:r w:rsidRPr="005D0B8C">
        <w:rPr>
          <w:rFonts w:cs="Times New Roman"/>
          <w:i/>
          <w:sz w:val="22"/>
        </w:rPr>
        <w:t>to</w:t>
      </w:r>
      <w:r w:rsidRPr="005D0B8C">
        <w:rPr>
          <w:rFonts w:cs="Times New Roman"/>
          <w:sz w:val="22"/>
        </w:rPr>
        <w:t xml:space="preserve"> nature, and </w:t>
      </w:r>
      <w:r w:rsidRPr="005D0B8C">
        <w:rPr>
          <w:rFonts w:cs="Times New Roman"/>
          <w:i/>
          <w:sz w:val="22"/>
        </w:rPr>
        <w:t>from</w:t>
      </w:r>
      <w:r w:rsidRPr="005D0B8C">
        <w:rPr>
          <w:rFonts w:cs="Times New Roman"/>
          <w:sz w:val="22"/>
        </w:rPr>
        <w:t xml:space="preserve"> nature, shape foreign policy efforts; as well as highlighting how geopolitical dynamics have material implications for nature and the way it is used and managed </w:t>
      </w:r>
      <w:r w:rsidRPr="005D0B8C">
        <w:rPr>
          <w:rFonts w:cs="Times New Roman"/>
          <w:sz w:val="22"/>
        </w:rPr>
        <w:fldChar w:fldCharType="begin" w:fldLock="1"/>
      </w:r>
      <w:r w:rsidR="007F33AB">
        <w:rPr>
          <w:rFonts w:cs="Times New Roman"/>
          <w:sz w:val="22"/>
        </w:rPr>
        <w:instrText>ADDIN CSL_CITATION {"citationItems":[{"id":"ITEM-1","itemData":{"author":[{"dropping-particle":"","family":"Massé","given":"Francis;","non-dropping-particle":"","parse-names":false,"suffix":""},{"dropping-particle":"","family":"Margulies","given":"Jared D.","non-dropping-particle":"","parse-names":false,"suffix":""}],"id":"ITEM-1","issued":{"date-parts":[["2020"]]},"page":"1-55","title":"---Secretary of State Hillary Clinton, Remarks at the Partnership Meeting on Wildlife Trafficking, 08/11/2012 1.","type":"article-journal"},"uris":["http://www.mendeley.com/documents/?uuid=76723a76-0b90-4a52-b43d-d54ce134bf3a"]}],"mendeley":{"formattedCitation":"(Francis; Massé and Margulies, 2020)","manualFormatting":"(Massé &amp; Margulies, 2020)","plainTextFormattedCitation":"(Francis; Massé and Margulies, 2020)","previouslyFormattedCitation":"(Francis; Massé and Margulies, 2020)"},"properties":{"noteIndex":0},"schema":"https://github.com/citation-style-language/schema/raw/master/csl-citation.json"}</w:instrText>
      </w:r>
      <w:r w:rsidRPr="005D0B8C">
        <w:rPr>
          <w:rFonts w:cs="Times New Roman"/>
          <w:sz w:val="22"/>
        </w:rPr>
        <w:fldChar w:fldCharType="separate"/>
      </w:r>
      <w:r w:rsidRPr="005D0B8C">
        <w:rPr>
          <w:rFonts w:cs="Times New Roman"/>
          <w:noProof/>
          <w:sz w:val="22"/>
        </w:rPr>
        <w:t xml:space="preserve">(Massé &amp; Margulies, </w:t>
      </w:r>
      <w:r w:rsidR="00510F43" w:rsidRPr="00510F43">
        <w:rPr>
          <w:rFonts w:cs="Times New Roman"/>
          <w:noProof/>
          <w:sz w:val="22"/>
        </w:rPr>
        <w:t>2020</w:t>
      </w:r>
      <w:r w:rsidRPr="005D0B8C">
        <w:rPr>
          <w:rFonts w:cs="Times New Roman"/>
          <w:noProof/>
          <w:sz w:val="22"/>
        </w:rPr>
        <w:t>)</w:t>
      </w:r>
      <w:r w:rsidRPr="005D0B8C">
        <w:rPr>
          <w:rFonts w:cs="Times New Roman"/>
          <w:sz w:val="22"/>
        </w:rPr>
        <w:fldChar w:fldCharType="end"/>
      </w:r>
      <w:r w:rsidRPr="005D0B8C">
        <w:rPr>
          <w:rFonts w:cs="Times New Roman"/>
          <w:sz w:val="22"/>
        </w:rPr>
        <w:t xml:space="preserve">. </w:t>
      </w:r>
    </w:p>
    <w:p w14:paraId="5EE8F0E5" w14:textId="77777777" w:rsidR="00892374" w:rsidRDefault="001139CD" w:rsidP="00510F43">
      <w:pPr>
        <w:widowControl w:val="0"/>
        <w:autoSpaceDE w:val="0"/>
        <w:autoSpaceDN w:val="0"/>
        <w:adjustRightInd w:val="0"/>
        <w:ind w:firstLine="720"/>
        <w:rPr>
          <w:rFonts w:cs="Times New Roman"/>
          <w:sz w:val="22"/>
        </w:rPr>
      </w:pPr>
      <w:r w:rsidRPr="005D0B8C">
        <w:rPr>
          <w:rFonts w:cs="Times New Roman"/>
          <w:sz w:val="22"/>
        </w:rPr>
        <w:t xml:space="preserve">A further key contribution of geopolitical ecology </w:t>
      </w:r>
      <w:r>
        <w:rPr>
          <w:rFonts w:cs="Times New Roman"/>
          <w:sz w:val="22"/>
        </w:rPr>
        <w:t>scholarship - which is rooted in the theoretical foundations of political ecology - is the emphasis that is</w:t>
      </w:r>
      <w:r w:rsidRPr="005D0B8C">
        <w:rPr>
          <w:rFonts w:cs="Times New Roman"/>
          <w:sz w:val="22"/>
        </w:rPr>
        <w:t xml:space="preserve"> placed upon</w:t>
      </w:r>
      <w:r>
        <w:rPr>
          <w:rFonts w:cs="Times New Roman"/>
          <w:sz w:val="22"/>
        </w:rPr>
        <w:t xml:space="preserve"> interrogating</w:t>
      </w:r>
      <w:r w:rsidRPr="005D0B8C">
        <w:rPr>
          <w:rFonts w:cs="Times New Roman"/>
          <w:sz w:val="22"/>
        </w:rPr>
        <w:t xml:space="preserve"> the inequitable distribution of environmental impacts produced by geopolitical and geoeconomic interventions. Whilst environmental geopolitics goes some way to examine who benefits from particular geopolitical discourses, O’Lear</w:t>
      </w:r>
      <w:r>
        <w:rPr>
          <w:rFonts w:cs="Times New Roman"/>
          <w:sz w:val="22"/>
        </w:rPr>
        <w:t xml:space="preserve"> </w:t>
      </w:r>
      <w:r w:rsidRPr="005D0B8C">
        <w:rPr>
          <w:rFonts w:cs="Times New Roman"/>
          <w:sz w:val="22"/>
        </w:rPr>
        <w:t>recognises that perhaps less attention has been given to examining where the wellbeing of people, species</w:t>
      </w:r>
      <w:r>
        <w:rPr>
          <w:rFonts w:cs="Times New Roman"/>
          <w:sz w:val="22"/>
        </w:rPr>
        <w:t>,</w:t>
      </w:r>
      <w:r w:rsidR="00510F43">
        <w:rPr>
          <w:rFonts w:cs="Times New Roman"/>
          <w:sz w:val="22"/>
        </w:rPr>
        <w:t xml:space="preserve"> or ecosystems will “</w:t>
      </w:r>
      <w:r w:rsidRPr="005D0B8C">
        <w:rPr>
          <w:rFonts w:cs="Times New Roman"/>
          <w:sz w:val="22"/>
        </w:rPr>
        <w:t>be re</w:t>
      </w:r>
      <w:r w:rsidR="00510F43">
        <w:rPr>
          <w:rFonts w:cs="Times New Roman"/>
          <w:sz w:val="22"/>
        </w:rPr>
        <w:t>ndered less robust or worse off”</w:t>
      </w:r>
      <w:r w:rsidRPr="005D0B8C">
        <w:rPr>
          <w:rFonts w:cs="Times New Roman"/>
          <w:sz w:val="22"/>
        </w:rPr>
        <w:t xml:space="preserve">, as a result of the material impacts of geopolitical discourses around environmental change (2018: 172-173). </w:t>
      </w:r>
    </w:p>
    <w:p w14:paraId="771CFBCC" w14:textId="06C3166A" w:rsidR="001139CD" w:rsidRDefault="001139CD" w:rsidP="00510F43">
      <w:pPr>
        <w:widowControl w:val="0"/>
        <w:autoSpaceDE w:val="0"/>
        <w:autoSpaceDN w:val="0"/>
        <w:adjustRightInd w:val="0"/>
        <w:ind w:firstLine="720"/>
        <w:rPr>
          <w:rFonts w:cs="Times New Roman"/>
          <w:sz w:val="22"/>
        </w:rPr>
      </w:pPr>
      <w:r w:rsidRPr="005D0B8C">
        <w:rPr>
          <w:rFonts w:cs="Times New Roman"/>
          <w:sz w:val="22"/>
        </w:rPr>
        <w:t xml:space="preserve">Geopolitical ecology is well placed </w:t>
      </w:r>
      <w:r>
        <w:rPr>
          <w:rFonts w:cs="Times New Roman"/>
          <w:sz w:val="22"/>
        </w:rPr>
        <w:t xml:space="preserve">to conduct such in-depth examinations of the multi-scalar </w:t>
      </w:r>
      <w:r w:rsidRPr="005D0B8C">
        <w:rPr>
          <w:rFonts w:cs="Times New Roman"/>
          <w:sz w:val="22"/>
        </w:rPr>
        <w:t>environmental inequalities pr</w:t>
      </w:r>
      <w:r>
        <w:rPr>
          <w:rFonts w:cs="Times New Roman"/>
          <w:sz w:val="22"/>
        </w:rPr>
        <w:t>oduced by geopolitical dynamics</w:t>
      </w:r>
      <w:r w:rsidRPr="005D0B8C">
        <w:rPr>
          <w:rFonts w:cs="Times New Roman"/>
          <w:sz w:val="22"/>
        </w:rPr>
        <w:t xml:space="preserve">. </w:t>
      </w:r>
      <w:r>
        <w:rPr>
          <w:rFonts w:cs="Times New Roman"/>
          <w:sz w:val="22"/>
        </w:rPr>
        <w:t xml:space="preserve">Mullaney’s (2014) work does not self-identify as geopolitical ecology, </w:t>
      </w:r>
      <w:r w:rsidR="00510F43">
        <w:rPr>
          <w:rFonts w:cs="Times New Roman"/>
          <w:sz w:val="22"/>
        </w:rPr>
        <w:t>but fuses feminist geopolitics with (feminist) political ecology to incisively interrogate how the replacement of peasant ‘</w:t>
      </w:r>
      <w:r w:rsidR="00510F43" w:rsidRPr="008B72FD">
        <w:rPr>
          <w:rFonts w:cs="Times New Roman"/>
          <w:i/>
          <w:sz w:val="22"/>
        </w:rPr>
        <w:t>criollo</w:t>
      </w:r>
      <w:r w:rsidR="00510F43">
        <w:rPr>
          <w:rFonts w:cs="Times New Roman"/>
          <w:sz w:val="22"/>
        </w:rPr>
        <w:t xml:space="preserve">’ maize types with hybrid maize varieties, </w:t>
      </w:r>
      <w:r w:rsidR="00892374">
        <w:rPr>
          <w:rFonts w:cs="Times New Roman"/>
          <w:sz w:val="22"/>
        </w:rPr>
        <w:t>“</w:t>
      </w:r>
      <w:r w:rsidR="00510F43">
        <w:rPr>
          <w:rFonts w:cs="Times New Roman"/>
          <w:sz w:val="22"/>
        </w:rPr>
        <w:t>serves the interests of political and economic elites</w:t>
      </w:r>
      <w:r w:rsidR="00892374">
        <w:rPr>
          <w:rFonts w:cs="Times New Roman"/>
          <w:sz w:val="22"/>
        </w:rPr>
        <w:t>”</w:t>
      </w:r>
      <w:r w:rsidR="00510F43">
        <w:rPr>
          <w:rFonts w:cs="Times New Roman"/>
          <w:sz w:val="22"/>
        </w:rPr>
        <w:t xml:space="preserve"> and international agribusiness, </w:t>
      </w:r>
      <w:r w:rsidR="00892374">
        <w:rPr>
          <w:rFonts w:cs="Times New Roman"/>
          <w:sz w:val="22"/>
        </w:rPr>
        <w:t>“</w:t>
      </w:r>
      <w:r w:rsidR="00510F43">
        <w:rPr>
          <w:rFonts w:cs="Times New Roman"/>
          <w:sz w:val="22"/>
        </w:rPr>
        <w:t>while compounding the food insecurity of Mexican peasants</w:t>
      </w:r>
      <w:r w:rsidR="00892374">
        <w:rPr>
          <w:rFonts w:cs="Times New Roman"/>
          <w:sz w:val="22"/>
        </w:rPr>
        <w:t>” (Mullaney, 2014: 415)</w:t>
      </w:r>
      <w:r w:rsidR="00510F43">
        <w:rPr>
          <w:rFonts w:cs="Times New Roman"/>
          <w:sz w:val="22"/>
        </w:rPr>
        <w:t xml:space="preserve">. </w:t>
      </w:r>
      <w:r>
        <w:rPr>
          <w:rFonts w:cs="Times New Roman"/>
          <w:sz w:val="22"/>
        </w:rPr>
        <w:t xml:space="preserve">Moreover, </w:t>
      </w:r>
      <w:r w:rsidRPr="005D0B8C">
        <w:rPr>
          <w:rFonts w:cs="Times New Roman"/>
          <w:sz w:val="22"/>
        </w:rPr>
        <w:t>approaches developing a ‘geopolitical ecology of conservation’ (</w:t>
      </w:r>
      <w:r w:rsidRPr="005D0B8C">
        <w:rPr>
          <w:rFonts w:cs="Times New Roman"/>
          <w:noProof/>
          <w:sz w:val="22"/>
        </w:rPr>
        <w:t>Massé &amp; Margulies,</w:t>
      </w:r>
      <w:r w:rsidR="00510F43">
        <w:rPr>
          <w:rFonts w:cs="Times New Roman"/>
          <w:noProof/>
          <w:sz w:val="22"/>
        </w:rPr>
        <w:t xml:space="preserve"> 2020</w:t>
      </w:r>
      <w:r w:rsidRPr="0033213D">
        <w:rPr>
          <w:rFonts w:cs="Times New Roman"/>
          <w:noProof/>
          <w:sz w:val="22"/>
        </w:rPr>
        <w:t>)</w:t>
      </w:r>
      <w:r w:rsidRPr="0033213D">
        <w:rPr>
          <w:rFonts w:cs="Times New Roman"/>
          <w:i/>
          <w:noProof/>
          <w:sz w:val="22"/>
        </w:rPr>
        <w:t xml:space="preserve"> </w:t>
      </w:r>
      <w:r w:rsidRPr="005D0B8C">
        <w:rPr>
          <w:rFonts w:cs="Times New Roman"/>
          <w:noProof/>
          <w:sz w:val="22"/>
        </w:rPr>
        <w:t>are beginning to theorise</w:t>
      </w:r>
      <w:r>
        <w:rPr>
          <w:rFonts w:cs="Times New Roman"/>
          <w:noProof/>
          <w:sz w:val="22"/>
        </w:rPr>
        <w:t xml:space="preserve"> the</w:t>
      </w:r>
      <w:r w:rsidRPr="005D0B8C">
        <w:rPr>
          <w:rFonts w:cs="Times New Roman"/>
          <w:noProof/>
          <w:sz w:val="22"/>
        </w:rPr>
        <w:t xml:space="preserve"> unequal impacts of geopolitical discour</w:t>
      </w:r>
      <w:r>
        <w:rPr>
          <w:rFonts w:cs="Times New Roman"/>
          <w:noProof/>
          <w:sz w:val="22"/>
        </w:rPr>
        <w:t>ses upon species and ecosystems -</w:t>
      </w:r>
      <w:r w:rsidRPr="005D0B8C">
        <w:rPr>
          <w:rFonts w:cs="Times New Roman"/>
          <w:noProof/>
          <w:sz w:val="22"/>
        </w:rPr>
        <w:t xml:space="preserve"> aspects which have been somewhat sideli</w:t>
      </w:r>
      <w:r>
        <w:rPr>
          <w:rFonts w:cs="Times New Roman"/>
          <w:noProof/>
          <w:sz w:val="22"/>
        </w:rPr>
        <w:t>ned in environmental geopolitics</w:t>
      </w:r>
      <w:r w:rsidRPr="005D0B8C">
        <w:rPr>
          <w:rFonts w:cs="Times New Roman"/>
          <w:noProof/>
          <w:sz w:val="22"/>
        </w:rPr>
        <w:t xml:space="preserve"> analyses that focus primarily on the</w:t>
      </w:r>
      <w:r>
        <w:rPr>
          <w:rFonts w:cs="Times New Roman"/>
          <w:noProof/>
          <w:sz w:val="22"/>
        </w:rPr>
        <w:t xml:space="preserve"> impacts of the</w:t>
      </w:r>
      <w:r w:rsidRPr="005D0B8C">
        <w:rPr>
          <w:rFonts w:cs="Times New Roman"/>
          <w:noProof/>
          <w:sz w:val="22"/>
        </w:rPr>
        <w:t xml:space="preserve"> discursive co</w:t>
      </w:r>
      <w:r>
        <w:rPr>
          <w:rFonts w:cs="Times New Roman"/>
          <w:noProof/>
          <w:sz w:val="22"/>
        </w:rPr>
        <w:t xml:space="preserve">nstruction of environmental security risks upon </w:t>
      </w:r>
      <w:r w:rsidRPr="005D0B8C">
        <w:rPr>
          <w:rFonts w:cs="Times New Roman"/>
          <w:noProof/>
          <w:sz w:val="22"/>
        </w:rPr>
        <w:t xml:space="preserve">human subjects. </w:t>
      </w:r>
    </w:p>
    <w:p w14:paraId="2DF4AEA8" w14:textId="77777777" w:rsidR="001139CD" w:rsidRDefault="001139CD" w:rsidP="001139CD">
      <w:pPr>
        <w:widowControl w:val="0"/>
        <w:autoSpaceDE w:val="0"/>
        <w:autoSpaceDN w:val="0"/>
        <w:adjustRightInd w:val="0"/>
        <w:ind w:firstLine="720"/>
        <w:rPr>
          <w:rFonts w:cs="Times New Roman"/>
          <w:noProof/>
          <w:sz w:val="22"/>
        </w:rPr>
      </w:pPr>
      <w:r>
        <w:rPr>
          <w:rFonts w:cs="Times New Roman"/>
          <w:noProof/>
          <w:sz w:val="22"/>
        </w:rPr>
        <w:t xml:space="preserve">Thus, the major contributions that geopolitical ecology makes to accounts of the geopolitics of environmental change are: a) the conceptualisation of ‘ecology’ in human-environment relations; and b) the emphasis on uncovering inequalities that are produced by geopolitical interventions in the environment. These contributions are developed to variable extent in approaches that speak to three major themes emerging in geopolitical ecology scholarship: weaponized nature; conservation; and resource management.  </w:t>
      </w:r>
    </w:p>
    <w:p w14:paraId="64650083" w14:textId="22B13746" w:rsidR="00EB5041" w:rsidRDefault="001139CD" w:rsidP="00776D4A">
      <w:pPr>
        <w:widowControl w:val="0"/>
        <w:autoSpaceDE w:val="0"/>
        <w:autoSpaceDN w:val="0"/>
        <w:adjustRightInd w:val="0"/>
        <w:ind w:firstLine="720"/>
        <w:rPr>
          <w:rFonts w:cs="Times New Roman"/>
          <w:noProof/>
          <w:sz w:val="22"/>
        </w:rPr>
      </w:pPr>
      <w:r>
        <w:rPr>
          <w:rFonts w:cs="Times New Roman"/>
          <w:noProof/>
          <w:sz w:val="22"/>
        </w:rPr>
        <w:t>Bigger &amp; Neimark (2017) have cemented the weaponization of nature as a key theme in geopolitical ecology research. They suggest that n</w:t>
      </w:r>
      <w:r w:rsidR="00EB5041">
        <w:rPr>
          <w:rFonts w:cs="Times New Roman"/>
          <w:noProof/>
          <w:sz w:val="22"/>
        </w:rPr>
        <w:t>ature is weaponized when it is “</w:t>
      </w:r>
      <w:r>
        <w:rPr>
          <w:rFonts w:cs="Times New Roman"/>
          <w:noProof/>
          <w:sz w:val="22"/>
        </w:rPr>
        <w:t xml:space="preserve">used by armed actors </w:t>
      </w:r>
      <w:r w:rsidR="00EB5041">
        <w:rPr>
          <w:rFonts w:cs="Times New Roman"/>
          <w:noProof/>
          <w:sz w:val="22"/>
        </w:rPr>
        <w:t>to do harm”</w:t>
      </w:r>
      <w:r>
        <w:rPr>
          <w:rFonts w:cs="Times New Roman"/>
          <w:noProof/>
          <w:sz w:val="22"/>
        </w:rPr>
        <w:t xml:space="preserve"> </w:t>
      </w:r>
      <w:r>
        <w:rPr>
          <w:rFonts w:cs="Times New Roman"/>
          <w:noProof/>
          <w:sz w:val="22"/>
        </w:rPr>
        <w:fldChar w:fldCharType="begin" w:fldLock="1"/>
      </w:r>
      <w:r>
        <w:rPr>
          <w:rFonts w:cs="Times New Roman"/>
          <w:noProof/>
          <w:sz w:val="22"/>
        </w:rPr>
        <w:instrText>ADDIN CSL_CITATION {"citationItems":[{"id":"ITEM-1","itemData":{"DOI":"10.1080/24694452.2016.1145511","ISSN":"24694460","abstract":"Geography, although long used for war, offers powerful tools for making peace. Yet in a context of pervasive surveillance and high military interest in geography, it is important to be cautious that research is not misused or even weaponized (used by armed actors to do harm). This possibility should be more explicitly discussed in methods classes, committees, and ethics reviews. It is heartening that there is a growing commitment in geography to doing work for peace and justice, but given current levels of both military and police surveillance, we could all use more tools and guidance for how to do such work ethically. These conversations are currently rare. Geography methods textbooks say surprisingly little on the misuse of research more generally and nothing about armed actors in particular. We could also offer each other tips on how to look for and track the use of our research by the military and share more stories of what we have found. The potential of weaponization should not scare us off from peace and justice research but rather inspire us to do that work more carefully, which includes having more sophisticated conversations about potential misuse. Not only do we need to be wary of, teach, and speak out against the growing military use of geography, but I also urge us to work for a growing but careful use of the tools and insights of geography in struggles for peace and justice.","author":[{"dropping-particle":"","family":"Koopman","given":"Sara","non-dropping-particle":"","parse-names":false,"suffix":""}],"container-title":"Annals of the American Association of Geographers","id":"ITEM-1","issue":"3","issued":{"date-parts":[["2016"]]},"page":"530-535","title":"Beware: Your research may be weaponized","type":"article-journal","volume":"106"},"uris":["http://www.mendeley.com/documents/?uuid=2305c67d-5f9d-4ad9-b87e-73cd65f634cf"]}],"mendeley":{"formattedCitation":"(Koopman, 2016)","manualFormatting":"(Koopman, 2016: 530)","plainTextFormattedCitation":"(Koopman, 2016)","previouslyFormattedCitation":"(Koopman, 2016)"},"properties":{"noteIndex":0},"schema":"https://github.com/citation-style-language/schema/raw/master/csl-citation.json"}</w:instrText>
      </w:r>
      <w:r>
        <w:rPr>
          <w:rFonts w:cs="Times New Roman"/>
          <w:noProof/>
          <w:sz w:val="22"/>
        </w:rPr>
        <w:fldChar w:fldCharType="separate"/>
      </w:r>
      <w:r w:rsidRPr="00F46F66">
        <w:rPr>
          <w:rFonts w:cs="Times New Roman"/>
          <w:noProof/>
          <w:sz w:val="22"/>
        </w:rPr>
        <w:t>(Koopman, 2016</w:t>
      </w:r>
      <w:r>
        <w:rPr>
          <w:rFonts w:cs="Times New Roman"/>
          <w:noProof/>
          <w:sz w:val="22"/>
        </w:rPr>
        <w:t>: 530</w:t>
      </w:r>
      <w:r w:rsidRPr="00F46F66">
        <w:rPr>
          <w:rFonts w:cs="Times New Roman"/>
          <w:noProof/>
          <w:sz w:val="22"/>
        </w:rPr>
        <w:t>)</w:t>
      </w:r>
      <w:r>
        <w:rPr>
          <w:rFonts w:cs="Times New Roman"/>
          <w:noProof/>
          <w:sz w:val="22"/>
        </w:rPr>
        <w:fldChar w:fldCharType="end"/>
      </w:r>
      <w:r w:rsidR="00FA6F54">
        <w:rPr>
          <w:rFonts w:cs="Times New Roman"/>
          <w:noProof/>
          <w:sz w:val="22"/>
        </w:rPr>
        <w:t>. T</w:t>
      </w:r>
      <w:r w:rsidR="00EB5041">
        <w:rPr>
          <w:rFonts w:cs="Times New Roman"/>
          <w:noProof/>
          <w:sz w:val="22"/>
        </w:rPr>
        <w:t>hey position carbon-in</w:t>
      </w:r>
      <w:r w:rsidR="00776D4A">
        <w:rPr>
          <w:rFonts w:cs="Times New Roman"/>
          <w:noProof/>
          <w:sz w:val="22"/>
        </w:rPr>
        <w:t>tensive American imperialism</w:t>
      </w:r>
      <w:r w:rsidR="00EB5041">
        <w:rPr>
          <w:rFonts w:cs="Times New Roman"/>
          <w:noProof/>
          <w:sz w:val="22"/>
        </w:rPr>
        <w:t xml:space="preserve"> </w:t>
      </w:r>
      <w:r w:rsidR="00FA6F54">
        <w:rPr>
          <w:rFonts w:cs="Times New Roman"/>
          <w:noProof/>
          <w:sz w:val="22"/>
        </w:rPr>
        <w:t xml:space="preserve">as </w:t>
      </w:r>
      <w:r w:rsidR="00776D4A">
        <w:rPr>
          <w:rFonts w:cs="Times New Roman"/>
          <w:noProof/>
          <w:sz w:val="22"/>
        </w:rPr>
        <w:lastRenderedPageBreak/>
        <w:t xml:space="preserve">exemplary </w:t>
      </w:r>
      <w:r w:rsidR="00FA6F54">
        <w:rPr>
          <w:rFonts w:cs="Times New Roman"/>
          <w:noProof/>
          <w:sz w:val="22"/>
        </w:rPr>
        <w:t xml:space="preserve">of how nature is weaponized by the US military “both as a military asset and as a set of problems to be overcome through military means” (Bigger &amp; Neimark, 2017: 14). </w:t>
      </w:r>
      <w:r w:rsidR="002C13DF">
        <w:rPr>
          <w:rFonts w:cs="Times New Roman"/>
          <w:noProof/>
          <w:sz w:val="22"/>
        </w:rPr>
        <w:t>Bigger &amp; Neimark outline how the US Navy presents climate change as a “material threat to US hegemony” (ibid: 18), in order to justify extensive shifts towards biofuel powered military hardwares, technologies and warfare techniques. Such an extensive mobilisation of nature for weaponized means is expected to heighten future resource scarcity, and lead to the formation of conflict and th</w:t>
      </w:r>
      <w:r w:rsidR="00776D4A">
        <w:rPr>
          <w:rFonts w:cs="Times New Roman"/>
          <w:noProof/>
          <w:sz w:val="22"/>
        </w:rPr>
        <w:t>e exacerbation of current ones. As such, the weaponization of traditional hydrocarbons and biofuels is integral to the US’s “everywhere war” (</w:t>
      </w:r>
      <w:r w:rsidR="00776D4A">
        <w:rPr>
          <w:rFonts w:cs="Times New Roman"/>
          <w:noProof/>
          <w:sz w:val="22"/>
        </w:rPr>
        <w:fldChar w:fldCharType="begin" w:fldLock="1"/>
      </w:r>
      <w:r w:rsidR="00776D4A">
        <w:rPr>
          <w:rFonts w:cs="Times New Roman"/>
          <w:noProof/>
          <w:sz w:val="22"/>
        </w:rPr>
        <w:instrText>ADDIN CSL_CITATION {"citationItems":[{"id":"ITEM-1","itemData":{"DOI":"10.1111/tran.12319","ISSN":"14755661","abstract":"This paper examines the US military's impact on climate by analysing the geopolitical ecology of its global logistical supply chains. Our geopolitical ecology framework interrogates the material-ecological metabolic flows (hydrocarbon-based fuels, water, sand, concrete) that shape geopolitical and geoeconomic power relations. We argue that to account for the US military as a major climate actor, one must understand the logistical supply chain that makes its acquisition and consumption of hydrocarbon-based fuels possible. Our paper focuses on the US Defense Logistics Agency – Energy (DLA-E), a large yet virtually unresearched sub-agency within the US Department of Defense. The DLA-E is the primary purchase-point for hydrocarbon-based fuels for the US military, as well as a powerful actor in the global oil market. After outlining our geopolitical ecology approach, we detail the scope of the DLA-E's operations, its supply chain, bureaucratic practices, and the physical infrastructure that facilitates the US military's consumption of hydro-based carbons on a global scale. We show several “path dependencies” – warfighting paradigms, weapons systems, bureaucratic requirements, and waste – that are put in place by military supply chains and undergird a heavy reliance on carbon-based fuels by the US military for years to come. The paper, based on comprehensive records of bulk fuel purchases we have gathered from DLA-E through Freedom of Information Act requests, represents a partial yet robust picture of the geopolitical ecology of American imperialism.","author":[{"dropping-particle":"","family":"Belcher","given":"Oliver","non-dropping-particle":"","parse-names":false,"suffix":""},{"dropping-particle":"","family":"Bigger","given":"Patrick","non-dropping-particle":"","parse-names":false,"suffix":""},{"dropping-particle":"","family":"Neimark","given":"Ben","non-dropping-particle":"","parse-names":false,"suffix":""},{"dropping-particle":"","family":"Kennelly","given":"Cara","non-dropping-particle":"","parse-names":false,"suffix":""}],"container-title":"Transactions of the Institute of British Geographers","id":"ITEM-1","issue":"May","issued":{"date-parts":[["2019"]]},"page":"1-16","title":"Hidden carbon costs of the “everywhere war”: Logistics, geopolitical ecology, and the carbon boot-print of the US military","type":"article-journal"},"uris":["http://www.mendeley.com/documents/?uuid=8269da4a-ff8f-4dd0-9952-fd48160f3b55"]}],"mendeley":{"formattedCitation":"(Belcher &lt;i&gt;et al.&lt;/i&gt;, 2019)","manualFormatting":"Belcher et al., 2019: 2)","plainTextFormattedCitation":"(Belcher et al., 2019)","previouslyFormattedCitation":"(Belcher &lt;i&gt;et al.&lt;/i&gt;, 2019)"},"properties":{"noteIndex":0},"schema":"https://github.com/citation-style-language/schema/raw/master/csl-citation.json"}</w:instrText>
      </w:r>
      <w:r w:rsidR="00776D4A">
        <w:rPr>
          <w:rFonts w:cs="Times New Roman"/>
          <w:noProof/>
          <w:sz w:val="22"/>
        </w:rPr>
        <w:fldChar w:fldCharType="separate"/>
      </w:r>
      <w:r w:rsidR="00776D4A" w:rsidRPr="000C1631">
        <w:rPr>
          <w:rFonts w:cs="Times New Roman"/>
          <w:noProof/>
          <w:sz w:val="22"/>
        </w:rPr>
        <w:t xml:space="preserve">Belcher </w:t>
      </w:r>
      <w:r w:rsidR="00776D4A" w:rsidRPr="000C1631">
        <w:rPr>
          <w:rFonts w:cs="Times New Roman"/>
          <w:i/>
          <w:noProof/>
          <w:sz w:val="22"/>
        </w:rPr>
        <w:t>et al.</w:t>
      </w:r>
      <w:r w:rsidR="00776D4A" w:rsidRPr="000C1631">
        <w:rPr>
          <w:rFonts w:cs="Times New Roman"/>
          <w:noProof/>
          <w:sz w:val="22"/>
        </w:rPr>
        <w:t>, 2019</w:t>
      </w:r>
      <w:r w:rsidR="00776D4A">
        <w:rPr>
          <w:rFonts w:cs="Times New Roman"/>
          <w:noProof/>
          <w:sz w:val="22"/>
        </w:rPr>
        <w:t>: 2</w:t>
      </w:r>
      <w:r w:rsidR="00776D4A" w:rsidRPr="000C1631">
        <w:rPr>
          <w:rFonts w:cs="Times New Roman"/>
          <w:noProof/>
          <w:sz w:val="22"/>
        </w:rPr>
        <w:t>)</w:t>
      </w:r>
      <w:r w:rsidR="00776D4A">
        <w:rPr>
          <w:rFonts w:cs="Times New Roman"/>
          <w:noProof/>
          <w:sz w:val="22"/>
        </w:rPr>
        <w:fldChar w:fldCharType="end"/>
      </w:r>
      <w:r w:rsidR="00773496">
        <w:rPr>
          <w:rFonts w:cs="Times New Roman"/>
          <w:noProof/>
          <w:sz w:val="22"/>
        </w:rPr>
        <w:t>.</w:t>
      </w:r>
    </w:p>
    <w:p w14:paraId="2333A469" w14:textId="01BFDAD5" w:rsidR="00505436" w:rsidRDefault="00366177" w:rsidP="007F33AB">
      <w:pPr>
        <w:widowControl w:val="0"/>
        <w:autoSpaceDE w:val="0"/>
        <w:autoSpaceDN w:val="0"/>
        <w:adjustRightInd w:val="0"/>
        <w:ind w:firstLine="720"/>
        <w:rPr>
          <w:rFonts w:cs="Times New Roman"/>
          <w:noProof/>
          <w:sz w:val="22"/>
        </w:rPr>
      </w:pPr>
      <w:r>
        <w:rPr>
          <w:rFonts w:cs="Times New Roman"/>
          <w:noProof/>
          <w:sz w:val="22"/>
        </w:rPr>
        <w:t>Nature can also be</w:t>
      </w:r>
      <w:r w:rsidR="001139CD">
        <w:rPr>
          <w:rFonts w:cs="Times New Roman"/>
          <w:noProof/>
          <w:sz w:val="22"/>
        </w:rPr>
        <w:t xml:space="preserve"> weaponized by geopolitical actors</w:t>
      </w:r>
      <w:r w:rsidR="00773496">
        <w:rPr>
          <w:rFonts w:cs="Times New Roman"/>
          <w:noProof/>
          <w:sz w:val="22"/>
        </w:rPr>
        <w:t xml:space="preserve"> to cause harm and violence</w:t>
      </w:r>
      <w:r>
        <w:rPr>
          <w:rFonts w:cs="Times New Roman"/>
          <w:noProof/>
          <w:sz w:val="22"/>
        </w:rPr>
        <w:t xml:space="preserve"> in less militaristic and more mundane or intimate ways. Mullaney’s account of the geopolitics of maize in Mexico, argues that state-led </w:t>
      </w:r>
      <w:r w:rsidR="001139CD">
        <w:rPr>
          <w:rFonts w:cs="Times New Roman"/>
          <w:noProof/>
          <w:sz w:val="22"/>
        </w:rPr>
        <w:t xml:space="preserve">agricultural restructuring </w:t>
      </w:r>
      <w:r>
        <w:rPr>
          <w:rFonts w:cs="Times New Roman"/>
          <w:noProof/>
          <w:sz w:val="22"/>
        </w:rPr>
        <w:t>is a “</w:t>
      </w:r>
      <w:r w:rsidR="001139CD">
        <w:rPr>
          <w:rFonts w:cs="Times New Roman"/>
          <w:noProof/>
          <w:sz w:val="22"/>
        </w:rPr>
        <w:t>key mech</w:t>
      </w:r>
      <w:r>
        <w:rPr>
          <w:rFonts w:cs="Times New Roman"/>
          <w:noProof/>
          <w:sz w:val="22"/>
        </w:rPr>
        <w:t>anism of violence”</w:t>
      </w:r>
      <w:r w:rsidR="001139CD">
        <w:rPr>
          <w:rFonts w:cs="Times New Roman"/>
          <w:noProof/>
          <w:sz w:val="22"/>
        </w:rPr>
        <w:t xml:space="preserve"> </w:t>
      </w:r>
      <w:r w:rsidR="001139CD">
        <w:rPr>
          <w:rFonts w:cs="Times New Roman"/>
          <w:noProof/>
          <w:sz w:val="22"/>
        </w:rPr>
        <w:fldChar w:fldCharType="begin" w:fldLock="1"/>
      </w:r>
      <w:r w:rsidR="001139CD">
        <w:rPr>
          <w:rFonts w:cs="Times New Roman"/>
          <w:noProof/>
          <w:sz w:val="22"/>
        </w:rPr>
        <w:instrText>ADDIN CSL_CITATION {"citationItems":[{"id":"ITEM-1","itemData":{"DOI":"10.1080/14650045.2014.920232","ISSN":"15573028","abstract":"This paper draws from research on small-scale maize production in Mexico's Central Highland region to discuss the geopolitical implications of everyday agricultural practices. An overwhelming majority of maize farmers in this region, as well as in the country more broadly, continue to cultivate locally adapted maize varieties they have bred themselves - criollo maize is the vernacular term - despite decades of concerted government attempts to effect the widespread adoption of commercially bred and licensed hybrid varieties. This state effort to restructure agricultural systems and food security according to nationalist and capitalist priorities is one tactic in a long and violent struggle for control over peasant land and labour in Mexico. By integrating feminist scholarship in geopolitics and in political ecology, I am following the lead of geographers who regard the materialities of everyday life as a foundation for political tensions and conflicts that are constantly unfolding along intersecting lines of difference. Though geopolitics has rarely turned its attention directly to theories of intimate socio-ecological relations, I argue that the field has much analytical and political leverage to gain by engaging with political ecology, and that feminist geographic imaginaries provide a crucial space in which to do so. This approach allows for an analysis of how a dominant geopolitics of land and agriculture is being undermined through the routine production of criollo maize, revealing new potential for creating broad political alliances with social movements that are currently working toward alternative visions of agriculture and food security. © Taylor &amp; Francis Group, LLC.","author":[{"dropping-particle":"","family":"Mullaney","given":"Emma Gaalaas","non-dropping-particle":"","parse-names":false,"suffix":""}],"container-title":"Geopolitics","id":"ITEM-1","issue":"2","issued":{"date-parts":[["2014"]]},"page":"406-430","publisher":"Routledge","title":"Geopolitical Maize: Peasant Seeds, Everyday Practices, and Food Security in Mexico","type":"article-journal","volume":"19"},"uris":["http://www.mendeley.com/documents/?uuid=50dac149-d485-49f1-85cb-6b8c11ac0439"]}],"mendeley":{"formattedCitation":"(Mullaney, 2014)","manualFormatting":"(Mullaney, 2014: 419)","plainTextFormattedCitation":"(Mullaney, 2014)","previouslyFormattedCitation":"(Mullaney, 2014)"},"properties":{"noteIndex":0},"schema":"https://github.com/citation-style-language/schema/raw/master/csl-citation.json"}</w:instrText>
      </w:r>
      <w:r w:rsidR="001139CD">
        <w:rPr>
          <w:rFonts w:cs="Times New Roman"/>
          <w:noProof/>
          <w:sz w:val="22"/>
        </w:rPr>
        <w:fldChar w:fldCharType="separate"/>
      </w:r>
      <w:r w:rsidR="001139CD" w:rsidRPr="008C1379">
        <w:rPr>
          <w:rFonts w:cs="Times New Roman"/>
          <w:noProof/>
          <w:sz w:val="22"/>
        </w:rPr>
        <w:t>(Mullaney, 2014</w:t>
      </w:r>
      <w:r w:rsidR="001139CD">
        <w:rPr>
          <w:rFonts w:cs="Times New Roman"/>
          <w:noProof/>
          <w:sz w:val="22"/>
        </w:rPr>
        <w:t>: 419</w:t>
      </w:r>
      <w:r w:rsidR="001139CD" w:rsidRPr="008C1379">
        <w:rPr>
          <w:rFonts w:cs="Times New Roman"/>
          <w:noProof/>
          <w:sz w:val="22"/>
        </w:rPr>
        <w:t>)</w:t>
      </w:r>
      <w:r w:rsidR="001139CD">
        <w:rPr>
          <w:rFonts w:cs="Times New Roman"/>
          <w:noProof/>
          <w:sz w:val="22"/>
        </w:rPr>
        <w:fldChar w:fldCharType="end"/>
      </w:r>
      <w:r w:rsidR="001139CD">
        <w:rPr>
          <w:rFonts w:cs="Times New Roman"/>
          <w:noProof/>
          <w:sz w:val="22"/>
        </w:rPr>
        <w:t xml:space="preserve"> </w:t>
      </w:r>
      <w:r>
        <w:rPr>
          <w:rFonts w:cs="Times New Roman"/>
          <w:noProof/>
          <w:sz w:val="22"/>
        </w:rPr>
        <w:t>against peasant farmers. State efforts to restrict peasant farmers’ use of diverse ‘</w:t>
      </w:r>
      <w:r w:rsidRPr="000943AE">
        <w:rPr>
          <w:rFonts w:cs="Times New Roman"/>
          <w:i/>
          <w:noProof/>
          <w:sz w:val="22"/>
        </w:rPr>
        <w:t>criollo</w:t>
      </w:r>
      <w:r>
        <w:rPr>
          <w:rFonts w:cs="Times New Roman"/>
          <w:noProof/>
          <w:sz w:val="22"/>
        </w:rPr>
        <w:t>’ maize seeds, in favour of hybrid maize</w:t>
      </w:r>
      <w:r w:rsidR="00505436">
        <w:rPr>
          <w:rFonts w:cs="Times New Roman"/>
          <w:noProof/>
          <w:sz w:val="22"/>
        </w:rPr>
        <w:t xml:space="preserve"> represents an example of the weaponization of nature, whereby the Mexican state seeks to “balance its geopolitical and geoeconomic interests through control of agricultural production” (ibid: 416). Restricting peasant sovereignty over ‘</w:t>
      </w:r>
      <w:r w:rsidR="00505436" w:rsidRPr="000943AE">
        <w:rPr>
          <w:rFonts w:cs="Times New Roman"/>
          <w:i/>
          <w:noProof/>
          <w:sz w:val="22"/>
        </w:rPr>
        <w:t>criollo</w:t>
      </w:r>
      <w:r w:rsidR="00505436">
        <w:rPr>
          <w:rFonts w:cs="Times New Roman"/>
          <w:noProof/>
          <w:sz w:val="22"/>
        </w:rPr>
        <w:t>’ maize “is one tactic in a long violent struggle for control over peasant land and labour in Mexico” (ibid: 406). The weaponization of hybrid maize is a geopolitical policy move which enacts slow violence a</w:t>
      </w:r>
      <w:r w:rsidR="007F33AB">
        <w:rPr>
          <w:rFonts w:cs="Times New Roman"/>
          <w:noProof/>
          <w:sz w:val="22"/>
        </w:rPr>
        <w:t xml:space="preserve">gainst Mexican peasant farmers: they are pitted at the mercy of the spatial paradoxes of the global food system, which “show how scarcity and abundance, privelege and suffering, and life and death are mutually constituted” </w:t>
      </w:r>
      <w:r w:rsidR="007F33AB">
        <w:rPr>
          <w:rFonts w:cs="Times New Roman"/>
          <w:noProof/>
          <w:sz w:val="22"/>
        </w:rPr>
        <w:fldChar w:fldCharType="begin" w:fldLock="1"/>
      </w:r>
      <w:r w:rsidR="00954F0F">
        <w:rPr>
          <w:rFonts w:cs="Times New Roman"/>
          <w:noProof/>
          <w:sz w:val="22"/>
        </w:rPr>
        <w:instrText>ADDIN CSL_CITATION {"citationItems":[{"id":"ITEM-1","itemData":{"DOI":"10.1111/j.1475-5661.2010.00413.x","ISSN":"00202754","abstract":"Beginning with Foucault's writing on food provisioning in the mercantile period, this paper explores how a moral economy of hunger is gradually replaced by a political economy of food security that promotes market mechanisms as a better protection against scarcity. In Western Europe the emergence of political liberalism and laissez-faire economics substantially shaped how hunger and scarcity were conceptualised and socially managed. Beyond Europe these social forces were manifest in the development of colonial plantations. Here the transformation of non-capitalist social formations into market economies - what Harvey (2003) terms 'accumulation by dispossession'- was a foundational moment in the development of a global provisioning system that undermined the anti-scarcity strategies of some populations, while ensuring food security for others. The subsequent discovery of the 'Global South' hunger, together with the desire to encourage better habits and purer morals among 'backward' peoples, created the context in which further curative interventions, designed to consolidate a capitalist food economy, were valorised and maintained. These reflections set up the final part of the paper, where I contextualise recent efforts to present agro-biotechnologies as a pro-welfare and anti-scarcity response. Moving beyond the causes of hunger to explore its strategic function, this analysis highlights how corporate agribusiness - in partnership with the life sciences - is attempting to recondition human, animal and bacterial life in order to quicken the reproduction of capital. I term this new moment in the commercialisation of food systems accumulation by molecularisation. The paper concludes by examining how the corporate management of food folds into biopolitical strategies for managing life, including the lives of the hungry poor who are 'let die' as commercial interests supplant human needs. © 2010 The Author. Transactions of the Institute of British Geographers © 2010 Royal Geographical Society (with the Institute of British Geographers).","author":[{"dropping-particle":"","family":"Nally","given":"David","non-dropping-particle":"","parse-names":false,"suffix":""}],"container-title":"Transactions of the Institute of British Geographers","id":"ITEM-1","issue":"1","issued":{"date-parts":[["2011"]]},"page":"37-53","title":"The biopolitics of food provisioning","type":"article-journal","volume":"36"},"uris":["http://www.mendeley.com/documents/?uuid=5849ad15-53e2-49a6-be7a-07d999a01103"]}],"mendeley":{"formattedCitation":"(Nally, 2011)","manualFormatting":"(Nally, 2011:49)","plainTextFormattedCitation":"(Nally, 2011)","previouslyFormattedCitation":"(Nally, 2011)"},"properties":{"noteIndex":0},"schema":"https://github.com/citation-style-language/schema/raw/master/csl-citation.json"}</w:instrText>
      </w:r>
      <w:r w:rsidR="007F33AB">
        <w:rPr>
          <w:rFonts w:cs="Times New Roman"/>
          <w:noProof/>
          <w:sz w:val="22"/>
        </w:rPr>
        <w:fldChar w:fldCharType="separate"/>
      </w:r>
      <w:r w:rsidR="007F33AB" w:rsidRPr="008856B1">
        <w:rPr>
          <w:rFonts w:cs="Times New Roman"/>
          <w:noProof/>
          <w:sz w:val="22"/>
        </w:rPr>
        <w:t>(Nally, 2011</w:t>
      </w:r>
      <w:r w:rsidR="007F33AB">
        <w:rPr>
          <w:rFonts w:cs="Times New Roman"/>
          <w:noProof/>
          <w:sz w:val="22"/>
        </w:rPr>
        <w:t>:49</w:t>
      </w:r>
      <w:r w:rsidR="007F33AB" w:rsidRPr="008856B1">
        <w:rPr>
          <w:rFonts w:cs="Times New Roman"/>
          <w:noProof/>
          <w:sz w:val="22"/>
        </w:rPr>
        <w:t>)</w:t>
      </w:r>
      <w:r w:rsidR="007F33AB">
        <w:rPr>
          <w:rFonts w:cs="Times New Roman"/>
          <w:noProof/>
          <w:sz w:val="22"/>
        </w:rPr>
        <w:fldChar w:fldCharType="end"/>
      </w:r>
      <w:r w:rsidR="007F33AB">
        <w:rPr>
          <w:rFonts w:cs="Times New Roman"/>
          <w:noProof/>
          <w:sz w:val="22"/>
        </w:rPr>
        <w:t>.</w:t>
      </w:r>
    </w:p>
    <w:p w14:paraId="25F125A8" w14:textId="4C2842C9" w:rsidR="001139CD" w:rsidRDefault="001139CD" w:rsidP="00954F0F">
      <w:pPr>
        <w:widowControl w:val="0"/>
        <w:autoSpaceDE w:val="0"/>
        <w:autoSpaceDN w:val="0"/>
        <w:adjustRightInd w:val="0"/>
        <w:ind w:firstLine="720"/>
        <w:rPr>
          <w:rFonts w:cs="Times New Roman"/>
          <w:noProof/>
          <w:sz w:val="22"/>
        </w:rPr>
      </w:pPr>
      <w:r>
        <w:rPr>
          <w:rFonts w:cs="Times New Roman"/>
          <w:noProof/>
          <w:sz w:val="22"/>
        </w:rPr>
        <w:t xml:space="preserve">Mullaney (2014) </w:t>
      </w:r>
      <w:r w:rsidR="007F33AB">
        <w:rPr>
          <w:rFonts w:cs="Times New Roman"/>
          <w:noProof/>
          <w:sz w:val="22"/>
        </w:rPr>
        <w:t>arguably demonstrates a “</w:t>
      </w:r>
      <w:r>
        <w:rPr>
          <w:rFonts w:cs="Times New Roman"/>
          <w:noProof/>
          <w:sz w:val="22"/>
        </w:rPr>
        <w:t>broader application of geopolitical ecology to comprehend the role of l</w:t>
      </w:r>
      <w:r w:rsidR="007F33AB">
        <w:rPr>
          <w:rFonts w:cs="Times New Roman"/>
          <w:noProof/>
          <w:sz w:val="22"/>
        </w:rPr>
        <w:t xml:space="preserve">arge geopolitical institutions” </w:t>
      </w:r>
      <w:r>
        <w:rPr>
          <w:rFonts w:cs="Times New Roman"/>
          <w:noProof/>
          <w:sz w:val="22"/>
        </w:rPr>
        <w:t xml:space="preserve">in weaponizing nature, even before Bigger &amp; Neimark called for it (2017: 20). Her work is </w:t>
      </w:r>
      <w:r w:rsidR="007F33AB">
        <w:rPr>
          <w:rFonts w:cs="Times New Roman"/>
          <w:noProof/>
          <w:sz w:val="22"/>
        </w:rPr>
        <w:t xml:space="preserve">indispensable </w:t>
      </w:r>
      <w:r>
        <w:rPr>
          <w:rFonts w:cs="Times New Roman"/>
          <w:noProof/>
          <w:sz w:val="22"/>
        </w:rPr>
        <w:t>for developing geopolitical ecology further, as she draws upon feminist geopolit</w:t>
      </w:r>
      <w:r w:rsidR="007F33AB">
        <w:rPr>
          <w:rFonts w:cs="Times New Roman"/>
          <w:noProof/>
          <w:sz w:val="22"/>
        </w:rPr>
        <w:t>ics to redefine “</w:t>
      </w:r>
      <w:r>
        <w:rPr>
          <w:rFonts w:cs="Times New Roman"/>
          <w:noProof/>
          <w:sz w:val="22"/>
        </w:rPr>
        <w:t>what counts as geopolitics and what is appropriately stud</w:t>
      </w:r>
      <w:r w:rsidR="007F33AB">
        <w:rPr>
          <w:rFonts w:cs="Times New Roman"/>
          <w:noProof/>
          <w:sz w:val="22"/>
        </w:rPr>
        <w:t>ied through a geopolitical lens”</w:t>
      </w:r>
      <w:r>
        <w:rPr>
          <w:rFonts w:cs="Times New Roman"/>
          <w:noProof/>
          <w:sz w:val="22"/>
        </w:rPr>
        <w:t xml:space="preserve"> </w:t>
      </w:r>
      <w:r>
        <w:rPr>
          <w:rFonts w:cs="Times New Roman"/>
          <w:noProof/>
          <w:sz w:val="22"/>
        </w:rPr>
        <w:fldChar w:fldCharType="begin" w:fldLock="1"/>
      </w:r>
      <w:r w:rsidR="00EC7F7E">
        <w:rPr>
          <w:rFonts w:cs="Times New Roman"/>
          <w:noProof/>
          <w:sz w:val="22"/>
        </w:rPr>
        <w:instrText>ADDIN CSL_CITATION {"citationItems":[{"id":"ITEM-1","itemData":{"DOI":"10.1111/gec3.12054","ISSN":"17498198","abstract":"This paper traces the development of feminist geopolitics as a distinct analytical, epistemological, and methodological approach in geography. Feminist geopolitics is explained as an analytic approach that connects seemingly disparate people, places, events, and issues to show the connections across various operations of power and productions of inequality and exploitation. In so doing, we demonstrate the ways in which feminist geopolitics challenges the scales of geopolitics and refocuses on the mundane, everyday reproductions of geopolitical power. We further discuss recent work in the field that examines issues of security and insecurity to illustrate what insights can be gained by employing a feminist geopolitical framework. © 2013 The Author(s) © 2013 John Wiley &amp; Sons Ltd.","author":[{"dropping-particle":"","family":"Massaro","given":"Vanessa A.","non-dropping-particle":"","parse-names":false,"suffix":""},{"dropping-particle":"","family":"Williams","given":"Jill","non-dropping-particle":"","parse-names":false,"suffix":""}],"container-title":"Geography Compass","id":"ITEM-1","issue":"8","issued":{"date-parts":[["2013"]]},"page":"567-577","title":"Feminist geopolitics","type":"article-journal","volume":"7"},"uris":["http://www.mendeley.com/documents/?uuid=46cfea83-9905-47ff-9653-cdf048554efa"]}],"mendeley":{"formattedCitation":"(Massaro and Williams, 2013)","manualFormatting":"(Massaro and Williams, 2013: 567)","plainTextFormattedCitation":"(Massaro and Williams, 2013)","previouslyFormattedCitation":"(Massaro and Williams, 2013)"},"properties":{"noteIndex":0},"schema":"https://github.com/citation-style-language/schema/raw/master/csl-citation.json"}</w:instrText>
      </w:r>
      <w:r>
        <w:rPr>
          <w:rFonts w:cs="Times New Roman"/>
          <w:noProof/>
          <w:sz w:val="22"/>
        </w:rPr>
        <w:fldChar w:fldCharType="separate"/>
      </w:r>
      <w:r w:rsidRPr="008856B1">
        <w:rPr>
          <w:rFonts w:cs="Times New Roman"/>
          <w:noProof/>
          <w:sz w:val="22"/>
        </w:rPr>
        <w:t>(Massaro and Williams, 2013</w:t>
      </w:r>
      <w:r>
        <w:rPr>
          <w:rFonts w:cs="Times New Roman"/>
          <w:noProof/>
          <w:sz w:val="22"/>
        </w:rPr>
        <w:t>: 567</w:t>
      </w:r>
      <w:r w:rsidRPr="008856B1">
        <w:rPr>
          <w:rFonts w:cs="Times New Roman"/>
          <w:noProof/>
          <w:sz w:val="22"/>
        </w:rPr>
        <w:t>)</w:t>
      </w:r>
      <w:r>
        <w:rPr>
          <w:rFonts w:cs="Times New Roman"/>
          <w:noProof/>
          <w:sz w:val="22"/>
        </w:rPr>
        <w:fldChar w:fldCharType="end"/>
      </w:r>
      <w:r>
        <w:rPr>
          <w:rFonts w:cs="Times New Roman"/>
          <w:noProof/>
          <w:sz w:val="22"/>
        </w:rPr>
        <w:t xml:space="preserve">. As such, Mullaney (2014) emphasises that geopolitical ecology analyses should be rescaled from a singular focus on global politics, to examine how everyday, embodied practices matter as much to geopolitics as grand political narratives and counter narratives. In sum, </w:t>
      </w:r>
      <w:r w:rsidR="00954F0F">
        <w:rPr>
          <w:rFonts w:cs="Times New Roman"/>
          <w:noProof/>
          <w:sz w:val="22"/>
        </w:rPr>
        <w:t xml:space="preserve">Mullaney “shifts the scale of analysis and relocates agency to appreciate the importance of the mundane realm of everyday practice” (2014: 415), in order to demonstrate that the weaponization of nature </w:t>
      </w:r>
      <w:r>
        <w:rPr>
          <w:rFonts w:cs="Times New Roman"/>
          <w:noProof/>
          <w:sz w:val="22"/>
        </w:rPr>
        <w:t>can be intimate, whilst simultaneously being intert</w:t>
      </w:r>
      <w:r w:rsidR="00954F0F">
        <w:rPr>
          <w:rFonts w:cs="Times New Roman"/>
          <w:noProof/>
          <w:sz w:val="22"/>
        </w:rPr>
        <w:t>wined with the global.</w:t>
      </w:r>
      <w:r w:rsidR="007F33AB">
        <w:rPr>
          <w:rFonts w:cs="Times New Roman"/>
          <w:noProof/>
          <w:sz w:val="22"/>
        </w:rPr>
        <w:t xml:space="preserve"> </w:t>
      </w:r>
      <w:r>
        <w:rPr>
          <w:rFonts w:cs="Times New Roman"/>
          <w:noProof/>
          <w:sz w:val="22"/>
        </w:rPr>
        <w:t>Mullaney’s approach proves highly influential in shaping my agenda for more-than-human geopolitical ecology.</w:t>
      </w:r>
    </w:p>
    <w:p w14:paraId="2F3E5375" w14:textId="51ED5DB6" w:rsidR="001139CD" w:rsidRDefault="001139CD" w:rsidP="001139CD">
      <w:pPr>
        <w:widowControl w:val="0"/>
        <w:autoSpaceDE w:val="0"/>
        <w:autoSpaceDN w:val="0"/>
        <w:adjustRightInd w:val="0"/>
        <w:ind w:firstLine="720"/>
        <w:rPr>
          <w:rFonts w:cs="Times New Roman"/>
          <w:noProof/>
          <w:sz w:val="22"/>
        </w:rPr>
      </w:pPr>
      <w:r>
        <w:rPr>
          <w:rFonts w:cs="Times New Roman"/>
          <w:noProof/>
          <w:sz w:val="22"/>
        </w:rPr>
        <w:t xml:space="preserve">The second key emerging theme in geopolitical ecology research is geopolitical ecologies of conservation. This research trajectory has obvious intersections with an extensive body of literature on the militarisation of conservation </w:t>
      </w:r>
      <w:r>
        <w:rPr>
          <w:rFonts w:cs="Times New Roman"/>
          <w:noProof/>
          <w:sz w:val="22"/>
        </w:rPr>
        <w:fldChar w:fldCharType="begin" w:fldLock="1"/>
      </w:r>
      <w:r w:rsidR="006D6908">
        <w:rPr>
          <w:rFonts w:cs="Times New Roman"/>
          <w:noProof/>
          <w:sz w:val="22"/>
        </w:rPr>
        <w:instrText>ADDIN CSL_CITATION {"citationItems":[{"id":"ITEM-1","itemData":{"DOI":"10.1016/j.biocon.2019.01.013","ISSN":"00063207","author":[{"dropping-particle":"","family":"Duffy","given":"Rosaleen","non-dropping-particle":"","parse-names":false,"suffix":""},{"dropping-particle":"","family":"Massé","given":"Francis","non-dropping-particle":"","parse-names":false,"suffix":""},{"dropping-particle":"","family":"Smidt","given":"Emile","non-dropping-particle":"","parse-names":false,"suffix":""},{"dropping-particle":"","family":"Marijnen","given":"Esther","non-dropping-particle":"","parse-names":false,"suffix":""},{"dropping-particle":"","family":"Büscher","given":"Bram","non-dropping-particle":"","parse-names":false,"suffix":""},{"dropping-particle":"","family":"Verweijen","given":"Judith","non-dropping-particle":"","parse-names":false,"suffix":""},{"dropping-particle":"","family":"Ramutsindela","given":"Maano","non-dropping-particle":"","parse-names":false,"suffix":""},{"dropping-particle":"","family":"Simlai","given":"Trishant","non-dropping-particle":"","parse-names":false,"suffix":""},{"dropping-particle":"","family":"Joanny","given":"Laure","non-dropping-particle":"","parse-names":false,"suffix":""},{"dropping-particle":"","family":"Lunstrum","given":"Elizabeth","non-dropping-particle":"","parse-names":false,"suffix":""}],"container-title":"Biological Conservation","id":"ITEM-1","issue":"December 2018","issued":{"date-parts":[["2019"]]},"page":"66-73","title":"Why we must question the militarisation of conservation","type":"article-journal","volume":"232"},"uris":["http://www.mendeley.com/documents/?uuid=5908cf3b-25fa-46bd-839f-435d6412a23d"]},{"id":"ITEM-2","itemData":{"DOI":"10.1080/24694452.2017.1407629","author":[{"dropping-particle":"","family":"Lunstrum","given":"Elizabeth","non-dropping-particle":"","parse-names":false,"suffix":""}],"container-title":"Annals of the American Association of Geographers","id":"ITEM-2","issue":"4","issued":{"date-parts":[["2018"]]},"page":"1022-1037","title":"Capitalism, Wealth, and Conservation in the Age of Security: The Vitalization of the State","type":"article-journal","volume":"108"},"uris":["http://www.mendeley.com/documents/?uuid=cbe035ad-5f91-37a8-a8ac-a698dad2cea0"]},{"id":"ITEM-3","itemData":{"DOI":"10.1080/00045608.2014.912545","ISSN":"14678306","abstract":"Building from scholarship charting the complex, often ambivalent, relationship between military activity and the environment, and the more recent critical geographical work on militarization, this article sheds light on a particular meshing of militarization and conservation: green militarization. An intensifying yet surprisingly understudied trend around the world, this is the use of military and paramilitary personnel, training, technologies, and partnerships in the pursuit of conservation efforts. I introduce this concept, first, as a call for more sustained scholarly investigation into the militarization of conservation practice. More modestly, the article offers its own contribution to this end by turning to South Africa's Kruger National Park, the world's most concentrated site of commercial rhino poaching. Focusing on the state's multilayered and increasingly lethal militarized response to what is itself a highly militarized practice, I illustrate how the spatial qualities of protected areas matter immensely for the convergence of conservation and militarization and the concrete forms this convergence takes. For Kruger, these include its status as a national park framed by a semiporous international border and its expansive, often dense terrain. Steering clear of spatial determinism, I equally show how spatial contours authorize militarization only once they articulate with particular assumptions and values; for Kruger these amount to political-ecological values regarding the nation-state, its sovereignty, and its natural heritage. The result is an intensifying interlocking of conservation and militarization that frequently produces unforeseen consequences. © 2014 © 2014 The Author(s). Published with license by Taylor &amp; Francis, LLC.","author":[{"dropping-particle":"","family":"Lunstrum","given":"Elizabeth","non-dropping-particle":"","parse-names":false,"suffix":""}],"container-title":"Annals of the Association of American Geographers","id":"ITEM-3","issue":"4","issued":{"date-parts":[["2014"]]},"page":"816-832","title":"Green Militarization: Anti-Poaching Efforts and the Spatial Contours of Kruger National Park","type":"article-journal","volume":"104"},"uris":["http://www.mendeley.com/documents/?uuid=af6a8c85-4e38-4e52-8695-171d5dd16511"]},{"id":"ITEM-4","itemData":{"DOI":"10.1080/03066150.2016.1203307","ISSN":"17439361","abstract":"The growing militarisation of nature conservation has refocused attention on the relations between counterinsurgency and conservation. This contribution analyses how these two phenomena entwine in the Virunga National Park, located in the war-ridden east of the Democratic Republic of the Congo. It examines how this entwinement relates to dynamics of conflict and violence, and how these dynamics shape and are shaped by the livelihood and resistance practices of local inhabitants. As it shows, a particularly important form of resistance is ‘guerrilla livelihood’ activities, or cultivation, (prohibited) fishing and logging within the boundaries of the park, which often take place under the protection of armed groups. By studying the interplay among such unauthorised exploitation of natural resources, different types of conflict, and insurgent mobilisation, it is demonstrated that strict law enforcement and joint operations of the Congolese army and park guards fuel, rather than mitigate, the dynamics feeding into armed mobilisation.","author":[{"dropping-particle":"","family":"Verweijen","given":"Judith","non-dropping-particle":"","parse-names":false,"suffix":""},{"dropping-particle":"","family":"Marijnen","given":"Esther","non-dropping-particle":"","parse-names":false,"suffix":""}],"container-title":"Journal of Peasant Studies","id":"ITEM-4","issue":"2","issued":{"date-parts":[["2018"]]},"page":"300-320","publisher":"Taylor &amp; Francis","title":"The counterinsurgency/conservation nexus: guerrilla livelihoods and the dynamics of conflict and violence in the Virunga National Park, Democratic Republic of the Congo","type":"article-journal","volume":"45"},"uris":["http://www.mendeley.com/documents/?uuid=6a704fcb-f772-4b7d-afd7-8e8a801dfeaa"]},{"id":"ITEM-5","itemData":{"DOI":"10.4103/0972-4923.179885","ISSN":"09753133","abstract":"Drawing on environmental history and political ecology, this paper contributes to growing debates concerning military-environment encounters and conservation militarisation/securitisation by investigating the complex histories and legacies of these relations. Grounding my insights in South Africa's iconic Kruger National Park, I chart how encounters between environment and military/security activity over the last century offer a repeatedly contradictory picture: military activity, skills, and weapons have harmed wildlife and hence reinforced the need for its protection, and they have simultaneously been deployed in the name of such protection. Furthermore, some of these historical engagements failed to materialise as planned and, as such, provide insight into military-environment frictions as well as nature's ability to thwart militarised interventions. Yet other engagements thrived and resulted in the multi-layered militarisation of Kruger, as both protected area and strategic borderland. Several of these encounters have lived on to shape Kruger's current intensive militarisation tied to rhino poaching, both the state response and poaching itself. Past military activity, in fact, provides an arsenal of enabling factors for current poaching-and conservation-related militarised violence that ultimately proves harmful to conservation efforts.","author":[{"dropping-particle":"","family":"Lunstrum","given":"Elizabeth","non-dropping-particle":"","parse-names":false,"suffix":""}],"container-title":"Conservation and Society","id":"ITEM-5","issue":"4","issued":{"date-parts":[["2015"]]},"page":"356-369","title":"Conservation Meets Militarisation in Kruger National Park: Historical Encounters and Complex Legacies","type":"article-journal","volume":"13"},"uris":["http://www.mendeley.com/documents/?uuid=6de05d8a-fc2c-4b65-88ed-736b4d94f3d0"]},{"id":"ITEM-6","itemData":{"DOI":"10.1016/j.geoforum.2016.08.003","ISSN":"00167185","abstract":"In recent years, the militarization of nature conservation has intensified, especially in protected areas located in conflict zones or plagued by ‘poaching crises’. Such ‘green militarization’ is enabled by a range of discursive techniques that allow it to be seen as a ‘normal’ and ‘legitimate’ response. This article analyzes these techniques in relation to the Virunga National Park, located in the war-ridden east of the Democratic Republic of the Congo, where militarized approaches to conservation have a long lineage. It demonstrates that many of the discursive techniques that are currently at play show strong continuities with the past. These include moral boundary-drawing grounded in colonial tropes that accomplish the (racial) Othering of poachers and rebels, and the long-established practice of invoking states of emergency as part of wider mechanisms of securitization. However, the rise of neoliberal conservation, with its emphasis on marketing and marketization, has induced transformations in the employed discursive techniques. Notably, it has intensified the spectacularization of militarized conservation and anchored it in everyday consumer practices, by actively inviting individual supporters to directly fund militarized interventions, thus generating ‘militarization by consumption’. This shows that ‘green militarization’ is not only driven by the growing commodification of nature conservation, but is increasingly subject to commodification itself.","author":[{"dropping-particle":"","family":"Marijnen","given":"Esther","non-dropping-particle":"","parse-names":false,"suffix":""},{"dropping-particle":"","family":"Verweijen","given":"Judith","non-dropping-particle":"","parse-names":false,"suffix":""}],"container-title":"Geoforum","id":"ITEM-6","issued":{"date-parts":[["2016"]]},"page":"274-285","publisher":"Elsevier Ltd","title":"Selling green militarization: The discursive (re)production of militarized conservation in the Virunga National Park, Democratic Republic of the Congo","type":"article-journal","volume":"75"},"uris":["http://www.mendeley.com/documents/?uuid=f2bab9c1-b01e-4487-ac86-b9b61d7458e0"]},{"id":"ITEM-7","itemData":{"DOI":"10.1016/j.geoforum.2015.09.014","ISSN":"00167185","abstract":"In this paper I argue that there has been a critical shift towards war by conservation in which conservation, security and counter insurgency (COIN) are becoming more closely integrated. In this new phase concerns about global security constitute important underlying drivers, while biodiversity conservation is of secondary importance. This is a significant break from earlier phases of fortress conservation and war for biodiversity. In order to develop a better understanding of these shifts, this paper analyzes the existing conceptual approaches, notably environmental security which seeks to understand how resources cause or shape conflict, and political ecology approaches that focus on the struggles over access to and control over resources. However, this paper indicates the limitations of these existing debates for understanding recent shifts, which require a fresh approach. I chart the rise of the narrative I call poachers-as-terrorists, which relies on the invocation of the idea that ivory is the white gold of Jihad, a phrase which is closely associated with an Elephant Action League (EAL) report in 2012 which claimed Al Shabaab used ivory to fund its operations. This narrative is being extended and deepened by a powerful alliance of states, conservation NGOs, Private Military Companies and international organizations, such that it is shaping policies, especially in areas of US geo-strategic interest in Sub-Saharan Africa. As a result conservation is becoming a core element of a global security project, with significant implications for conceptual debates and for conservation practice on the ground.","author":[{"dropping-particle":"","family":"Duffy","given":"Rosaleen","non-dropping-particle":"","parse-names":false,"suffix":""}],"container-title":"Geoforum","id":"ITEM-7","issued":{"date-parts":[["2016"]]},"page":"238-248","title":"War, by Conservation","type":"article-journal","volume":"69"},"uris":["http://www.mendeley.com/documents/?uuid=6f890b89-faea-4e55-bab7-9500f17bbbee"]},{"id":"ITEM-8","itemData":{"DOI":"10.1016/j.geoforum.2015.09.013","ISSN":"00167185","abstract":"This introduction to the themed issue discusses the articulation of protected areas, conservation, and security in issue contributions. Protected areas are presented as localized sites to address global crises, such as anthropogenic climate change and the \"war on terror.\" When they are sites for securitization and militarization, protected areas articulate state and subject formations through violence. As threat discourses have amplified in recent years, communities once deemed putative eco-destroyers have been interpellated as potential threats in wars on drugs and/or terror. The themed issue reveals that reframing environmental crime as organized crime has significant implications for expanding claims of what counts as legitimate use of force in protected areas policing, as well as potential prosecutions. It is apparent that security for one group may hinge on the insecurity of another group at different historical and political moments. In this special issue we challenge conservation actors as well as those critical of conservation to ask: for whom does conservation provide security, under what circumstances, and at what cost?","author":[{"dropping-particle":"","family":"Kelly","given":"Alice B.","non-dropping-particle":"","parse-names":false,"suffix":""},{"dropping-particle":"","family":"Ybarra","given":"Megan","non-dropping-particle":"","parse-names":false,"suffix":""}],"container-title":"Geoforum","id":"ITEM-8","issued":{"date-parts":[["2016"]]},"page":"171-175","title":"Introduction to themed issue: \"Green security in protected areas\"","type":"article-journal","volume":"69"},"uris":["http://www.mendeley.com/documents/?uuid=dfc5766a-1936-440a-bd7d-20ee21f11afc"]},{"id":"ITEM-9","itemData":{"ISBN":"9780520968035","abstract":"Global conservation efforts are celebrated for saving Guatemala's Maya Forest. This book reveals that the process of protecting lands has been one of racialized dispossession for the Indigenous peoples who live there. Through careful ethnography and archival research, Megan Ybarra shows how conservation efforts have turned Q'eqchi' Mayas into immigrants on their own land, and how this is part of a larger national effort to make Indigenous peoples into neoliberal citizens. Even as Q'eqchi's participate in conservation, Green Wars amplifies their call for material decolonization by recognizing the relationship between Indigenous peoples and the land itself.","author":[{"dropping-particle":"","family":"Ybarra","given":"Megan","non-dropping-particle":"","parse-names":false,"suffix":""}],"container-title":"Green Wars: Conservation and Decolonization in the Maya Forest","id":"ITEM-9","issued":{"date-parts":[["2018"]]},"number-of-pages":"1-204","title":"Green Wars: Conservation and Decolonization in the Maya Forest","type":"book"},"uris":["http://www.mendeley.com/documents/?uuid=d001ace5-ebb5-38ab-906f-bd77594b654d"]}],"mendeley":{"formattedCitation":"(Lunstrum, 2014, 2015, 2018; Duffy, 2016; Kelly and Ybarra, 2016; Marijnen and Verweijen, 2016; Verweijen and Marijnen, 2018; Ybarra, 2018; Duffy &lt;i&gt;et al.&lt;/i&gt;, 2019)","plainTextFormattedCitation":"(Lunstrum, 2014, 2015, 2018; Duffy, 2016; Kelly and Ybarra, 2016; Marijnen and Verweijen, 2016; Verweijen and Marijnen, 2018; Ybarra, 2018; Duffy et al., 2019)","previouslyFormattedCitation":"(Lunstrum, 2014, 2015, 2018; Duffy, 2016; Kelly and Ybarra, 2016; Marijnen and Verweijen, 2016; Verweijen and Marijnen, 2018; Ybarra, 2018; Duffy &lt;i&gt;et al.&lt;/i&gt;, 2019)"},"properties":{"noteIndex":0},"schema":"https://github.com/citation-style-language/schema/raw/master/csl-citation.json"}</w:instrText>
      </w:r>
      <w:r>
        <w:rPr>
          <w:rFonts w:cs="Times New Roman"/>
          <w:noProof/>
          <w:sz w:val="22"/>
        </w:rPr>
        <w:fldChar w:fldCharType="separate"/>
      </w:r>
      <w:r w:rsidR="003D57C5" w:rsidRPr="003D57C5">
        <w:rPr>
          <w:rFonts w:cs="Times New Roman"/>
          <w:noProof/>
          <w:sz w:val="22"/>
        </w:rPr>
        <w:t xml:space="preserve">(Lunstrum, 2014, 2015, 2018; Duffy, 2016; Kelly and Ybarra, </w:t>
      </w:r>
      <w:r w:rsidR="003D57C5" w:rsidRPr="003D57C5">
        <w:rPr>
          <w:rFonts w:cs="Times New Roman"/>
          <w:noProof/>
          <w:sz w:val="22"/>
        </w:rPr>
        <w:lastRenderedPageBreak/>
        <w:t xml:space="preserve">2016; Marijnen and Verweijen, 2016; Verweijen and Marijnen, 2018; Ybarra, 2018; Duffy </w:t>
      </w:r>
      <w:r w:rsidR="003D57C5" w:rsidRPr="003D57C5">
        <w:rPr>
          <w:rFonts w:cs="Times New Roman"/>
          <w:i/>
          <w:noProof/>
          <w:sz w:val="22"/>
        </w:rPr>
        <w:t>et al.</w:t>
      </w:r>
      <w:r w:rsidR="003D57C5" w:rsidRPr="003D57C5">
        <w:rPr>
          <w:rFonts w:cs="Times New Roman"/>
          <w:noProof/>
          <w:sz w:val="22"/>
        </w:rPr>
        <w:t>, 2019)</w:t>
      </w:r>
      <w:r>
        <w:rPr>
          <w:rFonts w:cs="Times New Roman"/>
          <w:noProof/>
          <w:sz w:val="22"/>
        </w:rPr>
        <w:fldChar w:fldCharType="end"/>
      </w:r>
      <w:r>
        <w:rPr>
          <w:rFonts w:cs="Times New Roman"/>
          <w:noProof/>
          <w:sz w:val="22"/>
        </w:rPr>
        <w:t xml:space="preserve">; as it also examines the impacts of intertwining conservation with concerns about national security and the </w:t>
      </w:r>
      <w:r w:rsidR="00FC2335">
        <w:rPr>
          <w:rFonts w:cs="Times New Roman"/>
          <w:noProof/>
          <w:sz w:val="22"/>
        </w:rPr>
        <w:t>threats of transnational organis</w:t>
      </w:r>
      <w:r>
        <w:rPr>
          <w:rFonts w:cs="Times New Roman"/>
          <w:noProof/>
          <w:sz w:val="22"/>
        </w:rPr>
        <w:t>ed crime. However, geopolitical ecologies of co</w:t>
      </w:r>
      <w:r w:rsidR="00FC2335">
        <w:rPr>
          <w:rFonts w:cs="Times New Roman"/>
          <w:noProof/>
          <w:sz w:val="22"/>
        </w:rPr>
        <w:t>nservation recognises that the “</w:t>
      </w:r>
      <w:r>
        <w:rPr>
          <w:rFonts w:cs="Times New Roman"/>
          <w:noProof/>
          <w:sz w:val="22"/>
        </w:rPr>
        <w:t>integration of biodiversity conservation, geopolitics and security interests may not necessarily lead to militarized or</w:t>
      </w:r>
      <w:r w:rsidR="00FC2335">
        <w:rPr>
          <w:rFonts w:cs="Times New Roman"/>
          <w:noProof/>
          <w:sz w:val="22"/>
        </w:rPr>
        <w:t xml:space="preserve"> outright securitized responses”</w:t>
      </w:r>
      <w:r>
        <w:rPr>
          <w:rFonts w:cs="Times New Roman"/>
          <w:noProof/>
          <w:sz w:val="22"/>
        </w:rPr>
        <w:t xml:space="preserve"> (Massé &amp; Margulies, </w:t>
      </w:r>
      <w:r w:rsidR="00586534">
        <w:rPr>
          <w:rFonts w:cs="Times New Roman"/>
          <w:noProof/>
          <w:sz w:val="22"/>
        </w:rPr>
        <w:t>2020:3</w:t>
      </w:r>
      <w:r>
        <w:rPr>
          <w:rFonts w:cs="Times New Roman"/>
          <w:noProof/>
          <w:sz w:val="22"/>
        </w:rPr>
        <w:t>). Thus, rather than analysing localized examples of militarised conservation, geopolitical ecologies of conservation takes a broader lens to consider the wider geopolitics shaping conservation priorities internationally. For example, Massé &amp; Margulies (</w:t>
      </w:r>
      <w:r w:rsidR="00586534">
        <w:rPr>
          <w:rFonts w:cs="Times New Roman"/>
          <w:noProof/>
          <w:sz w:val="22"/>
        </w:rPr>
        <w:t>2020</w:t>
      </w:r>
      <w:r>
        <w:rPr>
          <w:rFonts w:cs="Times New Roman"/>
          <w:noProof/>
          <w:sz w:val="22"/>
        </w:rPr>
        <w:t xml:space="preserve">) examine the institutional politics of the US Fish and Wildlife Service </w:t>
      </w:r>
      <w:r w:rsidR="00586534">
        <w:rPr>
          <w:rFonts w:cs="Times New Roman"/>
          <w:noProof/>
          <w:sz w:val="22"/>
        </w:rPr>
        <w:t xml:space="preserve">(USFWS) </w:t>
      </w:r>
      <w:r>
        <w:rPr>
          <w:rFonts w:cs="Times New Roman"/>
          <w:noProof/>
          <w:sz w:val="22"/>
        </w:rPr>
        <w:t>to ascertain how concerns about IWT as a security issue, shape the geopolitical ecologies of conservation foreign assistance. They demonstrate how USFWS’ foreign conservation assistance has shifted towards projects prioriti</w:t>
      </w:r>
      <w:r w:rsidR="00586534">
        <w:rPr>
          <w:rFonts w:cs="Times New Roman"/>
          <w:noProof/>
          <w:sz w:val="22"/>
        </w:rPr>
        <w:t xml:space="preserve">sing anti-wildlife trafficking, </w:t>
      </w:r>
      <w:r>
        <w:rPr>
          <w:rFonts w:cs="Times New Roman"/>
          <w:noProof/>
          <w:sz w:val="22"/>
        </w:rPr>
        <w:t>rather than funding species and habitat conserv</w:t>
      </w:r>
      <w:r w:rsidR="00586534">
        <w:rPr>
          <w:rFonts w:cs="Times New Roman"/>
          <w:noProof/>
          <w:sz w:val="22"/>
        </w:rPr>
        <w:t>ation or community-led conservation projects</w:t>
      </w:r>
      <w:r>
        <w:rPr>
          <w:rFonts w:cs="Times New Roman"/>
          <w:noProof/>
          <w:sz w:val="22"/>
        </w:rPr>
        <w:t>. This t</w:t>
      </w:r>
      <w:r w:rsidR="00586534">
        <w:rPr>
          <w:rFonts w:cs="Times New Roman"/>
          <w:noProof/>
          <w:sz w:val="22"/>
        </w:rPr>
        <w:t>hey argue, is demonstrative of “</w:t>
      </w:r>
      <w:r>
        <w:rPr>
          <w:rFonts w:cs="Times New Roman"/>
          <w:noProof/>
          <w:sz w:val="22"/>
        </w:rPr>
        <w:t xml:space="preserve">geopolitics working </w:t>
      </w:r>
      <w:r w:rsidRPr="00890093">
        <w:rPr>
          <w:rFonts w:cs="Times New Roman"/>
          <w:i/>
          <w:noProof/>
          <w:sz w:val="22"/>
        </w:rPr>
        <w:t>through</w:t>
      </w:r>
      <w:r w:rsidR="00586534">
        <w:rPr>
          <w:rFonts w:cs="Times New Roman"/>
          <w:noProof/>
          <w:sz w:val="22"/>
        </w:rPr>
        <w:t xml:space="preserve"> conservation” </w:t>
      </w:r>
      <w:r>
        <w:rPr>
          <w:rFonts w:cs="Times New Roman"/>
          <w:noProof/>
          <w:sz w:val="22"/>
        </w:rPr>
        <w:t>and impacting biodiversity conservation on the ground (Massé &amp; Margulies,</w:t>
      </w:r>
      <w:r w:rsidR="00586534">
        <w:rPr>
          <w:rFonts w:cs="Times New Roman"/>
          <w:noProof/>
          <w:sz w:val="22"/>
        </w:rPr>
        <w:t xml:space="preserve"> 2020:3</w:t>
      </w:r>
      <w:r>
        <w:rPr>
          <w:rFonts w:cs="Times New Roman"/>
          <w:noProof/>
          <w:sz w:val="22"/>
        </w:rPr>
        <w:t xml:space="preserve">). </w:t>
      </w:r>
    </w:p>
    <w:p w14:paraId="0514768A" w14:textId="337B8791" w:rsidR="001139CD" w:rsidRDefault="001139CD" w:rsidP="001139CD">
      <w:pPr>
        <w:widowControl w:val="0"/>
        <w:autoSpaceDE w:val="0"/>
        <w:autoSpaceDN w:val="0"/>
        <w:adjustRightInd w:val="0"/>
        <w:ind w:firstLine="720"/>
        <w:rPr>
          <w:rFonts w:cs="Times New Roman"/>
          <w:noProof/>
          <w:sz w:val="22"/>
        </w:rPr>
      </w:pPr>
      <w:r>
        <w:rPr>
          <w:rFonts w:cs="Times New Roman"/>
          <w:noProof/>
          <w:sz w:val="22"/>
        </w:rPr>
        <w:fldChar w:fldCharType="begin" w:fldLock="1"/>
      </w:r>
      <w:r>
        <w:rPr>
          <w:rFonts w:cs="Times New Roman"/>
          <w:noProof/>
          <w:sz w:val="22"/>
        </w:rPr>
        <w:instrText>ADDIN CSL_CITATION {"citationItems":[{"id":"ITEM-1","itemData":{"DOI":"10.1016/j.polgeo.2016.11.012","ISSN":"09626298","author":[{"dropping-particle":"","family":"Ramutsindela","given":"Maano","non-dropping-particle":"","parse-names":false,"suffix":""}],"container-title":"Political Geography","id":"ITEM-1","issued":{"date-parts":[["2017"]]},"page":"106-113","publisher":"Elsevier Ltd","title":"Greening Africa's borderlands: The symbiotic politics of land and borders in peace parks","type":"article-journal","volume":"56"},"uris":["http://www.mendeley.com/documents/?uuid=a360ce81-b9f5-4d9d-bb15-7181df307865"]}],"mendeley":{"formattedCitation":"(Ramutsindela, 2017)","manualFormatting":"Ramutsindela's (2017)","plainTextFormattedCitation":"(Ramutsindela, 2017)","previouslyFormattedCitation":"(Ramutsindela, 2017)"},"properties":{"noteIndex":0},"schema":"https://github.com/citation-style-language/schema/raw/master/csl-citation.json"}</w:instrText>
      </w:r>
      <w:r>
        <w:rPr>
          <w:rFonts w:cs="Times New Roman"/>
          <w:noProof/>
          <w:sz w:val="22"/>
        </w:rPr>
        <w:fldChar w:fldCharType="separate"/>
      </w:r>
      <w:r>
        <w:rPr>
          <w:rFonts w:cs="Times New Roman"/>
          <w:noProof/>
          <w:sz w:val="22"/>
        </w:rPr>
        <w:t>Ramutsindela's (</w:t>
      </w:r>
      <w:r w:rsidRPr="00F00AB6">
        <w:rPr>
          <w:rFonts w:cs="Times New Roman"/>
          <w:noProof/>
          <w:sz w:val="22"/>
        </w:rPr>
        <w:t>2017)</w:t>
      </w:r>
      <w:r>
        <w:rPr>
          <w:rFonts w:cs="Times New Roman"/>
          <w:noProof/>
          <w:sz w:val="22"/>
        </w:rPr>
        <w:fldChar w:fldCharType="end"/>
      </w:r>
      <w:r>
        <w:rPr>
          <w:rFonts w:cs="Times New Roman"/>
          <w:noProof/>
          <w:sz w:val="22"/>
        </w:rPr>
        <w:t xml:space="preserve"> theorisation of the political ecology of borders in African peace parks, also speaks to </w:t>
      </w:r>
      <w:r w:rsidR="000110D9">
        <w:rPr>
          <w:rFonts w:cs="Times New Roman"/>
          <w:noProof/>
          <w:sz w:val="22"/>
        </w:rPr>
        <w:t>the notion of “</w:t>
      </w:r>
      <w:r>
        <w:rPr>
          <w:rFonts w:cs="Times New Roman"/>
          <w:noProof/>
          <w:sz w:val="22"/>
        </w:rPr>
        <w:t xml:space="preserve">geopolitics working </w:t>
      </w:r>
      <w:r w:rsidRPr="00F00AB6">
        <w:rPr>
          <w:rFonts w:cs="Times New Roman"/>
          <w:i/>
          <w:noProof/>
          <w:sz w:val="22"/>
        </w:rPr>
        <w:t xml:space="preserve">through </w:t>
      </w:r>
      <w:r w:rsidR="000110D9">
        <w:rPr>
          <w:rFonts w:cs="Times New Roman"/>
          <w:noProof/>
          <w:sz w:val="22"/>
        </w:rPr>
        <w:t>conservation” (Massé &amp; Margulies, 2020:3). Ramutsindela</w:t>
      </w:r>
      <w:r>
        <w:rPr>
          <w:rFonts w:cs="Times New Roman"/>
          <w:noProof/>
          <w:sz w:val="22"/>
        </w:rPr>
        <w:t xml:space="preserve"> argues that the creation of peace parks i</w:t>
      </w:r>
      <w:r w:rsidR="000110D9">
        <w:rPr>
          <w:rFonts w:cs="Times New Roman"/>
          <w:noProof/>
          <w:sz w:val="22"/>
        </w:rPr>
        <w:t>n Southern Africa represents a “</w:t>
      </w:r>
      <w:r>
        <w:rPr>
          <w:rFonts w:cs="Times New Roman"/>
          <w:noProof/>
          <w:sz w:val="22"/>
        </w:rPr>
        <w:t>new form of environment</w:t>
      </w:r>
      <w:r w:rsidR="000110D9">
        <w:rPr>
          <w:rFonts w:cs="Times New Roman"/>
          <w:noProof/>
          <w:sz w:val="22"/>
        </w:rPr>
        <w:t>ally inspired micro-regionalism”</w:t>
      </w:r>
      <w:r>
        <w:rPr>
          <w:rFonts w:cs="Times New Roman"/>
          <w:noProof/>
          <w:sz w:val="22"/>
        </w:rPr>
        <w:t>, which reconfigures the borderlands into a transnational frontier space in order to achieve environmental, economic and political goals (</w:t>
      </w:r>
      <w:r w:rsidR="000110D9">
        <w:rPr>
          <w:rFonts w:cs="Times New Roman"/>
          <w:noProof/>
          <w:sz w:val="22"/>
        </w:rPr>
        <w:t>2017</w:t>
      </w:r>
      <w:r>
        <w:rPr>
          <w:rFonts w:cs="Times New Roman"/>
          <w:noProof/>
          <w:sz w:val="22"/>
        </w:rPr>
        <w:t>:106). The de-institutionalising of geopolitical borders via peace parks, speaks to a burgeoning Pan-Africanism and anti-colonial mentality; but Ramutsindela suggests that in reality the peace parks further subjugate already marginalised groups, and entrench racialized division</w:t>
      </w:r>
      <w:r w:rsidR="000110D9">
        <w:rPr>
          <w:rFonts w:cs="Times New Roman"/>
          <w:noProof/>
          <w:sz w:val="22"/>
        </w:rPr>
        <w:t>s</w:t>
      </w:r>
      <w:r>
        <w:rPr>
          <w:rFonts w:cs="Times New Roman"/>
          <w:noProof/>
          <w:sz w:val="22"/>
        </w:rPr>
        <w:t xml:space="preserve"> of land rights (2017: 110). Geopolitical ecologies of conservation is therefore less about how powerful geopolitical institutions directly manage nature and contribute to environmental change – as with the weaponization of nature – but how broad geopolitical contexts, discourses, and dynamics shape conservation activities with unequal material and political impacts on the ground (Massé &amp; Margulies,</w:t>
      </w:r>
      <w:r w:rsidR="000110D9">
        <w:rPr>
          <w:rFonts w:cs="Times New Roman"/>
          <w:noProof/>
          <w:sz w:val="22"/>
        </w:rPr>
        <w:t xml:space="preserve"> 2020</w:t>
      </w:r>
      <w:r>
        <w:rPr>
          <w:rFonts w:cs="Times New Roman"/>
          <w:noProof/>
          <w:sz w:val="22"/>
        </w:rPr>
        <w:t>).</w:t>
      </w:r>
    </w:p>
    <w:p w14:paraId="7D144719" w14:textId="5ED064CA" w:rsidR="001139CD" w:rsidRDefault="001139CD" w:rsidP="001139CD">
      <w:pPr>
        <w:widowControl w:val="0"/>
        <w:autoSpaceDE w:val="0"/>
        <w:autoSpaceDN w:val="0"/>
        <w:adjustRightInd w:val="0"/>
        <w:ind w:firstLine="720"/>
        <w:rPr>
          <w:rFonts w:cs="Times New Roman"/>
          <w:noProof/>
          <w:sz w:val="22"/>
        </w:rPr>
      </w:pPr>
      <w:r>
        <w:rPr>
          <w:rFonts w:cs="Times New Roman"/>
          <w:noProof/>
          <w:sz w:val="22"/>
        </w:rPr>
        <w:t>The final key theme in geopolitical ecology scholarship is the geopolitical ecologies of natural resource governance. Clearly this intersects with the previous themes on weaponized nature and conservation given the focus on examining what Havice calls t</w:t>
      </w:r>
      <w:r w:rsidR="00A42D8D">
        <w:rPr>
          <w:rFonts w:cs="Times New Roman"/>
          <w:noProof/>
          <w:sz w:val="22"/>
        </w:rPr>
        <w:t>he “</w:t>
      </w:r>
      <w:r>
        <w:rPr>
          <w:rFonts w:cs="Times New Roman"/>
          <w:noProof/>
          <w:sz w:val="22"/>
        </w:rPr>
        <w:t>sovereignty-territory relat</w:t>
      </w:r>
      <w:r w:rsidR="00A42D8D">
        <w:rPr>
          <w:rFonts w:cs="Times New Roman"/>
          <w:noProof/>
          <w:sz w:val="22"/>
        </w:rPr>
        <w:t>ion in the context of resources”</w:t>
      </w:r>
      <w:r>
        <w:rPr>
          <w:rFonts w:cs="Times New Roman"/>
          <w:noProof/>
          <w:sz w:val="22"/>
        </w:rPr>
        <w:t xml:space="preserve"> </w:t>
      </w:r>
      <w:r>
        <w:rPr>
          <w:rFonts w:cs="Times New Roman"/>
          <w:noProof/>
          <w:sz w:val="22"/>
        </w:rPr>
        <w:fldChar w:fldCharType="begin" w:fldLock="1"/>
      </w:r>
      <w:r>
        <w:rPr>
          <w:rFonts w:cs="Times New Roman"/>
          <w:noProof/>
          <w:sz w:val="22"/>
        </w:rPr>
        <w:instrText>ADDIN CSL_CITATION {"citationItems":[{"id":"ITEM-1","itemData":{"DOI":"10.1080/24694452.2018.1446820","ISSN":"2469-4452","author":[{"dropping-particle":"","family":"Havice","given":"Elizabeth","non-dropping-particle":"","parse-names":false,"suffix":""}],"container-title":"Annals of the American Association of Geographers","id":"ITEM-1","issue":"5","issued":{"date-parts":[["2018","9","3"]]},"page":"1280-1297","title":"Unsettled Sovereignty and the Sea: Mobilities and More-Than-Territorial Configurations of State Power","type":"article-journal","volume":"108"},"uris":["http://www.mendeley.com/documents/?uuid=6680a181-1bce-3aa3-a2b2-0b30f361edeb"]}],"mendeley":{"formattedCitation":"(Havice, 2018)","manualFormatting":"(2018: 3)","plainTextFormattedCitation":"(Havice, 2018)","previouslyFormattedCitation":"(Havice, 2018)"},"properties":{"noteIndex":0},"schema":"https://github.com/citation-style-language/schema/raw/master/csl-citation.json"}</w:instrText>
      </w:r>
      <w:r>
        <w:rPr>
          <w:rFonts w:cs="Times New Roman"/>
          <w:noProof/>
          <w:sz w:val="22"/>
        </w:rPr>
        <w:fldChar w:fldCharType="separate"/>
      </w:r>
      <w:r>
        <w:rPr>
          <w:rFonts w:cs="Times New Roman"/>
          <w:noProof/>
          <w:sz w:val="22"/>
        </w:rPr>
        <w:t>(</w:t>
      </w:r>
      <w:r w:rsidRPr="00FE4EB6">
        <w:rPr>
          <w:rFonts w:cs="Times New Roman"/>
          <w:noProof/>
          <w:sz w:val="22"/>
        </w:rPr>
        <w:t>2018</w:t>
      </w:r>
      <w:r>
        <w:rPr>
          <w:rFonts w:cs="Times New Roman"/>
          <w:noProof/>
          <w:sz w:val="22"/>
        </w:rPr>
        <w:t>: 3</w:t>
      </w:r>
      <w:r w:rsidRPr="00FE4EB6">
        <w:rPr>
          <w:rFonts w:cs="Times New Roman"/>
          <w:noProof/>
          <w:sz w:val="22"/>
        </w:rPr>
        <w:t>)</w:t>
      </w:r>
      <w:r>
        <w:rPr>
          <w:rFonts w:cs="Times New Roman"/>
          <w:noProof/>
          <w:sz w:val="22"/>
        </w:rPr>
        <w:fldChar w:fldCharType="end"/>
      </w:r>
      <w:r>
        <w:rPr>
          <w:rFonts w:cs="Times New Roman"/>
          <w:noProof/>
          <w:sz w:val="22"/>
        </w:rPr>
        <w:t>. In other words</w:t>
      </w:r>
      <w:r w:rsidR="00A42D8D">
        <w:rPr>
          <w:rFonts w:cs="Times New Roman"/>
          <w:noProof/>
          <w:sz w:val="22"/>
        </w:rPr>
        <w:t>,</w:t>
      </w:r>
      <w:r>
        <w:rPr>
          <w:rFonts w:cs="Times New Roman"/>
          <w:noProof/>
          <w:sz w:val="22"/>
        </w:rPr>
        <w:t xml:space="preserve"> this </w:t>
      </w:r>
      <w:r w:rsidR="00A42D8D">
        <w:rPr>
          <w:rFonts w:cs="Times New Roman"/>
          <w:noProof/>
          <w:sz w:val="22"/>
        </w:rPr>
        <w:t xml:space="preserve">line of scholarship examines </w:t>
      </w:r>
      <w:r>
        <w:rPr>
          <w:rFonts w:cs="Times New Roman"/>
          <w:noProof/>
          <w:sz w:val="22"/>
        </w:rPr>
        <w:t xml:space="preserve">how geopolitical institutions exercise control over natural resources in order to extend state power and influence over particular territorial spaces. However the scholarship on geopolitical ecologies of natural resource governance further expands the parameters of geopolitical ecology and does not neatly fit into either of the aforementioned categories. Indeed, a defining contribution of scholarship on the geopolitical ecologies of natural resource governance, is foregrounding how traditionally fixed categories such as </w:t>
      </w:r>
      <w:r>
        <w:rPr>
          <w:rFonts w:cs="Times New Roman"/>
          <w:noProof/>
          <w:sz w:val="22"/>
        </w:rPr>
        <w:lastRenderedPageBreak/>
        <w:t xml:space="preserve">territory and sovereignty are rendered increasingly unstable and fluid by geopolitical efforts to extract capital from, and exert influence over nature. </w:t>
      </w:r>
    </w:p>
    <w:p w14:paraId="12960794" w14:textId="1EB360B5" w:rsidR="001139CD" w:rsidRDefault="001139CD" w:rsidP="00247213">
      <w:pPr>
        <w:widowControl w:val="0"/>
        <w:autoSpaceDE w:val="0"/>
        <w:autoSpaceDN w:val="0"/>
        <w:adjustRightInd w:val="0"/>
        <w:ind w:firstLine="720"/>
        <w:rPr>
          <w:rFonts w:cs="Times New Roman"/>
          <w:noProof/>
          <w:sz w:val="22"/>
        </w:rPr>
      </w:pPr>
      <w:r>
        <w:rPr>
          <w:rFonts w:cs="Times New Roman"/>
          <w:noProof/>
          <w:sz w:val="22"/>
        </w:rPr>
        <w:t xml:space="preserve">This is particularly prevalent in Havice’s (2018) account of the ‘more-than-territorial’ configurations of state power between the US and Pacific Island States, demonstrated in their efforts to access and control migratory tuna stocks. Havice explores how long-standing treaty agreements over the extraction and management of tuna, have been used by the US and Pacific Island Parties to test the powers and limits of sovereignty when exercised over ocean territories and resources. Havice’s work represents a move towards ‘wet ontologies’ </w:t>
      </w:r>
      <w:r>
        <w:rPr>
          <w:rFonts w:cs="Times New Roman"/>
          <w:noProof/>
          <w:sz w:val="22"/>
        </w:rPr>
        <w:fldChar w:fldCharType="begin" w:fldLock="1"/>
      </w:r>
      <w:r w:rsidR="00EC7F7E">
        <w:rPr>
          <w:rFonts w:cs="Times New Roman"/>
          <w:noProof/>
          <w:sz w:val="22"/>
        </w:rPr>
        <w:instrText>ADDIN CSL_CITATION {"citationItems":[{"id":"ITEM-1","itemData":{"DOI":"10.1068/d14148p","abstract":"This paper expands on recent attempts to destabilise the static, bordered, and linear framings that typify human geographical studies of place, territory, and time. In a world conceptualised as open, immanent, and ever-becoming, scholars have turned away from notions of fixity towards fluidity and flow, and, in so doing, have developed networked, 'flat' ontologies. Recent attempts have gone further, challenging the horizontalism inherent in such approaches by opening up a vertical world of volume. In this paper we contend that such approaches are still somewhat lacking. The vertical element of volume is all too often abstract and dematerialised; the emphasis on materiality that is typically used to rectify this excess of abstraction tends to reproduce a sense of matter as fixed and grounded; and the temporality that is employed to reintroduce 'motion' to matter has the unintended effect of signalling a periodised sense of time that minimises the chaotic underpinnings and experiences of place. We argue that the ocean is an ideal spatial foundation for addressing these challenges since it is indisputably voluminous, stubbornly material, and unmistakably undergoing continual reformation, and that a 'wet ontology' can reinvigorate, redirect, and reshape debates that are all too often restricted by terrestrial limits.","author":[{"dropping-particle":"","family":"Steinberg","given":"Philip","non-dropping-particle":"","parse-names":false,"suffix":""},{"dropping-particle":"","family":"Peters","given":"Kimberley","non-dropping-particle":"","parse-names":false,"suffix":""}],"container-title":"Society and Space","id":"ITEM-1","issued":{"date-parts":[["2015"]]},"page":"247-264","title":"Wet ontologies, fluid spaces: giving depth to volume through oceanic thinking","type":"article-journal","volume":"33"},"uris":["http://www.mendeley.com/documents/?uuid=724243b1-0a6c-3f55-918c-085f6c647df9"]}],"mendeley":{"formattedCitation":"(Steinberg and Peters, 2015)","plainTextFormattedCitation":"(Steinberg and Peters, 2015)","previouslyFormattedCitation":"(Steinberg and Peters, 2015)"},"properties":{"noteIndex":0},"schema":"https://github.com/citation-style-language/schema/raw/master/csl-citation.json"}</w:instrText>
      </w:r>
      <w:r>
        <w:rPr>
          <w:rFonts w:cs="Times New Roman"/>
          <w:noProof/>
          <w:sz w:val="22"/>
        </w:rPr>
        <w:fldChar w:fldCharType="separate"/>
      </w:r>
      <w:r w:rsidR="00042533" w:rsidRPr="00042533">
        <w:rPr>
          <w:rFonts w:cs="Times New Roman"/>
          <w:noProof/>
          <w:sz w:val="22"/>
        </w:rPr>
        <w:t>(Steinberg and Peters, 2015)</w:t>
      </w:r>
      <w:r>
        <w:rPr>
          <w:rFonts w:cs="Times New Roman"/>
          <w:noProof/>
          <w:sz w:val="22"/>
        </w:rPr>
        <w:fldChar w:fldCharType="end"/>
      </w:r>
      <w:r>
        <w:rPr>
          <w:rFonts w:cs="Times New Roman"/>
          <w:noProof/>
          <w:sz w:val="22"/>
        </w:rPr>
        <w:t xml:space="preserve"> that call for radical reconceptualization of classic geopolitical notions such as territoriy, terra-firma, and fixity, when considering how power is exercised in spaces beyond land (see also </w:t>
      </w:r>
      <w:r>
        <w:rPr>
          <w:rFonts w:cs="Times New Roman"/>
          <w:noProof/>
          <w:sz w:val="22"/>
        </w:rPr>
        <w:fldChar w:fldCharType="begin" w:fldLock="1"/>
      </w:r>
      <w:r w:rsidR="00EC7F7E">
        <w:rPr>
          <w:rFonts w:cs="Times New Roman"/>
          <w:noProof/>
          <w:sz w:val="22"/>
        </w:rPr>
        <w:instrText>ADDIN CSL_CITATION {"citationItems":[{"id":"ITEM-1","itemData":{"DOI":"10.1016/j.polgeo.2018.11.004","ISSN":"09626298","author":[{"dropping-particle":"","family":"Acton","given":"Leslie","non-dropping-particle":"","parse-names":false,"suffix":""},{"dropping-particle":"","family":"Campbell","given":"Lisa M.","non-dropping-particle":"","parse-names":false,"suffix":""},{"dropping-particle":"","family":"Cleary","given":"Jesse","non-dropping-particle":"","parse-names":false,"suffix":""},{"dropping-particle":"","family":"Gray","given":"Noella J.","non-dropping-particle":"","parse-names":false,"suffix":""},{"dropping-particle":"","family":"Halpin","given":"Patrick N.","non-dropping-particle":"","parse-names":false,"suffix":""}],"container-title":"Political Geography","id":"ITEM-1","issued":{"date-parts":[["2019","1"]]},"page":"86-100","title":"What is the Sargasso Sea? The problem of fixing space in a fluid ocean","type":"article-journal","volume":"68"},"uris":["http://www.mendeley.com/documents/?uuid=e2cc5d62-7ad3-3cbc-83d7-cd3f0147d63e"]}],"mendeley":{"formattedCitation":"(Acton &lt;i&gt;et al.&lt;/i&gt;, 2019)","manualFormatting":"Acton et al., 2019)","plainTextFormattedCitation":"(Acton et al., 2019)","previouslyFormattedCitation":"(Acton &lt;i&gt;et al.&lt;/i&gt;, 2019)"},"properties":{"noteIndex":0},"schema":"https://github.com/citation-style-language/schema/raw/master/csl-citation.json"}</w:instrText>
      </w:r>
      <w:r>
        <w:rPr>
          <w:rFonts w:cs="Times New Roman"/>
          <w:noProof/>
          <w:sz w:val="22"/>
        </w:rPr>
        <w:fldChar w:fldCharType="separate"/>
      </w:r>
      <w:r w:rsidRPr="00607377">
        <w:rPr>
          <w:rFonts w:cs="Times New Roman"/>
          <w:noProof/>
          <w:sz w:val="22"/>
        </w:rPr>
        <w:t xml:space="preserve">Acton </w:t>
      </w:r>
      <w:r w:rsidRPr="00607377">
        <w:rPr>
          <w:rFonts w:cs="Times New Roman"/>
          <w:i/>
          <w:noProof/>
          <w:sz w:val="22"/>
        </w:rPr>
        <w:t>et al.</w:t>
      </w:r>
      <w:r w:rsidRPr="00607377">
        <w:rPr>
          <w:rFonts w:cs="Times New Roman"/>
          <w:noProof/>
          <w:sz w:val="22"/>
        </w:rPr>
        <w:t>, 2019)</w:t>
      </w:r>
      <w:r>
        <w:rPr>
          <w:rFonts w:cs="Times New Roman"/>
          <w:noProof/>
          <w:sz w:val="22"/>
        </w:rPr>
        <w:fldChar w:fldCharType="end"/>
      </w:r>
      <w:r>
        <w:rPr>
          <w:rFonts w:cs="Times New Roman"/>
          <w:noProof/>
          <w:sz w:val="22"/>
        </w:rPr>
        <w:t xml:space="preserve">. Admittedly, thinking ‘extra-territorially’ or in ‘more-than-territorial’ ways is not applicable to all research on the geopolitical ecologies of resource governance. But, this example points to a wider need to consider the geopolitical ecologies of resource governance as mobile, contested, and in a constant state of flux. Moreover, Havice’s (2018) discussion demonstrates that in order to understand the nuances of geopolitical ecologies, it is useful to displace the hold that traditional geopolitical actors and </w:t>
      </w:r>
      <w:r w:rsidR="00A42D8D">
        <w:rPr>
          <w:rFonts w:cs="Times New Roman"/>
          <w:noProof/>
          <w:sz w:val="22"/>
        </w:rPr>
        <w:t>categories such as ‘sovereignty</w:t>
      </w:r>
      <w:r>
        <w:rPr>
          <w:rFonts w:cs="Times New Roman"/>
          <w:noProof/>
          <w:sz w:val="22"/>
        </w:rPr>
        <w:t>’ and ‘t</w:t>
      </w:r>
      <w:r w:rsidR="00247213">
        <w:rPr>
          <w:rFonts w:cs="Times New Roman"/>
          <w:noProof/>
          <w:sz w:val="22"/>
        </w:rPr>
        <w:t xml:space="preserve">erritory’ have on our thinking. Considering the role of economic actors – in this case the US-flagged tuna fishing fleet – adds nuance to accounts of the geopolitical ecologies of natural resource governance in the context of environmental change. </w:t>
      </w:r>
    </w:p>
    <w:p w14:paraId="5320A688" w14:textId="77777777" w:rsidR="00247213" w:rsidRPr="00247213" w:rsidRDefault="00247213" w:rsidP="00247213">
      <w:pPr>
        <w:widowControl w:val="0"/>
        <w:autoSpaceDE w:val="0"/>
        <w:autoSpaceDN w:val="0"/>
        <w:adjustRightInd w:val="0"/>
        <w:ind w:firstLine="720"/>
        <w:rPr>
          <w:rFonts w:cs="Times New Roman"/>
          <w:noProof/>
          <w:sz w:val="22"/>
        </w:rPr>
      </w:pPr>
    </w:p>
    <w:p w14:paraId="20AD6DAB" w14:textId="77777777" w:rsidR="001139CD" w:rsidRPr="001139CD" w:rsidRDefault="001139CD" w:rsidP="001139CD">
      <w:pPr>
        <w:pStyle w:val="Heading3"/>
        <w:rPr>
          <w:noProof/>
        </w:rPr>
      </w:pPr>
      <w:bookmarkStart w:id="20" w:name="_Toc453224193"/>
      <w:r w:rsidRPr="001139CD">
        <w:rPr>
          <w:noProof/>
        </w:rPr>
        <w:t>2.1.3 Environmental geopolitics and geopolitical ecology in dialogue</w:t>
      </w:r>
      <w:bookmarkEnd w:id="20"/>
    </w:p>
    <w:p w14:paraId="3854F5BD" w14:textId="701BEA2C" w:rsidR="001139CD" w:rsidRDefault="001139CD" w:rsidP="001139CD">
      <w:pPr>
        <w:widowControl w:val="0"/>
        <w:autoSpaceDE w:val="0"/>
        <w:autoSpaceDN w:val="0"/>
        <w:adjustRightInd w:val="0"/>
        <w:rPr>
          <w:rFonts w:cs="Times New Roman"/>
          <w:noProof/>
          <w:sz w:val="22"/>
        </w:rPr>
      </w:pPr>
      <w:r>
        <w:rPr>
          <w:rFonts w:cs="Times New Roman"/>
          <w:noProof/>
          <w:sz w:val="22"/>
        </w:rPr>
        <w:t xml:space="preserve">I promote a more sustained and ongoing dialogue between environmental geopolitics and geopolitical ecology. Environmental geopolitics is developing as a distinct branch of critical geopolitics; and it is evident that some of the ideas and approaches in environmental geopolitics are foundational to geopolitical ecology, given geopolitical ecology’s efforts to combine critical geopolitics with political ecology. For example, the influence of environmental geopolitics is demonstrated through geopolitical ecology’s focus on analysing the material-discursive construction of socionatures. Given that both approaches theorise the geopolitics of environmental change, there are also clear commonalities in the choice of empirical subject matter, such as: supply chains </w:t>
      </w:r>
      <w:r>
        <w:rPr>
          <w:rFonts w:cs="Times New Roman"/>
          <w:noProof/>
          <w:sz w:val="22"/>
        </w:rPr>
        <w:fldChar w:fldCharType="begin" w:fldLock="1"/>
      </w:r>
      <w:r w:rsidR="00EC7F7E">
        <w:rPr>
          <w:rFonts w:cs="Times New Roman"/>
          <w:noProof/>
          <w:sz w:val="22"/>
        </w:rPr>
        <w:instrText>ADDIN CSL_CITATION {"citationItems":[{"id":"ITEM-1","itemData":{"DOI":"10.1111/tran.12319","ISSN":"14755661","abstract":"This paper examines the US military's impact on climate by analysing the geopolitical ecology of its global logistical supply chains. Our geopolitical ecology framework interrogates the material-ecological metabolic flows (hydrocarbon-based fuels, water, sand, concrete) that shape geopolitical and geoeconomic power relations. We argue that to account for the US military as a major climate actor, one must understand the logistical supply chain that makes its acquisition and consumption of hydrocarbon-based fuels possible. Our paper focuses on the US Defense Logistics Agency – Energy (DLA-E), a large yet virtually unresearched sub-agency within the US Department of Defense. The DLA-E is the primary purchase-point for hydrocarbon-based fuels for the US military, as well as a powerful actor in the global oil market. After outlining our geopolitical ecology approach, we detail the scope of the DLA-E's operations, its supply chain, bureaucratic practices, and the physical infrastructure that facilitates the US military's consumption of hydro-based carbons on a global scale. We show several “path dependencies” – warfighting paradigms, weapons systems, bureaucratic requirements, and waste – that are put in place by military supply chains and undergird a heavy reliance on carbon-based fuels by the US military for years to come. The paper, based on comprehensive records of bulk fuel purchases we have gathered from DLA-E through Freedom of Information Act requests, represents a partial yet robust picture of the geopolitical ecology of American imperialism.","author":[{"dropping-particle":"","family":"Belcher","given":"Oliver","non-dropping-particle":"","parse-names":false,"suffix":""},{"dropping-particle":"","family":"Bigger","given":"Patrick","non-dropping-particle":"","parse-names":false,"suffix":""},{"dropping-particle":"","family":"Neimark","given":"Ben","non-dropping-particle":"","parse-names":false,"suffix":""},{"dropping-particle":"","family":"Kennelly","given":"Cara","non-dropping-particle":"","parse-names":false,"suffix":""}],"container-title":"Transactions of the Institute of British Geographers","id":"ITEM-1","issue":"May","issued":{"date-parts":[["2019"]]},"page":"1-16","title":"Hidden carbon costs of the “everywhere war”: Logistics, geopolitical ecology, and the carbon boot-print of the US military","type":"article-journal"},"uris":["http://www.mendeley.com/documents/?uuid=8269da4a-ff8f-4dd0-9952-fd48160f3b55"]}],"mendeley":{"formattedCitation":"(Belcher &lt;i&gt;et al.&lt;/i&gt;, 2019)","manualFormatting":"(Belcher et al., 2019; Le Billon &amp; Shykora, 2020)","plainTextFormattedCitation":"(Belcher et al., 2019)","previouslyFormattedCitation":"(Belcher &lt;i&gt;et al.&lt;/i&gt;, 2019)"},"properties":{"noteIndex":0},"schema":"https://github.com/citation-style-language/schema/raw/master/csl-citation.json"}</w:instrText>
      </w:r>
      <w:r>
        <w:rPr>
          <w:rFonts w:cs="Times New Roman"/>
          <w:noProof/>
          <w:sz w:val="22"/>
        </w:rPr>
        <w:fldChar w:fldCharType="separate"/>
      </w:r>
      <w:r w:rsidRPr="00C27055">
        <w:rPr>
          <w:rFonts w:cs="Times New Roman"/>
          <w:noProof/>
          <w:sz w:val="22"/>
        </w:rPr>
        <w:t xml:space="preserve">(Belcher </w:t>
      </w:r>
      <w:r w:rsidRPr="00C27055">
        <w:rPr>
          <w:rFonts w:cs="Times New Roman"/>
          <w:i/>
          <w:noProof/>
          <w:sz w:val="22"/>
        </w:rPr>
        <w:t>et al.</w:t>
      </w:r>
      <w:r w:rsidRPr="00C27055">
        <w:rPr>
          <w:rFonts w:cs="Times New Roman"/>
          <w:noProof/>
          <w:sz w:val="22"/>
        </w:rPr>
        <w:t>, 2019</w:t>
      </w:r>
      <w:r>
        <w:rPr>
          <w:rFonts w:cs="Times New Roman"/>
          <w:noProof/>
          <w:sz w:val="22"/>
        </w:rPr>
        <w:t>; Le Billon &amp; Shykora, 2020</w:t>
      </w:r>
      <w:r w:rsidRPr="00C27055">
        <w:rPr>
          <w:rFonts w:cs="Times New Roman"/>
          <w:noProof/>
          <w:sz w:val="22"/>
        </w:rPr>
        <w:t>)</w:t>
      </w:r>
      <w:r>
        <w:rPr>
          <w:rFonts w:cs="Times New Roman"/>
          <w:noProof/>
          <w:sz w:val="22"/>
        </w:rPr>
        <w:fldChar w:fldCharType="end"/>
      </w:r>
      <w:r>
        <w:rPr>
          <w:rFonts w:cs="Times New Roman"/>
          <w:noProof/>
          <w:sz w:val="22"/>
        </w:rPr>
        <w:t xml:space="preserve">; biodiversity conservation </w:t>
      </w:r>
      <w:r>
        <w:rPr>
          <w:rFonts w:cs="Times New Roman"/>
          <w:noProof/>
          <w:sz w:val="22"/>
        </w:rPr>
        <w:fldChar w:fldCharType="begin" w:fldLock="1"/>
      </w:r>
      <w:r w:rsidR="0055390F">
        <w:rPr>
          <w:rFonts w:cs="Times New Roman"/>
          <w:noProof/>
          <w:sz w:val="22"/>
        </w:rPr>
        <w:instrText>ADDIN CSL_CITATION {"citationItems":[{"id":"ITEM-1","itemData":{"author":[{"dropping-particle":"","family":"Massé","given":"Francis;","non-dropping-particle":"","parse-names":false,"suffix":""},{"dropping-particle":"","family":"Margulies","given":"Jared D.","non-dropping-particle":"","parse-names":false,"suffix":""}],"id":"ITEM-1","issued":{"date-parts":[["2020"]]},"page":"1-55","title":"---Secretary of State Hillary Clinton, Remarks at the Partnership Meeting on Wildlife Trafficking, 08/11/2012 1.","type":"article-journal"},"uris":["http://www.mendeley.com/documents/?uuid=76723a76-0b90-4a52-b43d-d54ce134bf3a"]}],"mendeley":{"formattedCitation":"(Francis; Massé and Margulies, 2020)","manualFormatting":"(Massé and Margulies, 2020; Gray et al., 2010)","plainTextFormattedCitation":"(Francis; Massé and Margulies, 2020)","previouslyFormattedCitation":"(Francis; Massé and Margulies, 2020)"},"properties":{"noteIndex":0},"schema":"https://github.com/citation-style-language/schema/raw/master/csl-citation.json"}</w:instrText>
      </w:r>
      <w:r>
        <w:rPr>
          <w:rFonts w:cs="Times New Roman"/>
          <w:noProof/>
          <w:sz w:val="22"/>
        </w:rPr>
        <w:fldChar w:fldCharType="separate"/>
      </w:r>
      <w:r w:rsidRPr="00C27055">
        <w:rPr>
          <w:rFonts w:cs="Times New Roman"/>
          <w:noProof/>
          <w:sz w:val="22"/>
        </w:rPr>
        <w:t>(Massé and Margulies, 2020</w:t>
      </w:r>
      <w:r w:rsidR="003A4514">
        <w:rPr>
          <w:rFonts w:cs="Times New Roman"/>
          <w:noProof/>
          <w:sz w:val="22"/>
        </w:rPr>
        <w:t>; Gra</w:t>
      </w:r>
      <w:r>
        <w:rPr>
          <w:rFonts w:cs="Times New Roman"/>
          <w:noProof/>
          <w:sz w:val="22"/>
        </w:rPr>
        <w:t xml:space="preserve">y </w:t>
      </w:r>
      <w:r w:rsidRPr="00C27055">
        <w:rPr>
          <w:rFonts w:cs="Times New Roman"/>
          <w:i/>
          <w:noProof/>
          <w:sz w:val="22"/>
        </w:rPr>
        <w:t>et al</w:t>
      </w:r>
      <w:r>
        <w:rPr>
          <w:rFonts w:cs="Times New Roman"/>
          <w:noProof/>
          <w:sz w:val="22"/>
        </w:rPr>
        <w:t>., 2010</w:t>
      </w:r>
      <w:r w:rsidRPr="00C27055">
        <w:rPr>
          <w:rFonts w:cs="Times New Roman"/>
          <w:noProof/>
          <w:sz w:val="22"/>
        </w:rPr>
        <w:t>)</w:t>
      </w:r>
      <w:r>
        <w:rPr>
          <w:rFonts w:cs="Times New Roman"/>
          <w:noProof/>
          <w:sz w:val="22"/>
        </w:rPr>
        <w:fldChar w:fldCharType="end"/>
      </w:r>
      <w:r>
        <w:rPr>
          <w:rFonts w:cs="Times New Roman"/>
          <w:noProof/>
          <w:sz w:val="22"/>
        </w:rPr>
        <w:t xml:space="preserve">; climate change and environmental degradation </w:t>
      </w:r>
      <w:r>
        <w:rPr>
          <w:rFonts w:cs="Times New Roman"/>
          <w:noProof/>
          <w:sz w:val="22"/>
        </w:rPr>
        <w:fldChar w:fldCharType="begin" w:fldLock="1"/>
      </w:r>
      <w:r>
        <w:rPr>
          <w:rFonts w:cs="Times New Roman"/>
          <w:noProof/>
          <w:sz w:val="22"/>
        </w:rPr>
        <w:instrText>ADDIN CSL_CITATION {"citationItems":[{"id":"ITEM-1","itemData":{"DOI":"10.4337/9781788115193","ISBN":"9781788971232","author":[{"dropping-particle":"","family":"Mostafanezhad, Mary; Evrard","given":"Olivier","non-dropping-particle":"","parse-names":false,"suffix":""}],"id":"ITEM-1","issued":{"date-parts":[["2019"]]},"title":"Environmental geopolitics of rumor: the sociality of uncertainty during northern Thailand's smoky season","type":"article-journal"},"uris":["http://www.mendeley.com/documents/?uuid=d6067e1e-2655-4ea3-adc5-f779cc4388ea"]}],"mendeley":{"formattedCitation":"(Mostafanezhad, Mary; Evrard, 2019)","manualFormatting":"(Bigger &amp; Neimark, 2017; Mostafanezhad &amp; Evrard, 2019)","plainTextFormattedCitation":"(Mostafanezhad, Mary; Evrard, 2019)","previouslyFormattedCitation":"(Mostafanezhad, Mary; Evrard, 2019)"},"properties":{"noteIndex":0},"schema":"https://github.com/citation-style-language/schema/raw/master/csl-citation.json"}</w:instrText>
      </w:r>
      <w:r>
        <w:rPr>
          <w:rFonts w:cs="Times New Roman"/>
          <w:noProof/>
          <w:sz w:val="22"/>
        </w:rPr>
        <w:fldChar w:fldCharType="separate"/>
      </w:r>
      <w:r w:rsidRPr="00756177">
        <w:rPr>
          <w:rFonts w:cs="Times New Roman"/>
          <w:noProof/>
          <w:sz w:val="22"/>
        </w:rPr>
        <w:t>(</w:t>
      </w:r>
      <w:r>
        <w:rPr>
          <w:rFonts w:cs="Times New Roman"/>
          <w:noProof/>
          <w:sz w:val="22"/>
        </w:rPr>
        <w:t xml:space="preserve">Bigger &amp; Neimark, 2017; </w:t>
      </w:r>
      <w:r>
        <w:rPr>
          <w:rFonts w:cs="Times New Roman"/>
          <w:noProof/>
          <w:sz w:val="22"/>
          <w:lang w:val="en-US"/>
        </w:rPr>
        <w:t>Mostafanezhad &amp; Evrard, 2019</w:t>
      </w:r>
      <w:r w:rsidRPr="00756177">
        <w:rPr>
          <w:rFonts w:cs="Times New Roman"/>
          <w:noProof/>
          <w:sz w:val="22"/>
        </w:rPr>
        <w:t>)</w:t>
      </w:r>
      <w:r>
        <w:rPr>
          <w:rFonts w:cs="Times New Roman"/>
          <w:noProof/>
          <w:sz w:val="22"/>
        </w:rPr>
        <w:fldChar w:fldCharType="end"/>
      </w:r>
      <w:r>
        <w:rPr>
          <w:rFonts w:cs="Times New Roman"/>
          <w:noProof/>
          <w:sz w:val="22"/>
        </w:rPr>
        <w:t>. In this regard, the two theoretical approaches have overlaps, but they also have unique streng</w:t>
      </w:r>
      <w:r w:rsidR="00CA1E3B">
        <w:rPr>
          <w:rFonts w:cs="Times New Roman"/>
          <w:noProof/>
          <w:sz w:val="22"/>
        </w:rPr>
        <w:t>ths which I apply</w:t>
      </w:r>
      <w:r>
        <w:rPr>
          <w:rFonts w:cs="Times New Roman"/>
          <w:noProof/>
          <w:sz w:val="22"/>
        </w:rPr>
        <w:t xml:space="preserve"> in my more-than-human geopolitical ecology framework. </w:t>
      </w:r>
    </w:p>
    <w:p w14:paraId="2E642B7A" w14:textId="247F6189" w:rsidR="001139CD" w:rsidRDefault="001139CD" w:rsidP="001139CD">
      <w:pPr>
        <w:widowControl w:val="0"/>
        <w:autoSpaceDE w:val="0"/>
        <w:autoSpaceDN w:val="0"/>
        <w:adjustRightInd w:val="0"/>
        <w:rPr>
          <w:rFonts w:cs="Times New Roman"/>
          <w:noProof/>
          <w:sz w:val="22"/>
        </w:rPr>
      </w:pPr>
      <w:r>
        <w:rPr>
          <w:rFonts w:cs="Times New Roman"/>
          <w:noProof/>
          <w:sz w:val="22"/>
        </w:rPr>
        <w:tab/>
        <w:t xml:space="preserve">From environmental geopolitics, I </w:t>
      </w:r>
      <w:r w:rsidR="00CA1E3B">
        <w:rPr>
          <w:rFonts w:cs="Times New Roman"/>
          <w:noProof/>
          <w:sz w:val="22"/>
        </w:rPr>
        <w:t xml:space="preserve">employ </w:t>
      </w:r>
      <w:r>
        <w:rPr>
          <w:rFonts w:cs="Times New Roman"/>
          <w:noProof/>
          <w:sz w:val="22"/>
        </w:rPr>
        <w:t xml:space="preserve">O’Lear’s (2018) framework for understanding discourse broadly as: narrative, embodiment, practice, and materiality. This enables me to examine how discourses around illegal caviar trade, are variably manifest in the ways the caviar trade is </w:t>
      </w:r>
      <w:r>
        <w:rPr>
          <w:rFonts w:cs="Times New Roman"/>
          <w:noProof/>
          <w:sz w:val="22"/>
        </w:rPr>
        <w:lastRenderedPageBreak/>
        <w:t xml:space="preserve">regulated in the European Union. Importantly, I also </w:t>
      </w:r>
      <w:r w:rsidR="00CA1E3B">
        <w:rPr>
          <w:rFonts w:cs="Times New Roman"/>
          <w:noProof/>
          <w:sz w:val="22"/>
        </w:rPr>
        <w:t xml:space="preserve">integrate </w:t>
      </w:r>
      <w:r>
        <w:rPr>
          <w:rFonts w:cs="Times New Roman"/>
          <w:noProof/>
          <w:sz w:val="22"/>
        </w:rPr>
        <w:t>O’Lear’s (2018) argument that scientific knowledge, and the notions of security and risk, are discourse sta</w:t>
      </w:r>
      <w:r w:rsidR="00CA1E3B">
        <w:rPr>
          <w:rFonts w:cs="Times New Roman"/>
          <w:noProof/>
          <w:sz w:val="22"/>
        </w:rPr>
        <w:t>bilisers. I assess how science, risk and</w:t>
      </w:r>
      <w:r>
        <w:rPr>
          <w:rFonts w:cs="Times New Roman"/>
          <w:noProof/>
          <w:sz w:val="22"/>
        </w:rPr>
        <w:t xml:space="preserve"> security are variably used to solidify particular discourses about illegal caviar trade in Europe. </w:t>
      </w:r>
    </w:p>
    <w:p w14:paraId="53E4BCAA" w14:textId="55691944" w:rsidR="001139CD" w:rsidRDefault="001139CD" w:rsidP="001139CD">
      <w:pPr>
        <w:widowControl w:val="0"/>
        <w:autoSpaceDE w:val="0"/>
        <w:autoSpaceDN w:val="0"/>
        <w:adjustRightInd w:val="0"/>
        <w:rPr>
          <w:rFonts w:cs="Times New Roman"/>
          <w:noProof/>
          <w:sz w:val="22"/>
        </w:rPr>
      </w:pPr>
      <w:r>
        <w:rPr>
          <w:rFonts w:cs="Times New Roman"/>
          <w:noProof/>
          <w:sz w:val="22"/>
        </w:rPr>
        <w:tab/>
      </w:r>
      <w:r w:rsidR="003A4514">
        <w:rPr>
          <w:rFonts w:cs="Times New Roman"/>
          <w:noProof/>
          <w:sz w:val="22"/>
        </w:rPr>
        <w:t xml:space="preserve">For my theoretical framework </w:t>
      </w:r>
      <w:r>
        <w:rPr>
          <w:rFonts w:cs="Times New Roman"/>
          <w:noProof/>
          <w:sz w:val="22"/>
        </w:rPr>
        <w:t xml:space="preserve">I </w:t>
      </w:r>
      <w:r w:rsidR="00CA1E3B">
        <w:rPr>
          <w:rFonts w:cs="Times New Roman"/>
          <w:noProof/>
          <w:sz w:val="22"/>
        </w:rPr>
        <w:t xml:space="preserve">apply </w:t>
      </w:r>
      <w:r>
        <w:rPr>
          <w:rFonts w:cs="Times New Roman"/>
          <w:noProof/>
          <w:sz w:val="22"/>
        </w:rPr>
        <w:t xml:space="preserve">geopolitical ecology’s orientation towards ‘ecology’, which is arguably broader than environmental geopolitics’ conceptualisation of ‘the environment’. Geopolitical ecology approaches ecology by examining how certain threats </w:t>
      </w:r>
      <w:r w:rsidRPr="00CA1E3B">
        <w:rPr>
          <w:rFonts w:cs="Times New Roman"/>
          <w:i/>
          <w:noProof/>
          <w:sz w:val="22"/>
        </w:rPr>
        <w:t>to</w:t>
      </w:r>
      <w:r>
        <w:rPr>
          <w:rFonts w:cs="Times New Roman"/>
          <w:noProof/>
          <w:sz w:val="22"/>
        </w:rPr>
        <w:t xml:space="preserve"> nature, or threats posed </w:t>
      </w:r>
      <w:r w:rsidRPr="00CA1E3B">
        <w:rPr>
          <w:rFonts w:cs="Times New Roman"/>
          <w:i/>
          <w:noProof/>
          <w:sz w:val="22"/>
        </w:rPr>
        <w:t>by</w:t>
      </w:r>
      <w:r>
        <w:rPr>
          <w:rFonts w:cs="Times New Roman"/>
          <w:noProof/>
          <w:sz w:val="22"/>
        </w:rPr>
        <w:t xml:space="preserve"> natural phenomena, shape</w:t>
      </w:r>
      <w:r w:rsidR="00CA1E3B">
        <w:rPr>
          <w:rFonts w:cs="Times New Roman"/>
          <w:noProof/>
          <w:sz w:val="22"/>
        </w:rPr>
        <w:t xml:space="preserve"> international relations</w:t>
      </w:r>
      <w:r>
        <w:rPr>
          <w:rFonts w:cs="Times New Roman"/>
          <w:noProof/>
          <w:sz w:val="22"/>
        </w:rPr>
        <w:t xml:space="preserve">; and also examines how geopolitics is played out in nature and through nature, with unequal material impacts upon environments. This slight shift in emphasis focuses less on how nature is linked to security and threat through geopolitical discourse, and more on how nature is directly implicated in geopolitical interventions. Finally, I also </w:t>
      </w:r>
      <w:r w:rsidR="00CA1E3B">
        <w:rPr>
          <w:rFonts w:cs="Times New Roman"/>
          <w:noProof/>
          <w:sz w:val="22"/>
        </w:rPr>
        <w:t xml:space="preserve">engage with </w:t>
      </w:r>
      <w:r>
        <w:rPr>
          <w:rFonts w:cs="Times New Roman"/>
          <w:noProof/>
          <w:sz w:val="22"/>
        </w:rPr>
        <w:t>geopolitical ecology’s attention to theorising the unequal impacts of the geopolitics of environmental change. This enables me to interrogate how discourses linked to illegal caviar trade have unequal impacts across space, between people</w:t>
      </w:r>
      <w:r w:rsidR="00CA1E3B">
        <w:rPr>
          <w:rFonts w:cs="Times New Roman"/>
          <w:noProof/>
          <w:sz w:val="22"/>
        </w:rPr>
        <w:t>,</w:t>
      </w:r>
      <w:r>
        <w:rPr>
          <w:rFonts w:cs="Times New Roman"/>
          <w:noProof/>
          <w:sz w:val="22"/>
        </w:rPr>
        <w:t xml:space="preserve"> and species. </w:t>
      </w:r>
    </w:p>
    <w:p w14:paraId="09269B54" w14:textId="3BFB2FA7" w:rsidR="001139CD" w:rsidRDefault="001139CD" w:rsidP="001139CD">
      <w:pPr>
        <w:widowControl w:val="0"/>
        <w:autoSpaceDE w:val="0"/>
        <w:autoSpaceDN w:val="0"/>
        <w:adjustRightInd w:val="0"/>
        <w:rPr>
          <w:rFonts w:cs="Times New Roman"/>
          <w:noProof/>
          <w:sz w:val="22"/>
        </w:rPr>
      </w:pPr>
      <w:r>
        <w:rPr>
          <w:rFonts w:cs="Times New Roman"/>
          <w:noProof/>
          <w:sz w:val="22"/>
        </w:rPr>
        <w:tab/>
        <w:t xml:space="preserve">Both environmental geopolitics and geopolitical ecology have strengths that I incorporate into my own conceptual framework. However neither environmental geopolitics </w:t>
      </w:r>
      <w:r w:rsidR="003A4514">
        <w:rPr>
          <w:rFonts w:cs="Times New Roman"/>
          <w:noProof/>
          <w:sz w:val="22"/>
        </w:rPr>
        <w:t>n</w:t>
      </w:r>
      <w:r>
        <w:rPr>
          <w:rFonts w:cs="Times New Roman"/>
          <w:noProof/>
          <w:sz w:val="22"/>
        </w:rPr>
        <w:t>or geopolitical ecology on their own, or in dialogue with each other, can adequately capture the nuances of my empirical case. This is because neither approach makes overt space in their conceptual frameworks, for theorising the role of nonhumans in shaping the geopolitics of environmental change. I argue that it is imperative that nature is not just conceptualised in instrumental terms – as a central</w:t>
      </w:r>
      <w:r w:rsidRPr="0095238D">
        <w:rPr>
          <w:rFonts w:cs="Times New Roman"/>
          <w:i/>
          <w:noProof/>
          <w:sz w:val="22"/>
        </w:rPr>
        <w:t xml:space="preserve"> tool</w:t>
      </w:r>
      <w:r>
        <w:rPr>
          <w:rFonts w:cs="Times New Roman"/>
          <w:noProof/>
          <w:sz w:val="22"/>
        </w:rPr>
        <w:t xml:space="preserve"> or </w:t>
      </w:r>
      <w:r w:rsidRPr="0095238D">
        <w:rPr>
          <w:rFonts w:cs="Times New Roman"/>
          <w:i/>
          <w:noProof/>
          <w:sz w:val="22"/>
        </w:rPr>
        <w:t>site</w:t>
      </w:r>
      <w:r>
        <w:rPr>
          <w:rFonts w:cs="Times New Roman"/>
          <w:noProof/>
          <w:sz w:val="22"/>
        </w:rPr>
        <w:t xml:space="preserve"> of inquiry (Havice, 2018) – but that nature should be theorised as a central </w:t>
      </w:r>
      <w:r w:rsidRPr="0095238D">
        <w:rPr>
          <w:rFonts w:cs="Times New Roman"/>
          <w:i/>
          <w:noProof/>
          <w:sz w:val="22"/>
        </w:rPr>
        <w:t xml:space="preserve">actor </w:t>
      </w:r>
      <w:r>
        <w:rPr>
          <w:rFonts w:cs="Times New Roman"/>
          <w:noProof/>
          <w:sz w:val="22"/>
        </w:rPr>
        <w:t xml:space="preserve">in the contemporary geopolitics of the environment. </w:t>
      </w:r>
    </w:p>
    <w:p w14:paraId="2921A9A1" w14:textId="50EEF712" w:rsidR="001139CD" w:rsidRDefault="001139CD" w:rsidP="001139CD">
      <w:pPr>
        <w:widowControl w:val="0"/>
        <w:autoSpaceDE w:val="0"/>
        <w:autoSpaceDN w:val="0"/>
        <w:adjustRightInd w:val="0"/>
        <w:rPr>
          <w:rFonts w:cs="Times New Roman"/>
          <w:noProof/>
          <w:sz w:val="22"/>
        </w:rPr>
      </w:pPr>
      <w:r>
        <w:rPr>
          <w:rFonts w:cs="Times New Roman"/>
          <w:noProof/>
          <w:sz w:val="22"/>
        </w:rPr>
        <w:tab/>
        <w:t xml:space="preserve">The importance of conceptualising the nonhuman as a central geopolitical-environmental actor, is pointed to by a small number of geopolitical ecology accounts. For example, </w:t>
      </w:r>
      <w:r>
        <w:rPr>
          <w:rFonts w:cs="Times New Roman"/>
          <w:noProof/>
          <w:sz w:val="22"/>
        </w:rPr>
        <w:fldChar w:fldCharType="begin" w:fldLock="1"/>
      </w:r>
      <w:r w:rsidR="00EC7F7E">
        <w:rPr>
          <w:rFonts w:cs="Times New Roman"/>
          <w:noProof/>
          <w:sz w:val="22"/>
        </w:rPr>
        <w:instrText>ADDIN CSL_CITATION {"citationItems":[{"id":"ITEM-1","itemData":{"DOI":"10.1108/S2040-726220180000019003","ISSN":"20407270","abstract":"In this chapter, the authors use emerging works on geopolitical ecologies to analyze the relations between tourism and the transboundary haze disaster in northern Thailand. The region’s ‘smoky season’, which occurs between February and April of each year, has become a recurring seasonal haze disaster that is reported to be the combined result of biomass burning and urban air pollution. Drawing on ethnographic research among urban tourism practitioners, as well as a critical discourse analysis of popular and social media reports and commentaries, the authors argue that geopolitical discourses of transboundary haze production are shaped by tourists and the tourism industry in ways that perpetuate inequitably distributed disaster risk. Transboundary haze, the authors further contend, has become an ecological actor that co-produces discourses of escape among mobile tourists and residents. This research contributes to emerging work that conceptualises the geopolitical ecologies of transboundary environmental disasters in relation to tourism mobilities in southeast Asia.","author":[{"dropping-particle":"","family":"Mostafanezhad","given":"Mary","non-dropping-particle":"","parse-names":false,"suffix":""},{"dropping-particle":"","family":"Evrard","given":"Olivier","non-dropping-particle":"","parse-names":false,"suffix":""}],"container-title":"Community, Environment and Disaster Risk Management","id":"ITEM-1","issued":{"date-parts":[["2018"]]},"page":"53-66","title":"Geopolitical ecologies of tourism and the transboundary haze disaster in thailand, laos and myanmar","type":"article-journal","volume":"19"},"uris":["http://www.mendeley.com/documents/?uuid=7d5c13a3-7f67-49c4-a67e-ea944b8e28c4"]}],"mendeley":{"formattedCitation":"(Mostafanezhad and Evrard, 2018)","manualFormatting":"Mostafanezhad &amp; Evrard","plainTextFormattedCitation":"(Mostafanezhad and Evrard, 2018)","previouslyFormattedCitation":"(Mostafanezhad and Evrard, 2018)"},"properties":{"noteIndex":0},"schema":"https://github.com/citation-style-language/schema/raw/master/csl-citation.json"}</w:instrText>
      </w:r>
      <w:r>
        <w:rPr>
          <w:rFonts w:cs="Times New Roman"/>
          <w:noProof/>
          <w:sz w:val="22"/>
        </w:rPr>
        <w:fldChar w:fldCharType="separate"/>
      </w:r>
      <w:r>
        <w:rPr>
          <w:rFonts w:cs="Times New Roman"/>
          <w:noProof/>
          <w:sz w:val="22"/>
        </w:rPr>
        <w:t>Mostafanezhad &amp; Evrard</w:t>
      </w:r>
      <w:r>
        <w:rPr>
          <w:rFonts w:cs="Times New Roman"/>
          <w:noProof/>
          <w:sz w:val="22"/>
        </w:rPr>
        <w:fldChar w:fldCharType="end"/>
      </w:r>
      <w:r>
        <w:rPr>
          <w:rFonts w:cs="Times New Roman"/>
          <w:noProof/>
          <w:sz w:val="22"/>
        </w:rPr>
        <w:t xml:space="preserve"> position the transboundary haze as a geop</w:t>
      </w:r>
      <w:r w:rsidR="00CA1E3B">
        <w:rPr>
          <w:rFonts w:cs="Times New Roman"/>
          <w:noProof/>
          <w:sz w:val="22"/>
        </w:rPr>
        <w:t>olitical-ecological actor that “</w:t>
      </w:r>
      <w:r>
        <w:rPr>
          <w:rFonts w:cs="Times New Roman"/>
          <w:noProof/>
          <w:sz w:val="22"/>
        </w:rPr>
        <w:t>co-produces eco-political discourses of escape among mobile tourists and residents in Northern Th</w:t>
      </w:r>
      <w:r w:rsidR="00CA1E3B">
        <w:rPr>
          <w:rFonts w:cs="Times New Roman"/>
          <w:noProof/>
          <w:sz w:val="22"/>
        </w:rPr>
        <w:t>ailand during the ‘smoky season’”</w:t>
      </w:r>
      <w:r>
        <w:rPr>
          <w:rFonts w:cs="Times New Roman"/>
          <w:noProof/>
          <w:sz w:val="22"/>
        </w:rPr>
        <w:t xml:space="preserve"> (2018: 54). Interestingly, </w:t>
      </w:r>
      <w:r>
        <w:rPr>
          <w:rFonts w:cs="Times New Roman"/>
          <w:noProof/>
          <w:sz w:val="22"/>
        </w:rPr>
        <w:fldChar w:fldCharType="begin" w:fldLock="1"/>
      </w:r>
      <w:r w:rsidR="00EC7F7E">
        <w:rPr>
          <w:rFonts w:cs="Times New Roman"/>
          <w:noProof/>
          <w:sz w:val="22"/>
        </w:rPr>
        <w:instrText>ADDIN CSL_CITATION {"citationItems":[{"id":"ITEM-1","itemData":{"DOI":"10.1108/S2040-726220180000019003","ISSN":"20407270","abstract":"In this chapter, the authors use emerging works on geopolitical ecologies to analyze the relations between tourism and the transboundary haze disaster in northern Thailand. The region’s ‘smoky season’, which occurs between February and April of each year, has become a recurring seasonal haze disaster that is reported to be the combined result of biomass burning and urban air pollution. Drawing on ethnographic research among urban tourism practitioners, as well as a critical discourse analysis of popular and social media reports and commentaries, the authors argue that geopolitical discourses of transboundary haze production are shaped by tourists and the tourism industry in ways that perpetuate inequitably distributed disaster risk. Transboundary haze, the authors further contend, has become an ecological actor that co-produces discourses of escape among mobile tourists and residents. This research contributes to emerging work that conceptualises the geopolitical ecologies of transboundary environmental disasters in relation to tourism mobilities in southeast Asia.","author":[{"dropping-particle":"","family":"Mostafanezhad","given":"Mary","non-dropping-particle":"","parse-names":false,"suffix":""},{"dropping-particle":"","family":"Evrard","given":"Olivier","non-dropping-particle":"","parse-names":false,"suffix":""}],"container-title":"Community, Environment and Disaster Risk Management","id":"ITEM-1","issued":{"date-parts":[["2018"]]},"page":"53-66","title":"Geopolitical ecologies of tourism and the transboundary haze disaster in thailand, laos and myanmar","type":"article-journal","volume":"19"},"uris":["http://www.mendeley.com/documents/?uuid=7d5c13a3-7f67-49c4-a67e-ea944b8e28c4"]}],"mendeley":{"formattedCitation":"(Mostafanezhad and Evrard, 2018)","manualFormatting":"Mostafanezhad &amp; Evrard","plainTextFormattedCitation":"(Mostafanezhad and Evrard, 2018)","previouslyFormattedCitation":"(Mostafanezhad and Evrard, 2018)"},"properties":{"noteIndex":0},"schema":"https://github.com/citation-style-language/schema/raw/master/csl-citation.json"}</w:instrText>
      </w:r>
      <w:r>
        <w:rPr>
          <w:rFonts w:cs="Times New Roman"/>
          <w:noProof/>
          <w:sz w:val="22"/>
        </w:rPr>
        <w:fldChar w:fldCharType="separate"/>
      </w:r>
      <w:r>
        <w:rPr>
          <w:rFonts w:cs="Times New Roman"/>
          <w:noProof/>
          <w:sz w:val="22"/>
        </w:rPr>
        <w:t>Mostafanezhad &amp; Evrard</w:t>
      </w:r>
      <w:r>
        <w:rPr>
          <w:rFonts w:cs="Times New Roman"/>
          <w:noProof/>
          <w:sz w:val="22"/>
        </w:rPr>
        <w:fldChar w:fldCharType="end"/>
      </w:r>
      <w:r w:rsidR="00CA1E3B">
        <w:rPr>
          <w:rFonts w:cs="Times New Roman"/>
          <w:noProof/>
          <w:sz w:val="22"/>
        </w:rPr>
        <w:t xml:space="preserve"> suggest that the “</w:t>
      </w:r>
      <w:r>
        <w:rPr>
          <w:rFonts w:cs="Times New Roman"/>
          <w:noProof/>
          <w:sz w:val="22"/>
        </w:rPr>
        <w:t>emergent subfield of geopolitical ecologies examines the role of the nonhuman in th</w:t>
      </w:r>
      <w:r w:rsidR="00CA1E3B">
        <w:rPr>
          <w:rFonts w:cs="Times New Roman"/>
          <w:noProof/>
          <w:sz w:val="22"/>
        </w:rPr>
        <w:t>e production of political space”</w:t>
      </w:r>
      <w:r>
        <w:rPr>
          <w:rFonts w:cs="Times New Roman"/>
          <w:noProof/>
          <w:sz w:val="22"/>
        </w:rPr>
        <w:t xml:space="preserve"> (2018: 55). Whilst it is true that geopolitical ecology engages with nature, on the whole I belive that the role of the nonhuman as a geopolitical-ecological actor is actually under-examined and largely overlooked in geopolitical ecology scholarship. Indeed, </w:t>
      </w:r>
      <w:r>
        <w:rPr>
          <w:rFonts w:cs="Times New Roman"/>
          <w:noProof/>
          <w:sz w:val="22"/>
        </w:rPr>
        <w:fldChar w:fldCharType="begin" w:fldLock="1"/>
      </w:r>
      <w:r w:rsidR="00EC7F7E">
        <w:rPr>
          <w:rFonts w:cs="Times New Roman"/>
          <w:noProof/>
          <w:sz w:val="22"/>
        </w:rPr>
        <w:instrText>ADDIN CSL_CITATION {"citationItems":[{"id":"ITEM-1","itemData":{"DOI":"10.1108/S2040-726220180000019003","ISSN":"20407270","abstract":"In this chapter, the authors use emerging works on geopolitical ecologies to analyze the relations between tourism and the transboundary haze disaster in northern Thailand. The region’s ‘smoky season’, which occurs between February and April of each year, has become a recurring seasonal haze disaster that is reported to be the combined result of biomass burning and urban air pollution. Drawing on ethnographic research among urban tourism practitioners, as well as a critical discourse analysis of popular and social media reports and commentaries, the authors argue that geopolitical discourses of transboundary haze production are shaped by tourists and the tourism industry in ways that perpetuate inequitably distributed disaster risk. Transboundary haze, the authors further contend, has become an ecological actor that co-produces discourses of escape among mobile tourists and residents. This research contributes to emerging work that conceptualises the geopolitical ecologies of transboundary environmental disasters in relation to tourism mobilities in southeast Asia.","author":[{"dropping-particle":"","family":"Mostafanezhad","given":"Mary","non-dropping-particle":"","parse-names":false,"suffix":""},{"dropping-particle":"","family":"Evrard","given":"Olivier","non-dropping-particle":"","parse-names":false,"suffix":""}],"container-title":"Community, Environment and Disaster Risk Management","id":"ITEM-1","issued":{"date-parts":[["2018"]]},"page":"53-66","title":"Geopolitical ecologies of tourism and the transboundary haze disaster in thailand, laos and myanmar","type":"article-journal","volume":"19"},"uris":["http://www.mendeley.com/documents/?uuid=7d5c13a3-7f67-49c4-a67e-ea944b8e28c4"]}],"mendeley":{"formattedCitation":"(Mostafanezhad and Evrard, 2018)","manualFormatting":"Mostafanezhad &amp; Evrard","plainTextFormattedCitation":"(Mostafanezhad and Evrard, 2018)","previouslyFormattedCitation":"(Mostafanezhad and Evrard, 2018)"},"properties":{"noteIndex":0},"schema":"https://github.com/citation-style-language/schema/raw/master/csl-citation.json"}</w:instrText>
      </w:r>
      <w:r>
        <w:rPr>
          <w:rFonts w:cs="Times New Roman"/>
          <w:noProof/>
          <w:sz w:val="22"/>
        </w:rPr>
        <w:fldChar w:fldCharType="separate"/>
      </w:r>
      <w:r>
        <w:rPr>
          <w:rFonts w:cs="Times New Roman"/>
          <w:noProof/>
          <w:sz w:val="22"/>
        </w:rPr>
        <w:t>Mostafanezhad &amp; Evrard</w:t>
      </w:r>
      <w:r>
        <w:rPr>
          <w:rFonts w:cs="Times New Roman"/>
          <w:noProof/>
          <w:sz w:val="22"/>
        </w:rPr>
        <w:fldChar w:fldCharType="end"/>
      </w:r>
      <w:r>
        <w:rPr>
          <w:rFonts w:cs="Times New Roman"/>
          <w:noProof/>
          <w:sz w:val="22"/>
        </w:rPr>
        <w:t xml:space="preserve">’s account is an exception. But even their conceptualisation of the transboundary haze as a ‘geopolitical-ecological actor’ could be interrogated further, as although the haze is introduced as an actor there is little analysis of what this means in practice, or how to theorise the agentic role of particulate matter. </w:t>
      </w:r>
    </w:p>
    <w:p w14:paraId="0B753D3D" w14:textId="71FEDC82" w:rsidR="001139CD" w:rsidRDefault="001139CD" w:rsidP="001139CD">
      <w:pPr>
        <w:widowControl w:val="0"/>
        <w:autoSpaceDE w:val="0"/>
        <w:autoSpaceDN w:val="0"/>
        <w:adjustRightInd w:val="0"/>
        <w:rPr>
          <w:rFonts w:cs="Times New Roman"/>
          <w:noProof/>
          <w:sz w:val="22"/>
        </w:rPr>
      </w:pPr>
      <w:r>
        <w:rPr>
          <w:rFonts w:cs="Times New Roman"/>
          <w:noProof/>
          <w:sz w:val="22"/>
        </w:rPr>
        <w:tab/>
        <w:t xml:space="preserve">Further, Mullaney’s (2014) research on the geopolitics of maize in Mexico was published </w:t>
      </w:r>
      <w:r>
        <w:rPr>
          <w:rFonts w:cs="Times New Roman"/>
          <w:noProof/>
          <w:sz w:val="22"/>
        </w:rPr>
        <w:lastRenderedPageBreak/>
        <w:t xml:space="preserve">prior to the uptake of ‘geopolitical ecology’ as a term </w:t>
      </w:r>
      <w:r w:rsidR="008800E2">
        <w:rPr>
          <w:rFonts w:cs="Times New Roman"/>
          <w:noProof/>
          <w:sz w:val="22"/>
        </w:rPr>
        <w:t xml:space="preserve">to signify scholarship </w:t>
      </w:r>
      <w:r>
        <w:rPr>
          <w:rFonts w:cs="Times New Roman"/>
          <w:noProof/>
          <w:sz w:val="22"/>
        </w:rPr>
        <w:t xml:space="preserve">that brings together critical geopolitics and political ecology. However, in what she develops as </w:t>
      </w:r>
      <w:r w:rsidR="008800E2">
        <w:rPr>
          <w:rFonts w:cs="Times New Roman"/>
          <w:noProof/>
          <w:sz w:val="22"/>
        </w:rPr>
        <w:t>a theoretical framework for an “</w:t>
      </w:r>
      <w:r>
        <w:rPr>
          <w:rFonts w:cs="Times New Roman"/>
          <w:noProof/>
          <w:sz w:val="22"/>
        </w:rPr>
        <w:t>anti-colonial geop</w:t>
      </w:r>
      <w:r w:rsidR="008800E2">
        <w:rPr>
          <w:rFonts w:cs="Times New Roman"/>
          <w:noProof/>
          <w:sz w:val="22"/>
        </w:rPr>
        <w:t>olitics of environmental change”, she positions “</w:t>
      </w:r>
      <w:r>
        <w:rPr>
          <w:rFonts w:cs="Times New Roman"/>
          <w:noProof/>
          <w:sz w:val="22"/>
        </w:rPr>
        <w:t>hybrid maize as an agen</w:t>
      </w:r>
      <w:r w:rsidR="008800E2">
        <w:rPr>
          <w:rFonts w:cs="Times New Roman"/>
          <w:noProof/>
          <w:sz w:val="22"/>
        </w:rPr>
        <w:t>t of Mexican development policy” (2014: 409); and argues that “</w:t>
      </w:r>
      <w:r>
        <w:rPr>
          <w:rFonts w:cs="Times New Roman"/>
          <w:noProof/>
          <w:sz w:val="22"/>
        </w:rPr>
        <w:t xml:space="preserve">we need to focus on how actors –both human </w:t>
      </w:r>
      <w:r w:rsidRPr="00D20E3D">
        <w:rPr>
          <w:rFonts w:cs="Times New Roman"/>
          <w:i/>
          <w:noProof/>
          <w:sz w:val="22"/>
        </w:rPr>
        <w:t>and otherwise</w:t>
      </w:r>
      <w:r>
        <w:rPr>
          <w:rFonts w:cs="Times New Roman"/>
          <w:noProof/>
          <w:sz w:val="22"/>
        </w:rPr>
        <w:t xml:space="preserve"> – are encountering, resisting, and transformin</w:t>
      </w:r>
      <w:r w:rsidR="008800E2">
        <w:rPr>
          <w:rFonts w:cs="Times New Roman"/>
          <w:noProof/>
          <w:sz w:val="22"/>
        </w:rPr>
        <w:t xml:space="preserve">g the contexts imposed on them” </w:t>
      </w:r>
      <w:r>
        <w:rPr>
          <w:rFonts w:cs="Times New Roman"/>
          <w:noProof/>
          <w:sz w:val="22"/>
        </w:rPr>
        <w:t>(ibid: 412, emphasis added). To date, this call to integrate nonhumans into accounts of the geopol</w:t>
      </w:r>
      <w:r w:rsidR="005F3121">
        <w:rPr>
          <w:rFonts w:cs="Times New Roman"/>
          <w:noProof/>
          <w:sz w:val="22"/>
        </w:rPr>
        <w:t>itics of the environment, has not</w:t>
      </w:r>
      <w:r>
        <w:rPr>
          <w:rFonts w:cs="Times New Roman"/>
          <w:noProof/>
          <w:sz w:val="22"/>
        </w:rPr>
        <w:t xml:space="preserve"> garnered much traction. In particular, the role of nonhuman animals as geopolitical-ecological agents has been overlooked, as Mullaney (2014) and </w:t>
      </w:r>
      <w:r>
        <w:rPr>
          <w:rFonts w:cs="Times New Roman"/>
          <w:noProof/>
          <w:sz w:val="22"/>
        </w:rPr>
        <w:fldChar w:fldCharType="begin" w:fldLock="1"/>
      </w:r>
      <w:r w:rsidR="00EC7F7E">
        <w:rPr>
          <w:rFonts w:cs="Times New Roman"/>
          <w:noProof/>
          <w:sz w:val="22"/>
        </w:rPr>
        <w:instrText>ADDIN CSL_CITATION {"citationItems":[{"id":"ITEM-1","itemData":{"DOI":"10.1108/S2040-726220180000019003","ISSN":"20407270","abstract":"In this chapter, the authors use emerging works on geopolitical ecologies to analyze the relations between tourism and the transboundary haze disaster in northern Thailand. The region’s ‘smoky season’, which occurs between February and April of each year, has become a recurring seasonal haze disaster that is reported to be the combined result of biomass burning and urban air pollution. Drawing on ethnographic research among urban tourism practitioners, as well as a critical discourse analysis of popular and social media reports and commentaries, the authors argue that geopolitical discourses of transboundary haze production are shaped by tourists and the tourism industry in ways that perpetuate inequitably distributed disaster risk. Transboundary haze, the authors further contend, has become an ecological actor that co-produces discourses of escape among mobile tourists and residents. This research contributes to emerging work that conceptualises the geopolitical ecologies of transboundary environmental disasters in relation to tourism mobilities in southeast Asia.","author":[{"dropping-particle":"","family":"Mostafanezhad","given":"Mary","non-dropping-particle":"","parse-names":false,"suffix":""},{"dropping-particle":"","family":"Evrard","given":"Olivier","non-dropping-particle":"","parse-names":false,"suffix":""}],"container-title":"Community, Environment and Disaster Risk Management","id":"ITEM-1","issued":{"date-parts":[["2018"]]},"page":"53-66","title":"Geopolitical ecologies of tourism and the transboundary haze disaster in thailand, laos and myanmar","type":"article-journal","volume":"19"},"uris":["http://www.mendeley.com/documents/?uuid=7d5c13a3-7f67-49c4-a67e-ea944b8e28c4"]}],"mendeley":{"formattedCitation":"(Mostafanezhad and Evrard, 2018)","manualFormatting":"Mostafanezhad &amp; Evrard","plainTextFormattedCitation":"(Mostafanezhad and Evrard, 2018)","previouslyFormattedCitation":"(Mostafanezhad and Evrard, 2018)"},"properties":{"noteIndex":0},"schema":"https://github.com/citation-style-language/schema/raw/master/csl-citation.json"}</w:instrText>
      </w:r>
      <w:r>
        <w:rPr>
          <w:rFonts w:cs="Times New Roman"/>
          <w:noProof/>
          <w:sz w:val="22"/>
        </w:rPr>
        <w:fldChar w:fldCharType="separate"/>
      </w:r>
      <w:r>
        <w:rPr>
          <w:rFonts w:cs="Times New Roman"/>
          <w:noProof/>
          <w:sz w:val="22"/>
        </w:rPr>
        <w:t>Mostafanezhad &amp; Evrard</w:t>
      </w:r>
      <w:r>
        <w:rPr>
          <w:rFonts w:cs="Times New Roman"/>
          <w:noProof/>
          <w:sz w:val="22"/>
        </w:rPr>
        <w:fldChar w:fldCharType="end"/>
      </w:r>
      <w:r>
        <w:rPr>
          <w:rFonts w:cs="Times New Roman"/>
          <w:noProof/>
          <w:sz w:val="22"/>
        </w:rPr>
        <w:t xml:space="preserve"> (2018) focus on the vibrant materiality of maize seeds and atmospheric particulate matter, respectively. </w:t>
      </w:r>
    </w:p>
    <w:p w14:paraId="2BBB0608" w14:textId="0877F309" w:rsidR="001139CD" w:rsidRDefault="001139CD" w:rsidP="001139CD">
      <w:pPr>
        <w:widowControl w:val="0"/>
        <w:autoSpaceDE w:val="0"/>
        <w:autoSpaceDN w:val="0"/>
        <w:adjustRightInd w:val="0"/>
        <w:rPr>
          <w:rFonts w:cs="Times New Roman"/>
          <w:noProof/>
          <w:sz w:val="22"/>
        </w:rPr>
      </w:pPr>
      <w:r>
        <w:rPr>
          <w:rFonts w:cs="Times New Roman"/>
          <w:noProof/>
          <w:sz w:val="22"/>
        </w:rPr>
        <w:tab/>
        <w:t xml:space="preserve">Havice (2018) engages with the geopolitical ecologies of nonhuman animals in the form of tuna fish. She argues that the mobility of fish matters in shaping geopolitical configurations, but she does not draw on more-than-human theories to conceptualise the tuna as geopolitical actors. As such, her account reduces the more-than-human to ecological conditions, natural resources or bioeconomic relations </w:t>
      </w:r>
      <w:r>
        <w:rPr>
          <w:rFonts w:cs="Times New Roman"/>
          <w:noProof/>
          <w:sz w:val="22"/>
        </w:rPr>
        <w:fldChar w:fldCharType="begin" w:fldLock="1"/>
      </w:r>
      <w:r>
        <w:rPr>
          <w:rFonts w:cs="Times New Roman"/>
          <w:noProof/>
          <w:sz w:val="22"/>
        </w:rPr>
        <w:instrText>ADDIN CSL_CITATION {"citationItems":[{"id":"ITEM-1","itemData":{"DOI":"10.1177/2043820617691635","abstract":"While welcoming the intervention of Winder and Le Heron (2006) as opening up a space for critical-and practical-engagement with 'Blue Economy' thinking, their employment of assemblage approaches could be extended. Doing so might produce a different conceptualization of the Blue Economy, while concurrently establishing new challenges for blue economic practices. In this commentary, I focus on three key areas: (1) the ontological separation of land and sea and the conceptualization of 'marine space'; (2) the 'liveliness' of oceans; and (3) practical possibilities for Blue Economy policies to draw on and engage with 'wet ontologies'. I argue that future geographical research on the Blue Economy would benefit from moving away from the categorizations of the 'ecological' or 'bio' and towards a fuller engagement with the diversity of actants and forces that contribute to the emergence of new practices, policies and (de)territorializations. Keywords More-than-human, assemblage theory, Blue Economy, geographies of the sea, dynamic ocean management","author":[{"dropping-particle":"","family":"Bear","given":"Christopher","non-dropping-particle":"","parse-names":false,"suffix":""}],"container-title":"Dialogues in Human Geography","id":"ITEM-1","issue":"1","issued":{"date-parts":[["2017"]]},"page":"27-31","title":"Assembling ocean life: More-than-human entanglements in the Blue Economy","type":"article-journal","volume":"7"},"uris":["http://www.mendeley.com/documents/?uuid=81125a4f-cf46-3183-b51c-b34282ef1dad"]}],"mendeley":{"formattedCitation":"(Bear, 2017)","plainTextFormattedCitation":"(Bear, 2017)","previouslyFormattedCitation":"(Bear, 2017)"},"properties":{"noteIndex":0},"schema":"https://github.com/citation-style-language/schema/raw/master/csl-citation.json"}</w:instrText>
      </w:r>
      <w:r>
        <w:rPr>
          <w:rFonts w:cs="Times New Roman"/>
          <w:noProof/>
          <w:sz w:val="22"/>
        </w:rPr>
        <w:fldChar w:fldCharType="separate"/>
      </w:r>
      <w:r w:rsidRPr="00223EB1">
        <w:rPr>
          <w:rFonts w:cs="Times New Roman"/>
          <w:noProof/>
          <w:sz w:val="22"/>
        </w:rPr>
        <w:t>(Bear, 2017)</w:t>
      </w:r>
      <w:r>
        <w:rPr>
          <w:rFonts w:cs="Times New Roman"/>
          <w:noProof/>
          <w:sz w:val="22"/>
        </w:rPr>
        <w:fldChar w:fldCharType="end"/>
      </w:r>
      <w:r>
        <w:rPr>
          <w:rFonts w:cs="Times New Roman"/>
          <w:noProof/>
          <w:sz w:val="22"/>
        </w:rPr>
        <w:t>. Whilst accounts such as Havice’s (2018) make the case for wet ontologies and emphasise the liveliness of oceans, there is a need to seriously consider the lively potentials of the nonhuman act</w:t>
      </w:r>
      <w:r w:rsidR="008800E2">
        <w:rPr>
          <w:rFonts w:cs="Times New Roman"/>
          <w:noProof/>
          <w:sz w:val="22"/>
        </w:rPr>
        <w:t>ors therein. Indeed, Bear asks “</w:t>
      </w:r>
      <w:r>
        <w:rPr>
          <w:rFonts w:cs="Times New Roman"/>
          <w:noProof/>
          <w:sz w:val="22"/>
        </w:rPr>
        <w:t>how might the ecological conditions of the Blue Economy be teased apart and viewed anew, with the lively heterogeneity of actants and forces brought to the fore</w:t>
      </w:r>
      <w:r w:rsidR="008800E2">
        <w:rPr>
          <w:rFonts w:cs="Times New Roman"/>
          <w:noProof/>
          <w:sz w:val="22"/>
        </w:rPr>
        <w:t xml:space="preserve">” </w:t>
      </w:r>
      <w:r>
        <w:rPr>
          <w:rFonts w:cs="Times New Roman"/>
          <w:noProof/>
          <w:sz w:val="22"/>
        </w:rPr>
        <w:fldChar w:fldCharType="begin" w:fldLock="1"/>
      </w:r>
      <w:r>
        <w:rPr>
          <w:rFonts w:cs="Times New Roman"/>
          <w:noProof/>
          <w:sz w:val="22"/>
        </w:rPr>
        <w:instrText>ADDIN CSL_CITATION {"citationItems":[{"id":"ITEM-1","itemData":{"DOI":"10.1177/2043820617691635","abstract":"While welcoming the intervention of Winder and Le Heron (2006) as opening up a space for critical-and practical-engagement with 'Blue Economy' thinking, their employment of assemblage approaches could be extended. Doing so might produce a different conceptualization of the Blue Economy, while concurrently establishing new challenges for blue economic practices. In this commentary, I focus on three key areas: (1) the ontological separation of land and sea and the conceptualization of 'marine space'; (2) the 'liveliness' of oceans; and (3) practical possibilities for Blue Economy policies to draw on and engage with 'wet ontologies'. I argue that future geographical research on the Blue Economy would benefit from moving away from the categorizations of the 'ecological' or 'bio' and towards a fuller engagement with the diversity of actants and forces that contribute to the emergence of new practices, policies and (de)territorializations. Keywords More-than-human, assemblage theory, Blue Economy, geographies of the sea, dynamic ocean management","author":[{"dropping-particle":"","family":"Bear","given":"Christopher","non-dropping-particle":"","parse-names":false,"suffix":""}],"container-title":"Dialogues in Human Geography","id":"ITEM-1","issue":"1","issued":{"date-parts":[["2017"]]},"page":"27-31","title":"Assembling ocean life: More-than-human entanglements in the Blue Economy","type":"article-journal","volume":"7"},"uris":["http://www.mendeley.com/documents/?uuid=81125a4f-cf46-3183-b51c-b34282ef1dad"]}],"mendeley":{"formattedCitation":"(Bear, 2017)","manualFormatting":"(Bear, 2017: 28)","plainTextFormattedCitation":"(Bear, 2017)","previouslyFormattedCitation":"(Bear, 2017)"},"properties":{"noteIndex":0},"schema":"https://github.com/citation-style-language/schema/raw/master/csl-citation.json"}</w:instrText>
      </w:r>
      <w:r>
        <w:rPr>
          <w:rFonts w:cs="Times New Roman"/>
          <w:noProof/>
          <w:sz w:val="22"/>
        </w:rPr>
        <w:fldChar w:fldCharType="separate"/>
      </w:r>
      <w:r w:rsidRPr="00223EB1">
        <w:rPr>
          <w:rFonts w:cs="Times New Roman"/>
          <w:noProof/>
          <w:sz w:val="22"/>
        </w:rPr>
        <w:t>(Bear, 2017</w:t>
      </w:r>
      <w:r>
        <w:rPr>
          <w:rFonts w:cs="Times New Roman"/>
          <w:noProof/>
          <w:sz w:val="22"/>
        </w:rPr>
        <w:t>: 28</w:t>
      </w:r>
      <w:r w:rsidRPr="00223EB1">
        <w:rPr>
          <w:rFonts w:cs="Times New Roman"/>
          <w:noProof/>
          <w:sz w:val="22"/>
        </w:rPr>
        <w:t>)</w:t>
      </w:r>
      <w:r>
        <w:rPr>
          <w:rFonts w:cs="Times New Roman"/>
          <w:noProof/>
          <w:sz w:val="22"/>
        </w:rPr>
        <w:fldChar w:fldCharType="end"/>
      </w:r>
      <w:r>
        <w:rPr>
          <w:rFonts w:cs="Times New Roman"/>
          <w:noProof/>
          <w:sz w:val="22"/>
        </w:rPr>
        <w:t>. This is what I intend to do by conceptualising sturgeon and caviar a</w:t>
      </w:r>
      <w:r w:rsidR="008800E2">
        <w:rPr>
          <w:rFonts w:cs="Times New Roman"/>
          <w:noProof/>
          <w:sz w:val="22"/>
        </w:rPr>
        <w:t>s actors</w:t>
      </w:r>
      <w:r>
        <w:rPr>
          <w:rFonts w:cs="Times New Roman"/>
          <w:noProof/>
          <w:sz w:val="22"/>
        </w:rPr>
        <w:t xml:space="preserve"> in the geopolitics of the environment and economy in the EU. I argue that if geopolitical ecology can be ‘more-than-territorial’ (Havice, 2018), then it can also be ‘more-than-human’. </w:t>
      </w:r>
    </w:p>
    <w:p w14:paraId="595E6DB9" w14:textId="77777777" w:rsidR="005F3121" w:rsidRDefault="001139CD" w:rsidP="001139CD">
      <w:pPr>
        <w:widowControl w:val="0"/>
        <w:autoSpaceDE w:val="0"/>
        <w:autoSpaceDN w:val="0"/>
        <w:adjustRightInd w:val="0"/>
        <w:rPr>
          <w:rFonts w:cs="Times New Roman"/>
          <w:noProof/>
          <w:sz w:val="22"/>
        </w:rPr>
      </w:pPr>
      <w:r>
        <w:rPr>
          <w:rFonts w:cs="Times New Roman"/>
          <w:noProof/>
          <w:sz w:val="22"/>
        </w:rPr>
        <w:tab/>
        <w:t>Thus, I agree wi</w:t>
      </w:r>
      <w:r w:rsidR="00D52425">
        <w:rPr>
          <w:rFonts w:cs="Times New Roman"/>
          <w:noProof/>
          <w:sz w:val="22"/>
        </w:rPr>
        <w:t>th Bigger &amp; Neimark that there “</w:t>
      </w:r>
      <w:r>
        <w:rPr>
          <w:rFonts w:cs="Times New Roman"/>
          <w:noProof/>
          <w:sz w:val="22"/>
        </w:rPr>
        <w:t>still remains</w:t>
      </w:r>
      <w:r w:rsidR="00D52425">
        <w:rPr>
          <w:rFonts w:cs="Times New Roman"/>
          <w:noProof/>
          <w:sz w:val="22"/>
        </w:rPr>
        <w:t xml:space="preserve"> fertile ground for exploration”</w:t>
      </w:r>
      <w:r>
        <w:rPr>
          <w:rFonts w:cs="Times New Roman"/>
          <w:noProof/>
          <w:sz w:val="22"/>
        </w:rPr>
        <w:t xml:space="preserve">  (2017: 20) between political ecology and critical geopolitics; and one way this can be realised is through an integration of more-than-human theories into explanations of geopolitical ecologies. This will produce an expanded vision of the ‘political’ in </w:t>
      </w:r>
      <w:r w:rsidR="004C4773">
        <w:rPr>
          <w:rFonts w:cs="Times New Roman"/>
          <w:noProof/>
          <w:sz w:val="22"/>
        </w:rPr>
        <w:t xml:space="preserve">multi-scalar </w:t>
      </w:r>
      <w:r>
        <w:rPr>
          <w:rFonts w:cs="Times New Roman"/>
          <w:noProof/>
          <w:sz w:val="22"/>
        </w:rPr>
        <w:t>discussions of</w:t>
      </w:r>
      <w:r w:rsidR="004C4773">
        <w:rPr>
          <w:rFonts w:cs="Times New Roman"/>
          <w:noProof/>
          <w:sz w:val="22"/>
        </w:rPr>
        <w:t xml:space="preserve"> geopolitics of the environment. Theorising the role of nonhuman actors alongside large geopolitical institutions and embodied human actors is necessary, as by definition all discussions of the geopolitics of the environment are inherently more-than-human. </w:t>
      </w:r>
    </w:p>
    <w:p w14:paraId="678B2BFB" w14:textId="16A42DD9" w:rsidR="001139CD" w:rsidRDefault="001139CD" w:rsidP="005F3121">
      <w:pPr>
        <w:widowControl w:val="0"/>
        <w:autoSpaceDE w:val="0"/>
        <w:autoSpaceDN w:val="0"/>
        <w:adjustRightInd w:val="0"/>
        <w:ind w:firstLine="720"/>
        <w:rPr>
          <w:rFonts w:cs="Times New Roman"/>
          <w:noProof/>
          <w:sz w:val="22"/>
        </w:rPr>
      </w:pPr>
      <w:r>
        <w:rPr>
          <w:rFonts w:cs="Times New Roman"/>
          <w:noProof/>
          <w:sz w:val="22"/>
        </w:rPr>
        <w:t>Both political ecology and critical geopolitics have well established strands of scholarship that engage with the political potentials and agencies of nonhuman animals and material-things. By building upon these more-than-human approaches in political ecology and critical geopolitics, as well as the embryonic efforts in geo</w:t>
      </w:r>
      <w:r w:rsidR="004C4773">
        <w:rPr>
          <w:rFonts w:cs="Times New Roman"/>
          <w:noProof/>
          <w:sz w:val="22"/>
        </w:rPr>
        <w:t>political ecology, I develop a “</w:t>
      </w:r>
      <w:r>
        <w:rPr>
          <w:rFonts w:cs="Times New Roman"/>
          <w:noProof/>
          <w:sz w:val="22"/>
        </w:rPr>
        <w:t>broader appl</w:t>
      </w:r>
      <w:r w:rsidR="004C4773">
        <w:rPr>
          <w:rFonts w:cs="Times New Roman"/>
          <w:noProof/>
          <w:sz w:val="22"/>
        </w:rPr>
        <w:t>ication of geopolitical ecology”</w:t>
      </w:r>
      <w:r>
        <w:rPr>
          <w:rFonts w:cs="Times New Roman"/>
          <w:noProof/>
          <w:sz w:val="22"/>
        </w:rPr>
        <w:t xml:space="preserve"> (Bigger &amp; Neimark, 2017: 20), which is avowedly more-than-human. This theoretical framework enables me to conceptualise caviar and sturgeon as geopolitical actors which co-produce </w:t>
      </w:r>
      <w:r>
        <w:rPr>
          <w:rFonts w:cs="Times New Roman"/>
          <w:noProof/>
          <w:sz w:val="22"/>
        </w:rPr>
        <w:lastRenderedPageBreak/>
        <w:t xml:space="preserve">the gepolitical ecologies of caviar trade regulation in the European Union. In the following section I review existing literature in political ecology and critical geopolitics that theorises the political agency of nonhuman animals and material-things. I point to how these more-than-human literatures can inform my approach for more-than-human geopolitical ecology. </w:t>
      </w:r>
    </w:p>
    <w:p w14:paraId="019DF66C" w14:textId="77777777" w:rsidR="004675D8" w:rsidRDefault="004675D8" w:rsidP="001139CD">
      <w:pPr>
        <w:widowControl w:val="0"/>
        <w:autoSpaceDE w:val="0"/>
        <w:autoSpaceDN w:val="0"/>
        <w:adjustRightInd w:val="0"/>
        <w:rPr>
          <w:rFonts w:cs="Times New Roman"/>
          <w:noProof/>
          <w:sz w:val="22"/>
        </w:rPr>
      </w:pPr>
    </w:p>
    <w:p w14:paraId="61232562" w14:textId="77777777" w:rsidR="001139CD" w:rsidRPr="00F26270" w:rsidRDefault="001139CD" w:rsidP="001139CD">
      <w:pPr>
        <w:pStyle w:val="Heading2"/>
        <w:rPr>
          <w:noProof/>
        </w:rPr>
      </w:pPr>
      <w:bookmarkStart w:id="21" w:name="_Toc453224194"/>
      <w:r w:rsidRPr="00F26270">
        <w:rPr>
          <w:noProof/>
        </w:rPr>
        <w:t>2.2 Integrating more-than-human ontologies</w:t>
      </w:r>
      <w:bookmarkEnd w:id="21"/>
      <w:r w:rsidRPr="00F26270">
        <w:rPr>
          <w:noProof/>
        </w:rPr>
        <w:t xml:space="preserve"> </w:t>
      </w:r>
    </w:p>
    <w:p w14:paraId="1C5DFB58" w14:textId="67325D9C" w:rsidR="001139CD" w:rsidRDefault="001139CD" w:rsidP="001139CD">
      <w:pPr>
        <w:widowControl w:val="0"/>
        <w:autoSpaceDE w:val="0"/>
        <w:autoSpaceDN w:val="0"/>
        <w:adjustRightInd w:val="0"/>
        <w:rPr>
          <w:rFonts w:cs="Times New Roman"/>
          <w:noProof/>
          <w:sz w:val="22"/>
        </w:rPr>
      </w:pPr>
      <w:r>
        <w:rPr>
          <w:rFonts w:cs="Times New Roman"/>
          <w:noProof/>
          <w:sz w:val="22"/>
        </w:rPr>
        <w:t>As outlined previously, environmental geopolitics and geopolitical ecology are overwhelmingly human-centric in their theories and methodologies; and this issue isn’t resolved by bringing the two fields into dialogue. Indeed, the issue of anthropocentrism has beleagured work that engages with international relations, and geopolitics in particul</w:t>
      </w:r>
      <w:r w:rsidR="006D6908">
        <w:rPr>
          <w:rFonts w:cs="Times New Roman"/>
          <w:noProof/>
          <w:sz w:val="22"/>
        </w:rPr>
        <w:t>ar; with the result being that “</w:t>
      </w:r>
      <w:r>
        <w:rPr>
          <w:rFonts w:cs="Times New Roman"/>
          <w:noProof/>
          <w:sz w:val="22"/>
        </w:rPr>
        <w:t>scholarship has been narrowly focused and does not actually reflect the ways in which human social life and political life is neither exclusively social, nor exclusively human but bound up w</w:t>
      </w:r>
      <w:r w:rsidR="006D6908">
        <w:rPr>
          <w:rFonts w:cs="Times New Roman"/>
          <w:noProof/>
          <w:sz w:val="22"/>
        </w:rPr>
        <w:t>ith non-human beings and things”</w:t>
      </w:r>
      <w:r>
        <w:rPr>
          <w:rFonts w:cs="Times New Roman"/>
          <w:noProof/>
          <w:sz w:val="22"/>
        </w:rPr>
        <w:t xml:space="preserve"> </w:t>
      </w:r>
      <w:r>
        <w:rPr>
          <w:rFonts w:cs="Times New Roman"/>
          <w:noProof/>
          <w:sz w:val="22"/>
        </w:rPr>
        <w:fldChar w:fldCharType="begin" w:fldLock="1"/>
      </w:r>
      <w:r w:rsidR="00EC7F7E">
        <w:rPr>
          <w:rFonts w:cs="Times New Roman"/>
          <w:noProof/>
          <w:sz w:val="22"/>
        </w:rPr>
        <w:instrText>ADDIN CSL_CITATION {"citationItems":[{"id":"ITEM-1","itemData":{"DOI":"10.1017/S0260210512000290","ISBN":"0260-2105, 1469-9044","ISSN":"02602105","abstract":"Abstract Theorisations of the political in general, and international politics in particular, have been little concerned with the vast variety of other, non-human populations of species and 'things'. This anthropocentrism limits the possibilities for the discipline to contribute on core issues and prescribes a very limited scope for study. As a response to this narrow focus, this article calls for the development of a posthuman approach to the study of international politics. By posthuman, we mean an analysis that is based on complexity theory, rejects Newtonian social sciences, and decentres the human as the object of study. We argue for a decentring of 'the human' in our scholarship as imperative to understanding the complexity of the world. However, this approach also has a political incentive, which we describe as 'complex ecologism'. [PUBLICATION ABSTRACT]","author":[{"dropping-particle":"","family":"Cudworth","given":"Erika","non-dropping-particle":"","parse-names":false,"suffix":""},{"dropping-particle":"","family":"Hobden","given":"Stephen","non-dropping-particle":"","parse-names":false,"suffix":""}],"container-title":"Review of International Studies","id":"ITEM-1","issue":"3","issued":{"date-parts":[["2013"]]},"page":"643-664","title":"Complexity, ecologism, and posthuman politics","type":"article-journal","volume":"39"},"uris":["http://www.mendeley.com/documents/?uuid=0a0a6f48-43b2-4aa8-bbde-ea0f0eb2eaea"]}],"mendeley":{"formattedCitation":"(Cudworth and Hobden, 2013)","manualFormatting":"(Cudworth &amp; Hobden, 2013: 644)","plainTextFormattedCitation":"(Cudworth and Hobden, 2013)","previouslyFormattedCitation":"(Cudworth and Hobden, 2013)"},"properties":{"noteIndex":0},"schema":"https://github.com/citation-style-language/schema/raw/master/csl-citation.json"}</w:instrText>
      </w:r>
      <w:r>
        <w:rPr>
          <w:rFonts w:cs="Times New Roman"/>
          <w:noProof/>
          <w:sz w:val="22"/>
        </w:rPr>
        <w:fldChar w:fldCharType="separate"/>
      </w:r>
      <w:r>
        <w:rPr>
          <w:rFonts w:cs="Times New Roman"/>
          <w:noProof/>
          <w:sz w:val="22"/>
        </w:rPr>
        <w:t xml:space="preserve">(Cudworth &amp; </w:t>
      </w:r>
      <w:r w:rsidRPr="001F1759">
        <w:rPr>
          <w:rFonts w:cs="Times New Roman"/>
          <w:noProof/>
          <w:sz w:val="22"/>
        </w:rPr>
        <w:t>Hobden, 2013</w:t>
      </w:r>
      <w:r>
        <w:rPr>
          <w:rFonts w:cs="Times New Roman"/>
          <w:noProof/>
          <w:sz w:val="22"/>
        </w:rPr>
        <w:t>: 644</w:t>
      </w:r>
      <w:r w:rsidRPr="001F1759">
        <w:rPr>
          <w:rFonts w:cs="Times New Roman"/>
          <w:noProof/>
          <w:sz w:val="22"/>
        </w:rPr>
        <w:t>)</w:t>
      </w:r>
      <w:r>
        <w:rPr>
          <w:rFonts w:cs="Times New Roman"/>
          <w:noProof/>
          <w:sz w:val="22"/>
        </w:rPr>
        <w:fldChar w:fldCharType="end"/>
      </w:r>
      <w:r>
        <w:rPr>
          <w:rFonts w:cs="Times New Roman"/>
          <w:noProof/>
          <w:sz w:val="22"/>
        </w:rPr>
        <w:t>. The human-centrism in accounts of the geopolitics of environmental change stands in stark contrast with recent moves in the broader soci</w:t>
      </w:r>
      <w:r w:rsidR="006D6908">
        <w:rPr>
          <w:rFonts w:cs="Times New Roman"/>
          <w:noProof/>
          <w:sz w:val="22"/>
        </w:rPr>
        <w:t>al sciences, which demonstrate “</w:t>
      </w:r>
      <w:r>
        <w:rPr>
          <w:rFonts w:cs="Times New Roman"/>
          <w:noProof/>
          <w:sz w:val="22"/>
        </w:rPr>
        <w:t>a flourishing of interest in posthuman, more-than-human, distribu</w:t>
      </w:r>
      <w:r w:rsidR="006D6908">
        <w:rPr>
          <w:rFonts w:cs="Times New Roman"/>
          <w:noProof/>
          <w:sz w:val="22"/>
        </w:rPr>
        <w:t>ted and hybrid themes of agency”</w:t>
      </w:r>
      <w:r>
        <w:rPr>
          <w:rFonts w:cs="Times New Roman"/>
          <w:noProof/>
          <w:sz w:val="22"/>
        </w:rPr>
        <w:t xml:space="preserve"> </w:t>
      </w:r>
      <w:r>
        <w:rPr>
          <w:rFonts w:cs="Times New Roman"/>
          <w:noProof/>
          <w:sz w:val="22"/>
        </w:rPr>
        <w:fldChar w:fldCharType="begin" w:fldLock="1"/>
      </w:r>
      <w:r>
        <w:rPr>
          <w:rFonts w:cs="Times New Roman"/>
          <w:noProof/>
          <w:sz w:val="22"/>
        </w:rPr>
        <w:instrText>ADDIN CSL_CITATION {"citationItems":[{"id":"ITEM-1","itemData":{"DOI":"10.1016/j.polgeo.2015.09.004","ISBN":"0962-6298","ISSN":"09626298","abstract":"How do invisible beings in the forested hinterlands complicate the work of bureaucrats in the capital? What do dreams and the beings who visit them have to do with state power? Despite a deepening commitment to posthumanism, political ecologists have rarely opened our accounts of more-than-human assemblages to what have conventionally been termed “supernatural” or “metaphysical” forms of agency. To counter this lingering ethnocentrism, I argue here for an ontologically broadened understanding of how environmental government is produced and contested in contexts of difference. My argument draws on ethnographic fieldwork on Palawan Island in the Philippines, where the expansion of conservation enclosures has coincided with the postauthoritarian recognition of Indigenous rights. Officials there have looked to a presumed Indigenous subsistence ethic as a natural fit for conservation enclosures. In practice, however, Palawan land- and resource-use decisions are based, in part, on social relations with an invisible realm of beings who make their will known through mediums or dreams. These relations involve contingencies that complicate and at times subvert the designs of bureaucratic conservation. As a result, attempts to graft these designs onto Palawan practices do as much to engender mutually transformative encounters between contrasting ontological practices as they do to create well-disciplined eco-subjects or establish state territoriality. To better understand the operation of environmental government – and to hold it accountable to promises of meaningful local participation – political ecology should, I argue, attend more carefully to the ontological multiplicity of forces that shape spatial practices and their regulation.","author":[{"dropping-particle":"","family":"Theriault","given":"Noah","non-dropping-particle":"","parse-names":false,"suffix":""}],"container-title":"Political Geography","id":"ITEM-1","issued":{"date-parts":[["2017"]]},"page":"114-127","publisher":"Elsevier Ltd","title":"A forest of dreams: Ontological multiplicity and the fantasies of environmental government in the Philippines","type":"article-journal","volume":"58"},"uris":["http://www.mendeley.com/documents/?uuid=f3f65c09-8eba-4d99-964d-e5362c970e5a"]}],"mendeley":{"formattedCitation":"(Theriault, 2017)","manualFormatting":"(Theriault, 2017: 116)","plainTextFormattedCitation":"(Theriault, 2017)","previouslyFormattedCitation":"(Theriault, 2017)"},"properties":{"noteIndex":0},"schema":"https://github.com/citation-style-language/schema/raw/master/csl-citation.json"}</w:instrText>
      </w:r>
      <w:r>
        <w:rPr>
          <w:rFonts w:cs="Times New Roman"/>
          <w:noProof/>
          <w:sz w:val="22"/>
        </w:rPr>
        <w:fldChar w:fldCharType="separate"/>
      </w:r>
      <w:r w:rsidRPr="001F1759">
        <w:rPr>
          <w:rFonts w:cs="Times New Roman"/>
          <w:noProof/>
          <w:sz w:val="22"/>
        </w:rPr>
        <w:t>(Theriault, 2017</w:t>
      </w:r>
      <w:r>
        <w:rPr>
          <w:rFonts w:cs="Times New Roman"/>
          <w:noProof/>
          <w:sz w:val="22"/>
        </w:rPr>
        <w:t>: 116</w:t>
      </w:r>
      <w:r w:rsidRPr="001F1759">
        <w:rPr>
          <w:rFonts w:cs="Times New Roman"/>
          <w:noProof/>
          <w:sz w:val="22"/>
        </w:rPr>
        <w:t>)</w:t>
      </w:r>
      <w:r>
        <w:rPr>
          <w:rFonts w:cs="Times New Roman"/>
          <w:noProof/>
          <w:sz w:val="22"/>
        </w:rPr>
        <w:fldChar w:fldCharType="end"/>
      </w:r>
      <w:r>
        <w:rPr>
          <w:rFonts w:cs="Times New Roman"/>
          <w:noProof/>
          <w:sz w:val="22"/>
        </w:rPr>
        <w:t xml:space="preserve">. </w:t>
      </w:r>
    </w:p>
    <w:p w14:paraId="5C80112B" w14:textId="02F0E083" w:rsidR="001139CD" w:rsidRDefault="001139CD" w:rsidP="001139CD">
      <w:pPr>
        <w:widowControl w:val="0"/>
        <w:autoSpaceDE w:val="0"/>
        <w:autoSpaceDN w:val="0"/>
        <w:adjustRightInd w:val="0"/>
        <w:ind w:firstLine="720"/>
        <w:rPr>
          <w:rFonts w:cs="Times New Roman"/>
          <w:noProof/>
          <w:sz w:val="22"/>
        </w:rPr>
      </w:pPr>
      <w:r>
        <w:rPr>
          <w:rFonts w:cs="Times New Roman"/>
          <w:noProof/>
          <w:sz w:val="22"/>
        </w:rPr>
        <w:t xml:space="preserve">More-than-human approaches are multiplicitious in theory, methods, and subject matter; but at their core they are committed to ‘radical ontological positions’, and disrupting the entrenched dichotomies between society and nature, or the human and nonhuman world </w:t>
      </w:r>
      <w:r>
        <w:rPr>
          <w:rFonts w:cs="Times New Roman"/>
          <w:noProof/>
          <w:sz w:val="22"/>
        </w:rPr>
        <w:fldChar w:fldCharType="begin" w:fldLock="1"/>
      </w:r>
      <w:r>
        <w:rPr>
          <w:rFonts w:cs="Times New Roman"/>
          <w:noProof/>
          <w:sz w:val="22"/>
        </w:rPr>
        <w:instrText>ADDIN CSL_CITATION {"citationItems":[{"id":"ITEM-1","itemData":{"DOI":"10.2458/v21i1.21144","ISSN":"10730451","abstract":"&lt;p&gt;\"Posthumanist\" theories have become increasingly popular among scholars in political ecology and other fields in the human sciences. The hope is that they will improve our grasp of relations between humans and various nonhumans and, in the process, offer the means to recompose the \"social\" and the \"natural\" domains. In this paper, I assess the merits of posthumanisms for critical scholarship. Looking specifically at the work of Bruno Latour (including his latest book, An inquiry into modes of existence) and Donna Haraway, I argue that posthumanist thinking offers not only analytical but normative advantages over conventional and even Marxian approaches. But these newer frameworks contain their own ethico-political limitations and, to the extent that they are useful for addressing conditions of injustice, they continue to depend upon conceptual resources from their precursors. For this reason, a critical political ecology would best be served by preserving a tension between humanist and posthumanist methods.Keywords: posthumanism, critical theory, political ecology, human-nonhuman relations, Bruno Latour, Donna Haraway&lt;/p&gt;","author":[{"dropping-particle":"","family":"Chagani","given":"Fayaz","non-dropping-particle":"","parse-names":false,"suffix":""}],"container-title":"Journal of Political Ecology","id":"ITEM-1","issue":"1","issued":{"date-parts":[["2014"]]},"page":"424-436","title":"Critical political ecology and the seductions of posthumanism","type":"article-journal","volume":"21"},"uris":["http://www.mendeley.com/documents/?uuid=84ac04ad-e360-42ee-aad8-09ac56c05db3"]}],"mendeley":{"formattedCitation":"(Chagani, 2014)","plainTextFormattedCitation":"(Chagani, 2014)","previouslyFormattedCitation":"(Chagani, 2014)"},"properties":{"noteIndex":0},"schema":"https://github.com/citation-style-language/schema/raw/master/csl-citation.json"}</w:instrText>
      </w:r>
      <w:r>
        <w:rPr>
          <w:rFonts w:cs="Times New Roman"/>
          <w:noProof/>
          <w:sz w:val="22"/>
        </w:rPr>
        <w:fldChar w:fldCharType="separate"/>
      </w:r>
      <w:r w:rsidRPr="00E30C9D">
        <w:rPr>
          <w:rFonts w:cs="Times New Roman"/>
          <w:noProof/>
          <w:sz w:val="22"/>
        </w:rPr>
        <w:t>(Chagani, 2014)</w:t>
      </w:r>
      <w:r>
        <w:rPr>
          <w:rFonts w:cs="Times New Roman"/>
          <w:noProof/>
          <w:sz w:val="22"/>
        </w:rPr>
        <w:fldChar w:fldCharType="end"/>
      </w:r>
      <w:r>
        <w:rPr>
          <w:rFonts w:cs="Times New Roman"/>
          <w:noProof/>
          <w:sz w:val="22"/>
        </w:rPr>
        <w:t>. Moreover, rather than merely disrupting dichotomies, posthuman and more</w:t>
      </w:r>
      <w:r w:rsidR="006D6908">
        <w:rPr>
          <w:rFonts w:cs="Times New Roman"/>
          <w:noProof/>
          <w:sz w:val="22"/>
        </w:rPr>
        <w:t>-than-human approaches seek to “</w:t>
      </w:r>
      <w:r>
        <w:rPr>
          <w:rFonts w:cs="Times New Roman"/>
          <w:noProof/>
          <w:sz w:val="22"/>
        </w:rPr>
        <w:t>advance non-humans as legitimate subject matters of social inquiry whose actions contribute to the co-produ</w:t>
      </w:r>
      <w:r w:rsidR="006D6908">
        <w:rPr>
          <w:rFonts w:cs="Times New Roman"/>
          <w:noProof/>
          <w:sz w:val="22"/>
        </w:rPr>
        <w:t>ction of more-than-human worlds”</w:t>
      </w:r>
      <w:r>
        <w:rPr>
          <w:rFonts w:cs="Times New Roman"/>
          <w:noProof/>
          <w:sz w:val="22"/>
        </w:rPr>
        <w:t xml:space="preserve"> </w:t>
      </w:r>
      <w:r>
        <w:rPr>
          <w:rFonts w:cs="Times New Roman"/>
          <w:noProof/>
          <w:sz w:val="22"/>
        </w:rPr>
        <w:fldChar w:fldCharType="begin" w:fldLock="1"/>
      </w:r>
      <w:r w:rsidR="00EC7F7E">
        <w:rPr>
          <w:rFonts w:cs="Times New Roman"/>
          <w:noProof/>
          <w:sz w:val="22"/>
        </w:rPr>
        <w:instrText>ADDIN CSL_CITATION {"citationItems":[{"id":"ITEM-1","itemData":{"DOI":"10.1016/j.geoforum.2018.03.017","ISSN":"00167185","abstract":"This critical review aims to facilitate explicit, ongoing consideration for how post-human geographies and political ecology stand to benefit one another empirically and theoretically. In it, we argue that post-human political ecologies are well-equipped to ensure that the broader post-human turn in geographical thought engages critically with the roles that humans and non-humans play in enactments of injustice – both as subjects of (in)justice and as beings whose actions have justice implications for myriad forms of life. By engaging with empirics drawn from research on tiger conservation in India, we deploy myth as a conceptual tool and as an heuristic device to illustrate how post-human political ecologies might further engage with the politics and power asymmetries embedded in conservation science and practice. To conclude, this critical review summarizes the merits of bringing the ‘cutting edge’ of post-human geographical literature into dialogue with the traditional concerns of political ecology and recaps the potential power that myth retains as an analytic in post-human political ecologies.","author":[{"dropping-particle":"","family":"Margulies","given":"Jared D.","non-dropping-particle":"","parse-names":false,"suffix":""},{"dropping-particle":"","family":"Bersaglio","given":"Brock","non-dropping-particle":"","parse-names":false,"suffix":""}],"container-title":"Geoforum","id":"ITEM-1","issue":"December 2017","issued":{"date-parts":[["2018"]]},"page":"103-106","publisher":"Elsevier","title":"Furthering post-human political ecologies","type":"article-journal","volume":"94"},"uris":["http://www.mendeley.com/documents/?uuid=3c9ea23f-d0b0-4634-bcfb-ec811fea3897"]}],"mendeley":{"formattedCitation":"(Margulies and Bersaglio, 2018)","manualFormatting":"(Margulies &amp; Bersaglio, 2018: 104)","plainTextFormattedCitation":"(Margulies and Bersaglio, 2018)","previouslyFormattedCitation":"(Margulies and Bersaglio, 2018)"},"properties":{"noteIndex":0},"schema":"https://github.com/citation-style-language/schema/raw/master/csl-citation.json"}</w:instrText>
      </w:r>
      <w:r>
        <w:rPr>
          <w:rFonts w:cs="Times New Roman"/>
          <w:noProof/>
          <w:sz w:val="22"/>
        </w:rPr>
        <w:fldChar w:fldCharType="separate"/>
      </w:r>
      <w:r w:rsidRPr="008158CE">
        <w:rPr>
          <w:rFonts w:cs="Times New Roman"/>
          <w:noProof/>
          <w:sz w:val="22"/>
        </w:rPr>
        <w:t xml:space="preserve">(Margulies </w:t>
      </w:r>
      <w:r>
        <w:rPr>
          <w:rFonts w:cs="Times New Roman"/>
          <w:noProof/>
          <w:sz w:val="22"/>
        </w:rPr>
        <w:t xml:space="preserve">&amp; </w:t>
      </w:r>
      <w:r w:rsidRPr="008158CE">
        <w:rPr>
          <w:rFonts w:cs="Times New Roman"/>
          <w:noProof/>
          <w:sz w:val="22"/>
        </w:rPr>
        <w:t>Bersaglio, 2018</w:t>
      </w:r>
      <w:r>
        <w:rPr>
          <w:rFonts w:cs="Times New Roman"/>
          <w:noProof/>
          <w:sz w:val="22"/>
        </w:rPr>
        <w:t>: 104</w:t>
      </w:r>
      <w:r w:rsidRPr="008158CE">
        <w:rPr>
          <w:rFonts w:cs="Times New Roman"/>
          <w:noProof/>
          <w:sz w:val="22"/>
        </w:rPr>
        <w:t>)</w:t>
      </w:r>
      <w:r>
        <w:rPr>
          <w:rFonts w:cs="Times New Roman"/>
          <w:noProof/>
          <w:sz w:val="22"/>
        </w:rPr>
        <w:fldChar w:fldCharType="end"/>
      </w:r>
      <w:r>
        <w:rPr>
          <w:rFonts w:cs="Times New Roman"/>
          <w:noProof/>
          <w:sz w:val="22"/>
        </w:rPr>
        <w:t xml:space="preserve">. Such an orientation rejects Cartesian notions of intentionality </w:t>
      </w:r>
      <w:r>
        <w:rPr>
          <w:rFonts w:cs="Times New Roman"/>
          <w:noProof/>
          <w:sz w:val="22"/>
        </w:rPr>
        <w:fldChar w:fldCharType="begin" w:fldLock="1"/>
      </w:r>
      <w:r>
        <w:rPr>
          <w:rFonts w:cs="Times New Roman"/>
          <w:noProof/>
          <w:sz w:val="22"/>
        </w:rPr>
        <w:instrText>ADDIN CSL_CITATION {"citationItems":[{"id":"ITEM-1","itemData":{"DOI":"10.1080/14788810.2019.1666646","ISSN":"1478-8810","author":[{"dropping-particle":"","family":"Banoub","given":"Daniel","non-dropping-particle":"","parse-names":false,"suffix":""}],"container-title":"Atlantic Studies","id":"ITEM-1","issued":{"date-parts":[["2019"]]},"page":"1-17","title":"Black Monday, 1894: Saltfish, credit, and the ecology of politics in Newfoundland","type":"article-journal"},"uris":["http://www.mendeley.com/documents/?uuid=50e3ac86-1506-3352-8641-1ee4668ef9ad"]}],"mendeley":{"formattedCitation":"(Banoub, 2019)","plainTextFormattedCitation":"(Banoub, 2019)","previouslyFormattedCitation":"(Banoub, 2019)"},"properties":{"noteIndex":0},"schema":"https://github.com/citation-style-language/schema/raw/master/csl-citation.json"}</w:instrText>
      </w:r>
      <w:r>
        <w:rPr>
          <w:rFonts w:cs="Times New Roman"/>
          <w:noProof/>
          <w:sz w:val="22"/>
        </w:rPr>
        <w:fldChar w:fldCharType="separate"/>
      </w:r>
      <w:r w:rsidRPr="00CE7CF4">
        <w:rPr>
          <w:rFonts w:cs="Times New Roman"/>
          <w:noProof/>
          <w:sz w:val="22"/>
        </w:rPr>
        <w:t>(Banoub, 2019)</w:t>
      </w:r>
      <w:r>
        <w:rPr>
          <w:rFonts w:cs="Times New Roman"/>
          <w:noProof/>
          <w:sz w:val="22"/>
        </w:rPr>
        <w:fldChar w:fldCharType="end"/>
      </w:r>
      <w:r w:rsidR="006D6908">
        <w:rPr>
          <w:rFonts w:cs="Times New Roman"/>
          <w:noProof/>
          <w:sz w:val="22"/>
        </w:rPr>
        <w:t>. Instead, it requires “</w:t>
      </w:r>
      <w:r>
        <w:rPr>
          <w:rFonts w:cs="Times New Roman"/>
          <w:noProof/>
          <w:sz w:val="22"/>
        </w:rPr>
        <w:t xml:space="preserve">making a break with the exclusive hold </w:t>
      </w:r>
      <w:r w:rsidR="006D6908">
        <w:rPr>
          <w:rFonts w:cs="Times New Roman"/>
          <w:noProof/>
          <w:sz w:val="22"/>
        </w:rPr>
        <w:t>of humanity on political agency”</w:t>
      </w:r>
      <w:r>
        <w:rPr>
          <w:rFonts w:cs="Times New Roman"/>
          <w:noProof/>
          <w:sz w:val="22"/>
        </w:rPr>
        <w:t xml:space="preserve">, </w:t>
      </w:r>
      <w:r w:rsidR="006D6908">
        <w:rPr>
          <w:rFonts w:cs="Times New Roman"/>
          <w:noProof/>
          <w:sz w:val="22"/>
        </w:rPr>
        <w:t>and necessitates being open to “</w:t>
      </w:r>
      <w:r>
        <w:rPr>
          <w:rFonts w:cs="Times New Roman"/>
          <w:noProof/>
          <w:sz w:val="22"/>
        </w:rPr>
        <w:t>agencies unlinked to an intentional subject</w:t>
      </w:r>
      <w:r w:rsidR="006D6908">
        <w:rPr>
          <w:rFonts w:cs="Times New Roman"/>
          <w:noProof/>
          <w:sz w:val="22"/>
        </w:rPr>
        <w:t xml:space="preserve">” </w:t>
      </w:r>
      <w:r>
        <w:rPr>
          <w:rFonts w:cs="Times New Roman"/>
          <w:noProof/>
          <w:sz w:val="22"/>
        </w:rPr>
        <w:fldChar w:fldCharType="begin" w:fldLock="1"/>
      </w:r>
      <w:r>
        <w:rPr>
          <w:rFonts w:cs="Times New Roman"/>
          <w:noProof/>
          <w:sz w:val="22"/>
        </w:rPr>
        <w:instrText>ADDIN CSL_CITATION {"citationItems":[{"id":"ITEM-1","itemData":{"DOI":"10.1177/0309132513501405","ISBN":"0309-1325","ISSN":"03091325","PMID":"97190951","abstract":"This article proposes a framework for considering materiality in the field of geopolitics: assemblage and complexity theories. Drawing on literatures beyond the field to imagine a posthuman geopolitics, this article argues for a relational ontology that emphasizes the complex interactions among the elements of an assemblage. These interactions produce emergent effects which themselves reshape the assemblage’s elements. This has implications for understandings of agency, subjectivity, and systemic change. The article concludes by highlighting the methodological and ethical challenges that such a project would face.","author":[{"dropping-particle":"","family":"Dittmer","given":"Jason","non-dropping-particle":"","parse-names":false,"suffix":""}],"container-title":"Progress in Human Geography","id":"ITEM-1","issue":"3","issued":{"date-parts":[["2014"]]},"page":"385-401","title":"Geopolitical assemblages and complexity","type":"article-journal","volume":"38"},"uris":["http://www.mendeley.com/documents/?uuid=e2926cf5-f528-4c74-8693-620b73dd6fa0"]}],"mendeley":{"formattedCitation":"(Dittmer, 2014)","manualFormatting":"(Dittmer, 2014: 397)","plainTextFormattedCitation":"(Dittmer, 2014)","previouslyFormattedCitation":"(Dittmer, 2014)"},"properties":{"noteIndex":0},"schema":"https://github.com/citation-style-language/schema/raw/master/csl-citation.json"}</w:instrText>
      </w:r>
      <w:r>
        <w:rPr>
          <w:rFonts w:cs="Times New Roman"/>
          <w:noProof/>
          <w:sz w:val="22"/>
        </w:rPr>
        <w:fldChar w:fldCharType="separate"/>
      </w:r>
      <w:r w:rsidRPr="00CE7CF4">
        <w:rPr>
          <w:rFonts w:cs="Times New Roman"/>
          <w:noProof/>
          <w:sz w:val="22"/>
        </w:rPr>
        <w:t>(Dittmer, 2014</w:t>
      </w:r>
      <w:r>
        <w:rPr>
          <w:rFonts w:cs="Times New Roman"/>
          <w:noProof/>
          <w:sz w:val="22"/>
        </w:rPr>
        <w:t>: 397</w:t>
      </w:r>
      <w:r w:rsidRPr="00CE7CF4">
        <w:rPr>
          <w:rFonts w:cs="Times New Roman"/>
          <w:noProof/>
          <w:sz w:val="22"/>
        </w:rPr>
        <w:t>)</w:t>
      </w:r>
      <w:r>
        <w:rPr>
          <w:rFonts w:cs="Times New Roman"/>
          <w:noProof/>
          <w:sz w:val="22"/>
        </w:rPr>
        <w:fldChar w:fldCharType="end"/>
      </w:r>
      <w:r>
        <w:rPr>
          <w:rFonts w:cs="Times New Roman"/>
          <w:noProof/>
          <w:sz w:val="22"/>
        </w:rPr>
        <w:t>. This entails re-thinking agency as relational, and forged through connections, contestations, and conflicts between an extensive array of human and nonhuman actors (Dempsey, 2010). Ultimately, agency is not reduced to human intentionality, but corresponds to h</w:t>
      </w:r>
      <w:r w:rsidR="006D6908">
        <w:rPr>
          <w:rFonts w:cs="Times New Roman"/>
          <w:noProof/>
          <w:sz w:val="22"/>
        </w:rPr>
        <w:t>ow humans and nonhumans alike “make a difference to the world”</w:t>
      </w:r>
      <w:r>
        <w:rPr>
          <w:rFonts w:cs="Times New Roman"/>
          <w:noProof/>
          <w:sz w:val="22"/>
        </w:rPr>
        <w:t xml:space="preserve"> </w:t>
      </w:r>
      <w:r>
        <w:rPr>
          <w:rFonts w:cs="Times New Roman"/>
          <w:noProof/>
          <w:sz w:val="22"/>
        </w:rPr>
        <w:fldChar w:fldCharType="begin" w:fldLock="1"/>
      </w:r>
      <w:r>
        <w:rPr>
          <w:rFonts w:cs="Times New Roman"/>
          <w:noProof/>
          <w:sz w:val="22"/>
        </w:rPr>
        <w:instrText>ADDIN CSL_CITATION {"citationItems":[{"id":"ITEM-1","itemData":{"DOI":"10.1068/a42214","ISSN":"0308518X","abstract":"Geographers and others have written many words about British Columbian environmental politics. Stories about this place often revolve around conflicts between the government, the forest industry, First Nations, and environmentalists, battling it out to secure their vision of appropriate land use on the ground. This paper examines a particularly heated conflict over land use in the Great Bear Rainforest region, a large tract of temperate rainforest blanketing the central and north coasts of British Columbia. But this essay takes a different cut into understanding this particular political event, in that it tracks an often-unrecognized actor through the politics there: the grizzly bear. Drawing inspiration from scholarship that challenges the primacy of humans in our understandings of politics and social life, I argue that the grizzly bear influences and inflects BC's coastal forest politics; it is an important player in the transformation of the Great Bear Rainforest. I tell the story of environmental politics there by tracing the grizzly bear's shifting relationships with others, including with settlers, conservation biologists, environmentalists and money, all of which are consequential for the grizzly bear, and for others in the region. © 2010 Pion Ltd and its Licensors.","author":[{"dropping-particle":"","family":"Dempsey","given":"Jessica","non-dropping-particle":"","parse-names":false,"suffix":""}],"container-title":"Environment and Planning A","id":"ITEM-1","issue":"5","issued":{"date-parts":[["2010"]]},"page":"1138-1156","title":"Tracking grizzly bears in British Columbia's environmental politics","type":"article-journal","volume":"42"},"uris":["http://www.mendeley.com/documents/?uuid=8c8f773d-e1a6-42f4-bba8-97822c79db1d"]}],"mendeley":{"formattedCitation":"(Dempsey, 2010)","manualFormatting":"(Dempsey, 2010: 1141)","plainTextFormattedCitation":"(Dempsey, 2010)","previouslyFormattedCitation":"(Dempsey, 2010)"},"properties":{"noteIndex":0},"schema":"https://github.com/citation-style-language/schema/raw/master/csl-citation.json"}</w:instrText>
      </w:r>
      <w:r>
        <w:rPr>
          <w:rFonts w:cs="Times New Roman"/>
          <w:noProof/>
          <w:sz w:val="22"/>
        </w:rPr>
        <w:fldChar w:fldCharType="separate"/>
      </w:r>
      <w:r w:rsidRPr="00A6376F">
        <w:rPr>
          <w:rFonts w:cs="Times New Roman"/>
          <w:noProof/>
          <w:sz w:val="22"/>
        </w:rPr>
        <w:t>(Dempsey, 2010</w:t>
      </w:r>
      <w:r>
        <w:rPr>
          <w:rFonts w:cs="Times New Roman"/>
          <w:noProof/>
          <w:sz w:val="22"/>
        </w:rPr>
        <w:t>: 1141</w:t>
      </w:r>
      <w:r w:rsidRPr="00A6376F">
        <w:rPr>
          <w:rFonts w:cs="Times New Roman"/>
          <w:noProof/>
          <w:sz w:val="22"/>
        </w:rPr>
        <w:t>)</w:t>
      </w:r>
      <w:r>
        <w:rPr>
          <w:rFonts w:cs="Times New Roman"/>
          <w:noProof/>
          <w:sz w:val="22"/>
        </w:rPr>
        <w:fldChar w:fldCharType="end"/>
      </w:r>
      <w:r>
        <w:rPr>
          <w:rFonts w:cs="Times New Roman"/>
          <w:noProof/>
          <w:sz w:val="22"/>
        </w:rPr>
        <w:t xml:space="preserve">. </w:t>
      </w:r>
    </w:p>
    <w:p w14:paraId="381F9349" w14:textId="70A94959" w:rsidR="001139CD" w:rsidRDefault="006D6908" w:rsidP="001139CD">
      <w:pPr>
        <w:widowControl w:val="0"/>
        <w:autoSpaceDE w:val="0"/>
        <w:autoSpaceDN w:val="0"/>
        <w:adjustRightInd w:val="0"/>
        <w:ind w:firstLine="720"/>
        <w:rPr>
          <w:rFonts w:cs="Times New Roman"/>
          <w:noProof/>
          <w:sz w:val="22"/>
        </w:rPr>
      </w:pPr>
      <w:r>
        <w:rPr>
          <w:rFonts w:cs="Times New Roman"/>
          <w:noProof/>
          <w:sz w:val="22"/>
        </w:rPr>
        <w:t>A “</w:t>
      </w:r>
      <w:r w:rsidR="001139CD">
        <w:rPr>
          <w:rFonts w:cs="Times New Roman"/>
          <w:noProof/>
          <w:sz w:val="22"/>
        </w:rPr>
        <w:t xml:space="preserve">deepening commitment to </w:t>
      </w:r>
      <w:r>
        <w:rPr>
          <w:rFonts w:cs="Times New Roman"/>
          <w:noProof/>
          <w:sz w:val="22"/>
        </w:rPr>
        <w:t>posthumanism”</w:t>
      </w:r>
      <w:r w:rsidR="007F40CD">
        <w:rPr>
          <w:rFonts w:cs="Times New Roman"/>
          <w:noProof/>
          <w:sz w:val="22"/>
        </w:rPr>
        <w:t xml:space="preserve"> (Theriault, 2017</w:t>
      </w:r>
      <w:r w:rsidR="001139CD">
        <w:rPr>
          <w:rFonts w:cs="Times New Roman"/>
          <w:noProof/>
          <w:sz w:val="22"/>
        </w:rPr>
        <w:t xml:space="preserve">: 114) has been developing as a strong line of theoretical inquiry within political ecology </w:t>
      </w:r>
      <w:r w:rsidR="001139CD">
        <w:rPr>
          <w:rFonts w:cs="Times New Roman"/>
          <w:noProof/>
          <w:sz w:val="22"/>
        </w:rPr>
        <w:fldChar w:fldCharType="begin" w:fldLock="1"/>
      </w:r>
      <w:r w:rsidR="00EC7F7E">
        <w:rPr>
          <w:rFonts w:cs="Times New Roman"/>
          <w:noProof/>
          <w:sz w:val="22"/>
        </w:rPr>
        <w:instrText>ADDIN CSL_CITATION {"citationItems":[{"id":"ITEM-1","itemData":{"DOI":"10.1016/j.geoforum.2018.03.017","ISSN":"00167185","abstract":"This critical review aims to facilitate explicit, ongoing consideration for how post-human geographies and political ecology stand to benefit one another empirically and theoretically. In it, we argue that post-human political ecologies are well-equipped to ensure that the broader post-human turn in geographical thought engages critically with the roles that humans and non-humans play in enactments of injustice – both as subjects of (in)justice and as beings whose actions have justice implications for myriad forms of life. By engaging with empirics drawn from research on tiger conservation in India, we deploy myth as a conceptual tool and as an heuristic device to illustrate how post-human political ecologies might further engage with the politics and power asymmetries embedded in conservation science and practice. To conclude, this critical review summarizes the merits of bringing the ‘cutting edge’ of post-human geographical literature into dialogue with the traditional concerns of political ecology and recaps the potential power that myth retains as an analytic in post-human political ecologies.","author":[{"dropping-particle":"","family":"Margulies","given":"Jared D.","non-dropping-particle":"","parse-names":false,"suffix":""},{"dropping-particle":"","family":"Bersaglio","given":"Brock","non-dropping-particle":"","parse-names":false,"suffix":""}],"container-title":"Geoforum","id":"ITEM-1","issue":"December 2017","issued":{"date-parts":[["2018"]]},"page":"103-106","publisher":"Elsevier","title":"Furthering post-human political ecologies","type":"article-journal","volume":"94"},"uris":["http://www.mendeley.com/documents/?uuid=3c9ea23f-d0b0-4634-bcfb-ec811fea3897"]},{"id":"ITEM-2","itemData":{"DOI":"10.1080/00045608.2010.538323","ISSN":"1467-8306","author":[{"dropping-particle":"","family":"Sundberg","given":"Juanita","non-dropping-particle":"","parse-names":false,"suffix":""}],"container-title":"Annals of the Association of American Geographers","id":"ITEM-2","issue":"2","issued":{"date-parts":[["2011"]]},"page":"318-336","title":"Diabolic Caminos in the Desert and Cat Fights on the Río: A Posthumanist Political Ecology of Boundary Enforcement in the United States-Mexico Borderlands","type":"article-journal","volume":"101"},"uris":["http://www.mendeley.com/documents/?uuid=87d9fcca-b3b4-33ea-a05b-75f0deb6179a"]},{"id":"ITEM-3","itemData":{"DOI":"10.1080/14788810.2019.1666646","ISSN":"1478-8810","author":[{"dropping-particle":"","family":"Banoub","given":"Daniel","non-dropping-particle":"","parse-names":false,"suffix":""}],"container-title":"Atlantic Studies","id":"ITEM-3","issued":{"date-parts":[["2019"]]},"page":"1-17","title":"Black Monday, 1894: Saltfish, credit, and the ecology of politics in Newfoundland","type":"article-journal"},"uris":["http://www.mendeley.com/documents/?uuid=50e3ac86-1506-3352-8641-1ee4668ef9ad"]},{"id":"ITEM-4","itemData":{"DOI":"10.1016/j.polgeo.2015.09.004","ISBN":"0962-6298","ISSN":"09626298","abstract":"How do invisible beings in the forested hinterlands complicate the work of bureaucrats in the capital? What do dreams and the beings who visit them have to do with state power? Despite a deepening commitment to posthumanism, political ecologists have rarely opened our accounts of more-than-human assemblages to what have conventionally been termed “supernatural” or “metaphysical” forms of agency. To counter this lingering ethnocentrism, I argue here for an ontologically broadened understanding of how environmental government is produced and contested in contexts of difference. My argument draws on ethnographic fieldwork on Palawan Island in the Philippines, where the expansion of conservation enclosures has coincided with the postauthoritarian recognition of Indigenous rights. Officials there have looked to a presumed Indigenous subsistence ethic as a natural fit for conservation enclosures. In practice, however, Palawan land- and resource-use decisions are based, in part, on social relations with an invisible realm of beings who make their will known through mediums or dreams. These relations involve contingencies that complicate and at times subvert the designs of bureaucratic conservation. As a result, attempts to graft these designs onto Palawan practices do as much to engender mutually transformative encounters between contrasting ontological practices as they do to create well-disciplined eco-subjects or establish state territoriality. To better understand the operation of environmental government – and to hold it accountable to promises of meaningful local participation – political ecology should, I argue, attend more carefully to the ontological multiplicity of forces that shape spatial practices and their regulation.","author":[{"dropping-particle":"","family":"Theriault","given":"Noah","non-dropping-particle":"","parse-names":false,"suffix":""}],"container-title":"Political Geography","id":"ITEM-4","issued":{"date-parts":[["2017"]]},"page":"114-127","publisher":"Elsevier Ltd","title":"A forest of dreams: Ontological multiplicity and the fantasies of environmental government in the Philippines","type":"article-journal","volume":"58"},"uris":["http://www.mendeley.com/documents/?uuid=f3f65c09-8eba-4d99-964d-e5362c970e5a"]}],"mendeley":{"formattedCitation":"(Sundberg, 2011; Theriault, 2017; Margulies and Bersaglio, 2018; Banoub, 2019)","manualFormatting":"(Sundberg, 2011; Theriault, 2017; Margulies &amp; Bersaglio, 2018; Banoub, 2019)","plainTextFormattedCitation":"(Sundberg, 2011; Theriault, 2017; Margulies and Bersaglio, 2018; Banoub, 2019)","previouslyFormattedCitation":"(Sundberg, 2011; Theriault, 2017; Margulies and Bersaglio, 2018; Banoub, 2019)"},"properties":{"noteIndex":0},"schema":"https://github.com/citation-style-language/schema/raw/master/csl-citation.json"}</w:instrText>
      </w:r>
      <w:r w:rsidR="001139CD">
        <w:rPr>
          <w:rFonts w:cs="Times New Roman"/>
          <w:noProof/>
          <w:sz w:val="22"/>
        </w:rPr>
        <w:fldChar w:fldCharType="separate"/>
      </w:r>
      <w:r w:rsidR="001139CD" w:rsidRPr="00745E0C">
        <w:rPr>
          <w:rFonts w:cs="Times New Roman"/>
          <w:noProof/>
          <w:sz w:val="22"/>
        </w:rPr>
        <w:t>(Sundberg, 2011;</w:t>
      </w:r>
      <w:r w:rsidR="001139CD">
        <w:rPr>
          <w:rFonts w:cs="Times New Roman"/>
          <w:noProof/>
          <w:sz w:val="22"/>
        </w:rPr>
        <w:t xml:space="preserve"> Theriault, 2017; Margulies &amp; </w:t>
      </w:r>
      <w:r w:rsidR="001139CD" w:rsidRPr="00745E0C">
        <w:rPr>
          <w:rFonts w:cs="Times New Roman"/>
          <w:noProof/>
          <w:sz w:val="22"/>
        </w:rPr>
        <w:t>Bersaglio, 2018; Banoub, 2019)</w:t>
      </w:r>
      <w:r w:rsidR="001139CD">
        <w:rPr>
          <w:rFonts w:cs="Times New Roman"/>
          <w:noProof/>
          <w:sz w:val="22"/>
        </w:rPr>
        <w:fldChar w:fldCharType="end"/>
      </w:r>
      <w:r w:rsidR="001139CD">
        <w:rPr>
          <w:rFonts w:cs="Times New Roman"/>
          <w:noProof/>
          <w:sz w:val="22"/>
        </w:rPr>
        <w:t xml:space="preserve">; and has also been developing in diverging ways within critical geopolitics </w:t>
      </w:r>
      <w:r w:rsidR="001139CD">
        <w:rPr>
          <w:rFonts w:cs="Times New Roman"/>
          <w:noProof/>
          <w:sz w:val="22"/>
        </w:rPr>
        <w:fldChar w:fldCharType="begin" w:fldLock="1"/>
      </w:r>
      <w:r w:rsidR="00EC7F7E">
        <w:rPr>
          <w:rFonts w:cs="Times New Roman"/>
          <w:noProof/>
          <w:sz w:val="22"/>
        </w:rPr>
        <w:instrText>ADDIN CSL_CITATION {"citationItems":[{"id":"ITEM-1","itemData":{"DOI":"10.1177/0309132513501405","ISBN":"0309-1325","ISSN":"03091325","PMID":"97190951","abstract":"This article proposes a framework for considering materiality in the field of geopolitics: assemblage and complexity theories. Drawing on literatures beyond the field to imagine a posthuman geopolitics, this article argues for a relational ontology that emphasizes the complex interactions among the elements of an assemblage. These interactions produce emergent effects which themselves reshape the assemblage’s elements. This has implications for understandings of agency, subjectivity, and systemic change. The article concludes by highlighting the methodological and ethical challenges that such a project would face.","author":[{"dropping-particle":"","family":"Dittmer","given":"Jason","non-dropping-particle":"","parse-names":false,"suffix":""}],"container-title":"Progress in Human Geography","id":"ITEM-1","issue":"3","issued":{"date-parts":[["2014"]]},"page":"385-401","title":"Geopolitical assemblages and complexity","type":"article-journal","volume":"38"},"uris":["http://www.mendeley.com/documents/?uuid=e2926cf5-f528-4c74-8693-620b73dd6fa0"]},{"id":"ITEM-2","itemData":{"DOI":"10.1111/gec3.12184","ISSN":"17498198","author":[{"dropping-particle":"","family":"Weir","given":"Patrick","non-dropping-particle":"","parse-names":false,"suffix":""}],"container-title":"Geography Compass","id":"ITEM-2","issue":"12","issued":{"date-parts":[["2014"]]},"page":"849-859","title":"Radio Geopolitics","type":"article-journal","volume":"8"},"uris":["http://www.mendeley.com/documents/?uuid=c3c79d07-5d9e-487d-b370-5543f1aea86c"]},{"id":"ITEM-3","itemData":{"DOI":"10.1080/14650045.2019.1697240","ISSN":"15573028","abstract":"This paper develops further interrogation into ‘icy geopolitics’ and what it might tell us about how we treat substances like ice as geopolitical matter. It brings together various literatures that speak to ice as a substance and substantial matter. Second, ice is represented and experienced in a multitude of ways, from oral cultures of indigenous communities living and working in the Arctic and mountainous environments. This matters again because ice as metaphor is often complicitous with the settler colonial framing of empty, unstable and ungoverned spaces. The paper takes this icy interrogation and brings it into contact with the experiences and struggles of Arctic peoples and states alongside non-Arctic states that seek to press their interests in the midst of ongoing melting and thawing. Icy geopolitics is being reconfigured; melting is said to be ‘triggering’ further expressions of territorial colonization and resource extraction and/or commitment towards indigenous autonomy, stewardship and conservation. The territorial volume is being put to work while at the same time it is being melted, thawed, opened and closed by human and more than human forces.","author":[{"dropping-particle":"","family":"Dodds","given":"Klaus","non-dropping-particle":"","parse-names":false,"suffix":""}],"container-title":"Geopolitics","id":"ITEM-3","issue":"00","issued":{"date-parts":[["2019"]]},"page":"1-29","publisher":"Routledge","title":"Geopolitics and Ice Humanities: Elemental, Metaphorical and Volumetric Reverberations","type":"article-journal","volume":"00"},"uris":["http://www.mendeley.com/documents/?uuid=1554321b-f4a0-40d2-8186-c44e94cfbcd7"]},{"id":"ITEM-4","itemData":{"DOI":"10.1017/S0260210514000102","ISSN":"14699044","abstract":"How can the 'materialist turn' contribute to the reshaping of critical geopolitics? This article draws attention to the limits of an approach that emphasises the representational, cultural, and interpretive dimensions of geopolitics, while acknowledging the difficulties of an ontological shift to materiality for many scholars of critical geopolitics. It draws on the work of Karen Barad and Annemarie Mol in order to advance three arguments for the reshaping of critical geopolitics as a field of research. First, it argues for an approach to the analysis of power that examines materialdiscursive intra-actions and that cuts across various ontological, analytical, and disciplinary divides. Second, it argues for an analysis of boundary-production that focuses on the mutual enactment or co-constitution of subjects, objects, and environments rather than on performance. Third, it argues for an analytical approach that engages the terrain of geopolitics in terms of a multiplicity of 'cuts' that trouble simplifying geopolitical imaginations along with the clear-cut boundaries that these often imply. In so doing, the article makes the case for a more-than-human approach that does not overstate the efficacy of matter, but rather that engages processes of materialisation and dematerialisation without assuming materiality to be a determinant force.","author":[{"dropping-particle":"","family":"Squire","given":"Vicki","non-dropping-particle":"","parse-names":false,"suffix":""}],"container-title":"Review of International Studies","id":"ITEM-4","issue":"1","issued":{"date-parts":[["2015"]]},"page":"139-159","title":"Reshaping critical geopolitics? The materialist challenge","type":"article-journal","volume":"41"},"uris":["http://www.mendeley.com/documents/?uuid=44b53509-2139-47de-a9e8-1ed7bc328f2a"]},{"id":"ITEM-5","itemData":{"DOI":"10.1016/j.polgeo.2013.12.003","abstract":"What is the political significance of humanitarian activist engagements with the discarded belongings of migrants? This article explores how bordering practices between states resonate with bordering practices between the human and non-human. It argues that attempts to transform 'desert/ed trash' into objects of value are nothing less than struggles over the very category of 'the human' itself. Focussing on humanitarian engagements with the objects that migrants leave behind across the MexicoeUS Sonoran desert, it explores how the politics of human mobility involves the co-constitution of 'people', 'places' and 'things' in multiple ways. By contrast to a posthumanist analysis that emphasises the agency of material things based on a distinction between the human and the nonhuman, I draw on the work of Karen Barad in order to develop a 'more-than-human' account of the materialdiscursive un/becomings of subjectseobjectseenvironments as more or less 'human'. This allows for an analysis of 'the human' as a political stake that is produced through struggles to de/value people, places and things, and that is thus subject to contestation as well as to processes of de-and re-composition. The article assesses the various ways that humanitarian engagements contest processes of dehumanisation through the re-configuration of 'desert/ed trash'. Rather than emphasising re-humanisation, however, I highlight the importance of analysis and practice that rejects the lure of 'naïve humanism' and the problematic over-and under-investments of migrant and human agency that such an approach involves. This is important, the article concludes, in order that the multiplicity of ways by which 'the human' is made, unmade and remade is accounted for without assuming either the supremacy or the powerlessness of people.","author":[{"dropping-particle":"","family":"Squire","given":"Vicki","non-dropping-particle":"","parse-names":false,"suffix":""}],"container-title":"Political Geography","id":"ITEM-5","issued":{"date-parts":[["2014"]]},"page":"11-21","title":"Desert 'trash': Posthumanism, border struggles, and humanitarian politics","type":"article-journal","volume":"39"},"uris":["http://www.mendeley.com/documents/?uuid=c36b7450-f2e9-39be-9e28-b0cf49b87a60"]},{"id":"ITEM-6","itemData":{"DOI":"10.1080/14650045.2016.1192531","ISSN":"1557-3028","author":[{"dropping-particle":"","family":"Raento","given":"Pauliina","non-dropping-particle":"","parse-names":false,"suffix":""}],"id":"ITEM-6","issued":{"date-parts":[["2016"]]},"title":"A Geopolitics of the Horse in Finland","type":"article-journal"},"uris":["http://www.mendeley.com/documents/?uuid=d085da38-35a7-347e-9357-f4e1b688a761"]}],"mendeley":{"formattedCitation":"(Dittmer, 2014; Squire, 2014, 2015; Weir, 2014; Raento, 2016; Dodds, 2019)","plainTextFormattedCitation":"(Dittmer, 2014; Squire, 2014, 2015; Weir, 2014; Raento, 2016; Dodds, 2019)","previouslyFormattedCitation":"(Dittmer, 2014; Squire, 2014, 2015; Weir, 2014; Raento, 2016; Dodds, 2019)"},"properties":{"noteIndex":0},"schema":"https://github.com/citation-style-language/schema/raw/master/csl-citation.json"}</w:instrText>
      </w:r>
      <w:r w:rsidR="001139CD">
        <w:rPr>
          <w:rFonts w:cs="Times New Roman"/>
          <w:noProof/>
          <w:sz w:val="22"/>
        </w:rPr>
        <w:fldChar w:fldCharType="separate"/>
      </w:r>
      <w:r w:rsidR="00042533" w:rsidRPr="00042533">
        <w:rPr>
          <w:rFonts w:cs="Times New Roman"/>
          <w:noProof/>
          <w:sz w:val="22"/>
        </w:rPr>
        <w:t>(Dittmer, 2014; Squire, 2014, 2015; Weir, 2014; Raento, 2016; Dodds, 2019)</w:t>
      </w:r>
      <w:r w:rsidR="001139CD">
        <w:rPr>
          <w:rFonts w:cs="Times New Roman"/>
          <w:noProof/>
          <w:sz w:val="22"/>
        </w:rPr>
        <w:fldChar w:fldCharType="end"/>
      </w:r>
      <w:r w:rsidR="001139CD">
        <w:rPr>
          <w:rFonts w:cs="Times New Roman"/>
          <w:noProof/>
          <w:sz w:val="22"/>
        </w:rPr>
        <w:t xml:space="preserve">. To a significant extent, the differing approaches to theorising the role of the nonhuman are shaped by disciplinary foci, and determined by what aspects of the broader signifier ‘nonhuman’ emerges as </w:t>
      </w:r>
      <w:r w:rsidR="001139CD">
        <w:rPr>
          <w:rFonts w:cs="Times New Roman"/>
          <w:noProof/>
          <w:sz w:val="22"/>
        </w:rPr>
        <w:lastRenderedPageBreak/>
        <w:t xml:space="preserve">politically significant. Indeed, nonhuman </w:t>
      </w:r>
      <w:r>
        <w:rPr>
          <w:rFonts w:cs="Times New Roman"/>
          <w:noProof/>
          <w:sz w:val="22"/>
        </w:rPr>
        <w:t>“</w:t>
      </w:r>
      <w:r w:rsidR="001139CD">
        <w:rPr>
          <w:rFonts w:cs="Times New Roman"/>
          <w:noProof/>
          <w:sz w:val="22"/>
        </w:rPr>
        <w:t xml:space="preserve">encapsulates a number of ‘things’ from the </w:t>
      </w:r>
      <w:r w:rsidR="001139CD" w:rsidRPr="00A074BB">
        <w:rPr>
          <w:rFonts w:cs="Times New Roman"/>
          <w:i/>
          <w:noProof/>
          <w:sz w:val="22"/>
        </w:rPr>
        <w:t>material</w:t>
      </w:r>
      <w:r w:rsidR="001139CD">
        <w:rPr>
          <w:rFonts w:cs="Times New Roman"/>
          <w:noProof/>
          <w:sz w:val="22"/>
        </w:rPr>
        <w:t xml:space="preserve"> to the </w:t>
      </w:r>
      <w:r w:rsidR="001139CD" w:rsidRPr="00A074BB">
        <w:rPr>
          <w:rFonts w:cs="Times New Roman"/>
          <w:i/>
          <w:noProof/>
          <w:sz w:val="22"/>
        </w:rPr>
        <w:t xml:space="preserve">immaterial </w:t>
      </w:r>
      <w:r w:rsidR="001139CD">
        <w:rPr>
          <w:rFonts w:cs="Times New Roman"/>
          <w:noProof/>
          <w:sz w:val="22"/>
        </w:rPr>
        <w:t xml:space="preserve">and the </w:t>
      </w:r>
      <w:r w:rsidR="001139CD" w:rsidRPr="00A074BB">
        <w:rPr>
          <w:rFonts w:cs="Times New Roman"/>
          <w:i/>
          <w:noProof/>
          <w:sz w:val="22"/>
        </w:rPr>
        <w:t>organic</w:t>
      </w:r>
      <w:r w:rsidR="001139CD">
        <w:rPr>
          <w:rFonts w:cs="Times New Roman"/>
          <w:noProof/>
          <w:sz w:val="22"/>
        </w:rPr>
        <w:t xml:space="preserve"> to the </w:t>
      </w:r>
      <w:r w:rsidR="001139CD" w:rsidRPr="00A074BB">
        <w:rPr>
          <w:rFonts w:cs="Times New Roman"/>
          <w:i/>
          <w:noProof/>
          <w:sz w:val="22"/>
        </w:rPr>
        <w:t>inorganic</w:t>
      </w:r>
      <w:r>
        <w:rPr>
          <w:rFonts w:cs="Times New Roman"/>
          <w:noProof/>
          <w:sz w:val="22"/>
        </w:rPr>
        <w:t>”</w:t>
      </w:r>
      <w:r w:rsidR="001139CD">
        <w:rPr>
          <w:rFonts w:cs="Times New Roman"/>
          <w:noProof/>
          <w:sz w:val="22"/>
        </w:rPr>
        <w:t xml:space="preserve"> (Chagani, 2014: 425). Typically political ecology has focused more on the agency of organic, living beings such as: tigers </w:t>
      </w:r>
      <w:r w:rsidR="001139CD">
        <w:rPr>
          <w:rFonts w:cs="Times New Roman"/>
          <w:noProof/>
          <w:sz w:val="22"/>
        </w:rPr>
        <w:fldChar w:fldCharType="begin" w:fldLock="1"/>
      </w:r>
      <w:r w:rsidR="00EC7F7E">
        <w:rPr>
          <w:rFonts w:cs="Times New Roman"/>
          <w:noProof/>
          <w:sz w:val="22"/>
        </w:rPr>
        <w:instrText>ADDIN CSL_CITATION {"citationItems":[{"id":"ITEM-1","itemData":{"DOI":"10.1016/j.geoforum.2018.03.017","ISSN":"00167185","abstract":"This critical review aims to facilitate explicit, ongoing consideration for how post-human geographies and political ecology stand to benefit one another empirically and theoretically. In it, we argue that post-human political ecologies are well-equipped to ensure that the broader post-human turn in geographical thought engages critically with the roles that humans and non-humans play in enactments of injustice – both as subjects of (in)justice and as beings whose actions have justice implications for myriad forms of life. By engaging with empirics drawn from research on tiger conservation in India, we deploy myth as a conceptual tool and as an heuristic device to illustrate how post-human political ecologies might further engage with the politics and power asymmetries embedded in conservation science and practice. To conclude, this critical review summarizes the merits of bringing the ‘cutting edge’ of post-human geographical literature into dialogue with the traditional concerns of political ecology and recaps the potential power that myth retains as an analytic in post-human political ecologies.","author":[{"dropping-particle":"","family":"Margulies","given":"Jared D.","non-dropping-particle":"","parse-names":false,"suffix":""},{"dropping-particle":"","family":"Bersaglio","given":"Brock","non-dropping-particle":"","parse-names":false,"suffix":""}],"container-title":"Geoforum","id":"ITEM-1","issue":"December 2017","issued":{"date-parts":[["2018"]]},"page":"103-106","publisher":"Elsevier","title":"Furthering post-human political ecologies","type":"article-journal","volume":"94"},"uris":["http://www.mendeley.com/documents/?uuid=3c9ea23f-d0b0-4634-bcfb-ec811fea3897"]}],"mendeley":{"formattedCitation":"(Margulies and Bersaglio, 2018)","plainTextFormattedCitation":"(Margulies and Bersaglio, 2018)","previouslyFormattedCitation":"(Margulies and Bersaglio, 2018)"},"properties":{"noteIndex":0},"schema":"https://github.com/citation-style-language/schema/raw/master/csl-citation.json"}</w:instrText>
      </w:r>
      <w:r w:rsidR="001139CD">
        <w:rPr>
          <w:rFonts w:cs="Times New Roman"/>
          <w:noProof/>
          <w:sz w:val="22"/>
        </w:rPr>
        <w:fldChar w:fldCharType="separate"/>
      </w:r>
      <w:r w:rsidR="00042533" w:rsidRPr="00042533">
        <w:rPr>
          <w:rFonts w:cs="Times New Roman"/>
          <w:noProof/>
          <w:sz w:val="22"/>
        </w:rPr>
        <w:t>(Margulies and Bersaglio, 2018)</w:t>
      </w:r>
      <w:r w:rsidR="001139CD">
        <w:rPr>
          <w:rFonts w:cs="Times New Roman"/>
          <w:noProof/>
          <w:sz w:val="22"/>
        </w:rPr>
        <w:fldChar w:fldCharType="end"/>
      </w:r>
      <w:r w:rsidR="001139CD">
        <w:rPr>
          <w:rFonts w:cs="Times New Roman"/>
          <w:noProof/>
          <w:sz w:val="22"/>
        </w:rPr>
        <w:t xml:space="preserve">, scallops </w:t>
      </w:r>
      <w:r w:rsidR="001139CD">
        <w:rPr>
          <w:rFonts w:cs="Times New Roman"/>
          <w:noProof/>
          <w:sz w:val="22"/>
        </w:rPr>
        <w:fldChar w:fldCharType="begin" w:fldLock="1"/>
      </w:r>
      <w:r w:rsidR="001139CD">
        <w:rPr>
          <w:rFonts w:cs="Times New Roman"/>
          <w:noProof/>
          <w:sz w:val="22"/>
        </w:rPr>
        <w:instrText>ADDIN CSL_CITATION {"citationItems":[{"id":"ITEM-1","itemData":{"DOI":"10.1177/1474474012463665","ISBN":"1474474012","ISSN":"14744740","PMID":"1089","abstract":"This paper investigates the controversy around scallop dredging in Cardigan Bay, Wales. The area’s scallop fishery was relatively small until the 1980s but has seen dramatic increases in catches in the past five years. Concerns have been raised about the effect of increasing fishing effort, especially for its potential impacts on the Bay’s population of bottlenose dolphins, which were the basis of its designation as a Special Area of Conservation. I show that the controversy is not merely about human management of an endangered fish stock, but also involves the actions of scallops, dolphins, the sea, seabed, fishing technologies and regulatory practices. I also show that the events in Cardigan Bay frequently are co-produced by events and actions further afield. These topics are examined through the lens of assemblage theory, with which geographers have yet to widely engage. This emphasizes heterogeneity and emergence, and encourages a focus on processes of (de)territorialization. In the paper, I contrast the territorializing practices of regulatory regimes with the smoothing movements of dolphins, the sea and the seabed, showing how the actions of these nonhumans complicate attributions of environmental harm. Through this, the paper addresses the lack of attention paid to the sea by cultural geographers, particularly through a focus on materiality and multi-dimensionality.","author":[{"dropping-particle":"","family":"Bear","given":"Christopher","non-dropping-particle":"","parse-names":false,"suffix":""}],"container-title":"Cultural Geographies","id":"ITEM-1","issue":"1","issued":{"date-parts":[["2013"]]},"page":"21-41","title":"Assembling the sea: Materiality, movement and regulatory practices in the cardigan bay scallop fishery","type":"article-journal","volume":"20"},"uris":["http://www.mendeley.com/documents/?uuid=2d8c7d2c-30e8-4d01-81bd-297e44c8fd23"]}],"mendeley":{"formattedCitation":"(Bear, 2013)","plainTextFormattedCitation":"(Bear, 2013)","previouslyFormattedCitation":"(Bear, 2013)"},"properties":{"noteIndex":0},"schema":"https://github.com/citation-style-language/schema/raw/master/csl-citation.json"}</w:instrText>
      </w:r>
      <w:r w:rsidR="001139CD">
        <w:rPr>
          <w:rFonts w:cs="Times New Roman"/>
          <w:noProof/>
          <w:sz w:val="22"/>
        </w:rPr>
        <w:fldChar w:fldCharType="separate"/>
      </w:r>
      <w:r w:rsidR="001139CD" w:rsidRPr="00626BCF">
        <w:rPr>
          <w:rFonts w:cs="Times New Roman"/>
          <w:noProof/>
          <w:sz w:val="22"/>
        </w:rPr>
        <w:t>(Bear, 2013)</w:t>
      </w:r>
      <w:r w:rsidR="001139CD">
        <w:rPr>
          <w:rFonts w:cs="Times New Roman"/>
          <w:noProof/>
          <w:sz w:val="22"/>
        </w:rPr>
        <w:fldChar w:fldCharType="end"/>
      </w:r>
      <w:r w:rsidR="001139CD">
        <w:rPr>
          <w:rFonts w:cs="Times New Roman"/>
          <w:noProof/>
          <w:sz w:val="22"/>
        </w:rPr>
        <w:t xml:space="preserve">, mosquitoes </w:t>
      </w:r>
      <w:r w:rsidR="001139CD">
        <w:rPr>
          <w:rFonts w:cs="Times New Roman"/>
          <w:noProof/>
          <w:sz w:val="22"/>
        </w:rPr>
        <w:fldChar w:fldCharType="begin" w:fldLock="1"/>
      </w:r>
      <w:r w:rsidR="001139CD">
        <w:rPr>
          <w:rFonts w:cs="Times New Roman"/>
          <w:noProof/>
          <w:sz w:val="22"/>
        </w:rPr>
        <w:instrText>ADDIN CSL_CITATION {"citationItems":[{"id":"ITEM-1","itemData":{"DOI":"10.1126/science.aaa0330","ISBN":"052095856X","ISSN":"0036-8075","PMID":"18061268","abstract":"Dengue fever is the world’s most prevalent mosquito-borne illness, but Alex Nading argues that people in dengue-endemic communities do not always view humans and mosquitoes as mortal enemies. Drawing on two years of ethnographic research in urban Nicaragua and challenging current global health approaches to animal-borne illness, Mosquito Trails tells the story of a group of community health workers who struggle to come to terms with dengue epidemics amid poverty, political change, and economic upheaval. Blending theory from medical anthropology, political ecology, and science and technology studies, Nading develops the concept of \"the politics of entanglement\" to describe how Nicaraguans strive to remain alive to the world around them despite global health strategies that seek to insulate them from their environments. This innovative ethnography illustrates the continued significance of local environmental histories, politics, and household dynamics to the making and unmaking of a global pandemic.","author":[{"dropping-particle":"","family":"Nading","given":"Alex","non-dropping-particle":"","parse-names":false,"suffix":""}],"container-title":"Science","id":"ITEM-1","issue":"6213","issued":{"date-parts":[["2014"]]},"number-of-pages":"1066","title":"Mosquito Trails Ecology, Health, and the Politics of Entanglement","type":"book","volume":"346"},"uris":["http://www.mendeley.com/documents/?uuid=f00bcd16-3d57-37ab-b925-f02b61c0300d"]}],"mendeley":{"formattedCitation":"(Nading, 2014)","plainTextFormattedCitation":"(Nading, 2014)","previouslyFormattedCitation":"(Nading, 2014)"},"properties":{"noteIndex":0},"schema":"https://github.com/citation-style-language/schema/raw/master/csl-citation.json"}</w:instrText>
      </w:r>
      <w:r w:rsidR="001139CD">
        <w:rPr>
          <w:rFonts w:cs="Times New Roman"/>
          <w:noProof/>
          <w:sz w:val="22"/>
        </w:rPr>
        <w:fldChar w:fldCharType="separate"/>
      </w:r>
      <w:r w:rsidR="001139CD" w:rsidRPr="00626BCF">
        <w:rPr>
          <w:rFonts w:cs="Times New Roman"/>
          <w:noProof/>
          <w:sz w:val="22"/>
        </w:rPr>
        <w:t>(Nading, 2014)</w:t>
      </w:r>
      <w:r w:rsidR="001139CD">
        <w:rPr>
          <w:rFonts w:cs="Times New Roman"/>
          <w:noProof/>
          <w:sz w:val="22"/>
        </w:rPr>
        <w:fldChar w:fldCharType="end"/>
      </w:r>
      <w:r w:rsidR="001139CD">
        <w:rPr>
          <w:rFonts w:cs="Times New Roman"/>
          <w:noProof/>
          <w:sz w:val="22"/>
        </w:rPr>
        <w:t xml:space="preserve">, microbes </w:t>
      </w:r>
      <w:r w:rsidR="001139CD">
        <w:rPr>
          <w:rFonts w:cs="Times New Roman"/>
          <w:noProof/>
          <w:sz w:val="22"/>
        </w:rPr>
        <w:fldChar w:fldCharType="begin" w:fldLock="1"/>
      </w:r>
      <w:r w:rsidR="001139CD">
        <w:rPr>
          <w:rFonts w:cs="Times New Roman"/>
          <w:noProof/>
          <w:sz w:val="22"/>
        </w:rPr>
        <w:instrText>ADDIN CSL_CITATION {"citationItems":[{"id":"ITEM-1","itemData":{"author":[{"dropping-particle":"","family":"Lorimer","given":"J","non-dropping-particle":"","parse-names":false,"suffix":""}],"id":"ITEM-1","issued":{"date-parts":[["2016"]]},"title":"Gut buddies: Multispecies studies and the microbiome","type":"article-journal"},"uris":["http://www.mendeley.com/documents/?uuid=e78c67db-1ca6-3b25-8802-de348f2e12cb"]}],"mendeley":{"formattedCitation":"(Lorimer, 2016)","plainTextFormattedCitation":"(Lorimer, 2016)","previouslyFormattedCitation":"(Lorimer, 2016)"},"properties":{"noteIndex":0},"schema":"https://github.com/citation-style-language/schema/raw/master/csl-citation.json"}</w:instrText>
      </w:r>
      <w:r w:rsidR="001139CD">
        <w:rPr>
          <w:rFonts w:cs="Times New Roman"/>
          <w:noProof/>
          <w:sz w:val="22"/>
        </w:rPr>
        <w:fldChar w:fldCharType="separate"/>
      </w:r>
      <w:r w:rsidR="001139CD" w:rsidRPr="002477F6">
        <w:rPr>
          <w:rFonts w:cs="Times New Roman"/>
          <w:noProof/>
          <w:sz w:val="22"/>
        </w:rPr>
        <w:t>(Lorimer, 2016)</w:t>
      </w:r>
      <w:r w:rsidR="001139CD">
        <w:rPr>
          <w:rFonts w:cs="Times New Roman"/>
          <w:noProof/>
          <w:sz w:val="22"/>
        </w:rPr>
        <w:fldChar w:fldCharType="end"/>
      </w:r>
      <w:r w:rsidR="001139CD">
        <w:rPr>
          <w:rFonts w:cs="Times New Roman"/>
          <w:noProof/>
          <w:sz w:val="22"/>
        </w:rPr>
        <w:t xml:space="preserve">, and plants </w:t>
      </w:r>
      <w:r w:rsidR="001139CD">
        <w:rPr>
          <w:rFonts w:cs="Times New Roman"/>
          <w:noProof/>
          <w:sz w:val="22"/>
        </w:rPr>
        <w:fldChar w:fldCharType="begin" w:fldLock="1"/>
      </w:r>
      <w:r w:rsidR="00EC7F7E">
        <w:rPr>
          <w:rFonts w:cs="Times New Roman"/>
          <w:noProof/>
          <w:sz w:val="22"/>
        </w:rPr>
        <w:instrText>ADDIN CSL_CITATION {"citationItems":[{"id":"ITEM-1","itemData":{"DOI":"10.1111/tran.12077","ISSN":"00202754","author":[{"dropping-particle":"","family":"Head","given":"Lesley","non-dropping-particle":"","parse-names":false,"suffix":""},{"dropping-particle":"","family":"Atchison","given":"Jennifer","non-dropping-particle":"","parse-names":false,"suffix":""},{"dropping-particle":"","family":"Phillips","given":"Catherine","non-dropping-particle":"","parse-names":false,"suffix":""}],"container-title":"Transactions of the Institute of British Geographers","id":"ITEM-1","issue":"3","issued":{"date-parts":[["2015","7","1"]]},"page":"399-413","publisher":"Wiley/Blackwell (10.1111)","title":"The distinctive capacities of plants: re-thinking difference via invasive species","type":"article-journal","volume":"40"},"uris":["http://www.mendeley.com/documents/?uuid=82ebedfb-a9ea-3b22-abbb-3d7c5fd60e00"]}],"mendeley":{"formattedCitation":"(Head, Atchison and Phillips, 2015)","plainTextFormattedCitation":"(Head, Atchison and Phillips, 2015)","previouslyFormattedCitation":"(Head, Atchison and Phillips, 2015)"},"properties":{"noteIndex":0},"schema":"https://github.com/citation-style-language/schema/raw/master/csl-citation.json"}</w:instrText>
      </w:r>
      <w:r w:rsidR="001139CD">
        <w:rPr>
          <w:rFonts w:cs="Times New Roman"/>
          <w:noProof/>
          <w:sz w:val="22"/>
        </w:rPr>
        <w:fldChar w:fldCharType="separate"/>
      </w:r>
      <w:r w:rsidR="00042533" w:rsidRPr="00042533">
        <w:rPr>
          <w:rFonts w:cs="Times New Roman"/>
          <w:noProof/>
          <w:sz w:val="22"/>
        </w:rPr>
        <w:t>(Head, Atchison and Phillips, 2015)</w:t>
      </w:r>
      <w:r w:rsidR="001139CD">
        <w:rPr>
          <w:rFonts w:cs="Times New Roman"/>
          <w:noProof/>
          <w:sz w:val="22"/>
        </w:rPr>
        <w:fldChar w:fldCharType="end"/>
      </w:r>
      <w:r w:rsidR="001139CD">
        <w:rPr>
          <w:rFonts w:cs="Times New Roman"/>
          <w:noProof/>
          <w:sz w:val="22"/>
        </w:rPr>
        <w:t xml:space="preserve">. Whereas critical geopolitics has turned attention to inorganic political agencies located in: radio </w:t>
      </w:r>
      <w:r w:rsidR="001139CD">
        <w:rPr>
          <w:rFonts w:cs="Times New Roman"/>
          <w:noProof/>
          <w:sz w:val="22"/>
        </w:rPr>
        <w:fldChar w:fldCharType="begin" w:fldLock="1"/>
      </w:r>
      <w:r w:rsidR="001139CD">
        <w:rPr>
          <w:rFonts w:cs="Times New Roman"/>
          <w:noProof/>
          <w:sz w:val="22"/>
        </w:rPr>
        <w:instrText>ADDIN CSL_CITATION {"citationItems":[{"id":"ITEM-1","itemData":{"DOI":"10.1111/gec3.12184","ISSN":"17498198","author":[{"dropping-particle":"","family":"Weir","given":"Patrick","non-dropping-particle":"","parse-names":false,"suffix":""}],"container-title":"Geography Compass","id":"ITEM-1","issue":"12","issued":{"date-parts":[["2014"]]},"page":"849-859","title":"Radio Geopolitics","type":"article-journal","volume":"8"},"uris":["http://www.mendeley.com/documents/?uuid=c3c79d07-5d9e-487d-b370-5543f1aea86c"]}],"mendeley":{"formattedCitation":"(Weir, 2014)","plainTextFormattedCitation":"(Weir, 2014)","previouslyFormattedCitation":"(Weir, 2014)"},"properties":{"noteIndex":0},"schema":"https://github.com/citation-style-language/schema/raw/master/csl-citation.json"}</w:instrText>
      </w:r>
      <w:r w:rsidR="001139CD">
        <w:rPr>
          <w:rFonts w:cs="Times New Roman"/>
          <w:noProof/>
          <w:sz w:val="22"/>
        </w:rPr>
        <w:fldChar w:fldCharType="separate"/>
      </w:r>
      <w:r w:rsidR="001139CD" w:rsidRPr="002477F6">
        <w:rPr>
          <w:rFonts w:cs="Times New Roman"/>
          <w:noProof/>
          <w:sz w:val="22"/>
        </w:rPr>
        <w:t>(Weir, 2014)</w:t>
      </w:r>
      <w:r w:rsidR="001139CD">
        <w:rPr>
          <w:rFonts w:cs="Times New Roman"/>
          <w:noProof/>
          <w:sz w:val="22"/>
        </w:rPr>
        <w:fldChar w:fldCharType="end"/>
      </w:r>
      <w:r w:rsidR="001139CD">
        <w:rPr>
          <w:rFonts w:cs="Times New Roman"/>
          <w:noProof/>
          <w:sz w:val="22"/>
        </w:rPr>
        <w:t xml:space="preserve">, marine plastic </w:t>
      </w:r>
      <w:r w:rsidR="001139CD">
        <w:rPr>
          <w:rFonts w:cs="Times New Roman"/>
          <w:noProof/>
          <w:sz w:val="22"/>
        </w:rPr>
        <w:fldChar w:fldCharType="begin" w:fldLock="1"/>
      </w:r>
      <w:r w:rsidR="001139CD">
        <w:rPr>
          <w:rFonts w:cs="Times New Roman"/>
          <w:noProof/>
          <w:sz w:val="22"/>
        </w:rPr>
        <w:instrText>ADDIN CSL_CITATION {"citationItems":[{"id":"ITEM-1","itemData":{"DOI":"10.1016/j.polgeo.2015.04.003","abstract":"Marine plastic has received significant attention as a spectacle of consumer waste and ecosystemic fragility, but there has been little discussion of its ethical implications. This essay argues that marine plastic poses a direct challenge to the basic frameworks of global ethics. These frameworks are dominated by the image of the 'circle', an abstract boundary intended to separate 'humanity' from the rest of the universe and insulate it against harm. However, this article argues that marine plastic undermines the 'circle' in two ways. First, it embodies conditions of 'hyper-relationality', including entanglement and the properties of toxicity, that penetrate the boundaries of 'the circle'. Second, it exerts 'forcefulness', but at scales that radically exceed the dominant spatio-temporal dimensions of 'the circle'. By virtue of these features, marine plastic thoroughly penetrates the boundaries of 'the circle', making it impossible to expel harm beyond its boundaries. Although this essay focuses on marine plastic, its core argument can also be fruitfully applied to other phenomena that share similar material, scalar, spatio-temporal and relational features (for instance, atmospheric particulate, nuclear waste and nitrate pollution). The essay concludes by exploring the alternative ethical possibilities that marine plastic and similar phenomena prompt: in particular, a responsive ethos based on a sense of shared vulnerability and exposure.","author":[{"dropping-particle":"","family":"Mitchell","given":"Audra","non-dropping-particle":"","parse-names":false,"suffix":""}],"container-title":"Political Geography","id":"ITEM-1","issued":{"date-parts":[["2015"]]},"page":"77-85","title":"Thinking without the 'circle': Marine plastic and global ethics","type":"article-journal","volume":"47"},"uris":["http://www.mendeley.com/documents/?uuid=ec53bfd7-c7b7-3fc4-b9a0-fe4b99b41124"]}],"mendeley":{"formattedCitation":"(Mitchell, 2015)","plainTextFormattedCitation":"(Mitchell, 2015)","previouslyFormattedCitation":"(Mitchell, 2015)"},"properties":{"noteIndex":0},"schema":"https://github.com/citation-style-language/schema/raw/master/csl-citation.json"}</w:instrText>
      </w:r>
      <w:r w:rsidR="001139CD">
        <w:rPr>
          <w:rFonts w:cs="Times New Roman"/>
          <w:noProof/>
          <w:sz w:val="22"/>
        </w:rPr>
        <w:fldChar w:fldCharType="separate"/>
      </w:r>
      <w:r w:rsidR="001139CD" w:rsidRPr="002477F6">
        <w:rPr>
          <w:rFonts w:cs="Times New Roman"/>
          <w:noProof/>
          <w:sz w:val="22"/>
        </w:rPr>
        <w:t>(Mitchell, 2015)</w:t>
      </w:r>
      <w:r w:rsidR="001139CD">
        <w:rPr>
          <w:rFonts w:cs="Times New Roman"/>
          <w:noProof/>
          <w:sz w:val="22"/>
        </w:rPr>
        <w:fldChar w:fldCharType="end"/>
      </w:r>
      <w:r w:rsidR="001139CD">
        <w:rPr>
          <w:rFonts w:cs="Times New Roman"/>
          <w:noProof/>
          <w:sz w:val="22"/>
        </w:rPr>
        <w:t xml:space="preserve">, desert ‘trash’ </w:t>
      </w:r>
      <w:r w:rsidR="001139CD">
        <w:rPr>
          <w:rFonts w:cs="Times New Roman"/>
          <w:noProof/>
          <w:sz w:val="22"/>
        </w:rPr>
        <w:fldChar w:fldCharType="begin" w:fldLock="1"/>
      </w:r>
      <w:r w:rsidR="001139CD">
        <w:rPr>
          <w:rFonts w:cs="Times New Roman"/>
          <w:noProof/>
          <w:sz w:val="22"/>
        </w:rPr>
        <w:instrText>ADDIN CSL_CITATION {"citationItems":[{"id":"ITEM-1","itemData":{"DOI":"10.1016/j.polgeo.2013.12.003","abstract":"What is the political significance of humanitarian activist engagements with the discarded belongings of migrants? This article explores how bordering practices between states resonate with bordering practices between the human and non-human. It argues that attempts to transform 'desert/ed trash' into objects of value are nothing less than struggles over the very category of 'the human' itself. Focussing on humanitarian engagements with the objects that migrants leave behind across the MexicoeUS Sonoran desert, it explores how the politics of human mobility involves the co-constitution of 'people', 'places' and 'things' in multiple ways. By contrast to a posthumanist analysis that emphasises the agency of material things based on a distinction between the human and the nonhuman, I draw on the work of Karen Barad in order to develop a 'more-than-human' account of the materialdiscursive un/becomings of subjectseobjectseenvironments as more or less 'human'. This allows for an analysis of 'the human' as a political stake that is produced through struggles to de/value people, places and things, and that is thus subject to contestation as well as to processes of de-and re-composition. The article assesses the various ways that humanitarian engagements contest processes of dehumanisation through the re-configuration of 'desert/ed trash'. Rather than emphasising re-humanisation, however, I highlight the importance of analysis and practice that rejects the lure of 'naïve humanism' and the problematic over-and under-investments of migrant and human agency that such an approach involves. This is important, the article concludes, in order that the multiplicity of ways by which 'the human' is made, unmade and remade is accounted for without assuming either the supremacy or the powerlessness of people.","author":[{"dropping-particle":"","family":"Squire","given":"Vicki","non-dropping-particle":"","parse-names":false,"suffix":""}],"container-title":"Political Geography","id":"ITEM-1","issued":{"date-parts":[["2014"]]},"page":"11-21","title":"Desert 'trash': Posthumanism, border struggles, and humanitarian politics","type":"article-journal","volume":"39"},"uris":["http://www.mendeley.com/documents/?uuid=c36b7450-f2e9-39be-9e28-b0cf49b87a60"]}],"mendeley":{"formattedCitation":"(Squire, 2014)","plainTextFormattedCitation":"(Squire, 2014)","previouslyFormattedCitation":"(Squire, 2014)"},"properties":{"noteIndex":0},"schema":"https://github.com/citation-style-language/schema/raw/master/csl-citation.json"}</w:instrText>
      </w:r>
      <w:r w:rsidR="001139CD">
        <w:rPr>
          <w:rFonts w:cs="Times New Roman"/>
          <w:noProof/>
          <w:sz w:val="22"/>
        </w:rPr>
        <w:fldChar w:fldCharType="separate"/>
      </w:r>
      <w:r w:rsidR="001139CD" w:rsidRPr="002477F6">
        <w:rPr>
          <w:rFonts w:cs="Times New Roman"/>
          <w:noProof/>
          <w:sz w:val="22"/>
        </w:rPr>
        <w:t>(Squire, 2014)</w:t>
      </w:r>
      <w:r w:rsidR="001139CD">
        <w:rPr>
          <w:rFonts w:cs="Times New Roman"/>
          <w:noProof/>
          <w:sz w:val="22"/>
        </w:rPr>
        <w:fldChar w:fldCharType="end"/>
      </w:r>
      <w:r w:rsidR="001139CD">
        <w:rPr>
          <w:rFonts w:cs="Times New Roman"/>
          <w:noProof/>
          <w:sz w:val="22"/>
        </w:rPr>
        <w:t xml:space="preserve">, and water infrastructure </w:t>
      </w:r>
      <w:r w:rsidR="001139CD">
        <w:rPr>
          <w:rFonts w:cs="Times New Roman"/>
          <w:noProof/>
          <w:sz w:val="22"/>
        </w:rPr>
        <w:fldChar w:fldCharType="begin" w:fldLock="1"/>
      </w:r>
      <w:r w:rsidR="001139CD">
        <w:rPr>
          <w:rFonts w:cs="Times New Roman"/>
          <w:noProof/>
          <w:sz w:val="22"/>
        </w:rPr>
        <w:instrText>ADDIN CSL_CITATION {"citationItems":[{"id":"ITEM-1","itemData":{"DOI":"10.1016/j.geoforum.2013.08.005","ISBN":"0016-7185","ISSN":"00167185","abstract":"This article examines the role of water infrastructure in the production of state power, and advances an understanding of nonhumans as power brokers. While state power is increasingly understood as the effect of material practices and processes, I draw on the idea that objects are 'force-full' to argue that infrastructure helped cement federal state power in Tijuana over the twentieth century, and simultaneously limited the spaces of stateness in surprising ways. To support my argument, I examine three sets of water infrastructure in Tijuana, Mexico. First, I examine the key constitutional edicts, laws, and treaties that enabled bureaucratic development and staked territorial claims on water during Mexico's liberal era (1876-1911) and post-revolutionary period. Second, I trace the development of Tijuana's flood control and potable water conveyance networks, designed and built between the 1960s and the 1980s, which enabled rapid urban growth but ultimately cultivated dependency on a distant, state engineered water source. Finally, I show how the ordinary infrastructures of water supply-such as barrels, cisterns, and buckets, common tools in Tijuana homes-both coexist with and limit state power, resulting in variegated geographies of institutional authority, punctuated by alternative spaces of rule. Together, these infrastructures form the 'hydrosocial cycle' of Tijuana, which I use to illustrate the uneven spatiality of state power. In conclusion, I draw on insights from object-oriented philosophy and science and technology studies to move past the anthropocentric notion of infrastructure as 'power tools'-handy implements used by humans to exercise dominion-toward tool-power: the idea that objects-in-themselves are wellsprings of power.","author":[{"dropping-particle":"","family":"Meehan","given":"Katie M.","non-dropping-particle":"","parse-names":false,"suffix":""}],"container-title":"Geoforum","id":"ITEM-1","issued":{"date-parts":[["2014"]]},"page":"215-224","title":"Tool-power: Water infrastructure as wellsprings of state power","type":"article-journal","volume":"57"},"uris":["http://www.mendeley.com/documents/?uuid=5a7965c7-38b7-306d-b904-08bfec239a17"]}],"mendeley":{"formattedCitation":"(Meehan, 2014)","plainTextFormattedCitation":"(Meehan, 2014)","previouslyFormattedCitation":"(Meehan, 2014)"},"properties":{"noteIndex":0},"schema":"https://github.com/citation-style-language/schema/raw/master/csl-citation.json"}</w:instrText>
      </w:r>
      <w:r w:rsidR="001139CD">
        <w:rPr>
          <w:rFonts w:cs="Times New Roman"/>
          <w:noProof/>
          <w:sz w:val="22"/>
        </w:rPr>
        <w:fldChar w:fldCharType="separate"/>
      </w:r>
      <w:r w:rsidR="001139CD" w:rsidRPr="002477F6">
        <w:rPr>
          <w:rFonts w:cs="Times New Roman"/>
          <w:noProof/>
          <w:sz w:val="22"/>
        </w:rPr>
        <w:t>(Meehan, 2014)</w:t>
      </w:r>
      <w:r w:rsidR="001139CD">
        <w:rPr>
          <w:rFonts w:cs="Times New Roman"/>
          <w:noProof/>
          <w:sz w:val="22"/>
        </w:rPr>
        <w:fldChar w:fldCharType="end"/>
      </w:r>
      <w:r w:rsidR="001139CD">
        <w:rPr>
          <w:rFonts w:cs="Times New Roman"/>
          <w:noProof/>
          <w:sz w:val="22"/>
        </w:rPr>
        <w:t xml:space="preserve">. That being said, there are studies which trouble the organic-inorganic divide between the sub-disciplines. For example Barua (2014) engages with the materiality of alcohol from a political ecology perspective; and Dodds (2019) with the material agency of Arctic ice from a critical geopolitics perspective. </w:t>
      </w:r>
    </w:p>
    <w:p w14:paraId="2E622A3E" w14:textId="177C4FFA" w:rsidR="001139CD" w:rsidRDefault="001139CD" w:rsidP="001139CD">
      <w:pPr>
        <w:widowControl w:val="0"/>
        <w:autoSpaceDE w:val="0"/>
        <w:autoSpaceDN w:val="0"/>
        <w:adjustRightInd w:val="0"/>
        <w:ind w:firstLine="720"/>
        <w:rPr>
          <w:rFonts w:cs="Times New Roman"/>
          <w:noProof/>
          <w:sz w:val="22"/>
        </w:rPr>
      </w:pPr>
      <w:r>
        <w:rPr>
          <w:rFonts w:cs="Times New Roman"/>
          <w:noProof/>
          <w:sz w:val="22"/>
        </w:rPr>
        <w:t xml:space="preserve">As such, the diverse approaches and empirical examples from across political ecology and critical geopolitics have a lot to offer accounts of the </w:t>
      </w:r>
      <w:r w:rsidR="00D25A7C">
        <w:rPr>
          <w:rFonts w:cs="Times New Roman"/>
          <w:noProof/>
          <w:sz w:val="22"/>
        </w:rPr>
        <w:t xml:space="preserve">more-than-human </w:t>
      </w:r>
      <w:r>
        <w:rPr>
          <w:rFonts w:cs="Times New Roman"/>
          <w:noProof/>
          <w:sz w:val="22"/>
        </w:rPr>
        <w:t xml:space="preserve">geopolitics of environmental change. This is because geopolitical-environmental issues typically involve unique assemblages of actors - possessing a combination of material, immaterial, organic and inorganic attributes – all which influence the geopolitical-ecological configurations that emerge. These studies are instrumental in shaping how I conceptualise both caviar and sturgeon as geopolitical actors throughout this thesis. </w:t>
      </w:r>
    </w:p>
    <w:p w14:paraId="06FB5462" w14:textId="77777777" w:rsidR="001139CD" w:rsidRPr="000D3FF5" w:rsidRDefault="001139CD" w:rsidP="001139CD">
      <w:pPr>
        <w:pStyle w:val="Heading3"/>
        <w:rPr>
          <w:noProof/>
        </w:rPr>
      </w:pPr>
      <w:bookmarkStart w:id="22" w:name="_Toc453224195"/>
      <w:r w:rsidRPr="000D3FF5">
        <w:rPr>
          <w:noProof/>
        </w:rPr>
        <w:t>2.2.1 (Geo)political animals</w:t>
      </w:r>
      <w:bookmarkEnd w:id="22"/>
    </w:p>
    <w:p w14:paraId="72E0EE7E" w14:textId="52FE1039" w:rsidR="001139CD" w:rsidRDefault="001139CD" w:rsidP="001139CD">
      <w:pPr>
        <w:widowControl w:val="0"/>
        <w:autoSpaceDE w:val="0"/>
        <w:autoSpaceDN w:val="0"/>
        <w:adjustRightInd w:val="0"/>
        <w:rPr>
          <w:rFonts w:cs="Times New Roman"/>
          <w:noProof/>
          <w:sz w:val="22"/>
        </w:rPr>
      </w:pPr>
      <w:r>
        <w:rPr>
          <w:rFonts w:cs="Times New Roman"/>
          <w:noProof/>
          <w:sz w:val="22"/>
        </w:rPr>
        <w:t>As long ago as 2003, Castree noted that geographers studying society-environme</w:t>
      </w:r>
      <w:r w:rsidR="000F2022">
        <w:rPr>
          <w:rFonts w:cs="Times New Roman"/>
          <w:noProof/>
          <w:sz w:val="22"/>
        </w:rPr>
        <w:t>nt relations had “</w:t>
      </w:r>
      <w:r>
        <w:rPr>
          <w:rFonts w:cs="Times New Roman"/>
          <w:noProof/>
          <w:sz w:val="22"/>
        </w:rPr>
        <w:t>conspicously failed to engage with questions of the p</w:t>
      </w:r>
      <w:r w:rsidR="000F2022">
        <w:rPr>
          <w:rFonts w:cs="Times New Roman"/>
          <w:noProof/>
          <w:sz w:val="22"/>
        </w:rPr>
        <w:t>olitical status of the nonhuman”</w:t>
      </w:r>
      <w:r>
        <w:rPr>
          <w:rFonts w:cs="Times New Roman"/>
          <w:noProof/>
          <w:sz w:val="22"/>
        </w:rPr>
        <w:t xml:space="preserve"> (2003: 207). This was followed</w:t>
      </w:r>
      <w:r w:rsidR="000F2022">
        <w:rPr>
          <w:rFonts w:cs="Times New Roman"/>
          <w:noProof/>
          <w:sz w:val="22"/>
        </w:rPr>
        <w:t xml:space="preserve"> in 2007, by Hobson’s call for “</w:t>
      </w:r>
      <w:r>
        <w:rPr>
          <w:rFonts w:cs="Times New Roman"/>
          <w:noProof/>
          <w:sz w:val="22"/>
        </w:rPr>
        <w:t>research which conceptualizes animals as part of, not incidental to, specific political co</w:t>
      </w:r>
      <w:r w:rsidR="000F2022">
        <w:rPr>
          <w:rFonts w:cs="Times New Roman"/>
          <w:noProof/>
          <w:sz w:val="22"/>
        </w:rPr>
        <w:t>nfigurations”, arguing that this “</w:t>
      </w:r>
      <w:r>
        <w:rPr>
          <w:rFonts w:cs="Times New Roman"/>
          <w:noProof/>
          <w:sz w:val="22"/>
        </w:rPr>
        <w:t>enables a broader conceptualization of how</w:t>
      </w:r>
      <w:r w:rsidR="000F2022">
        <w:rPr>
          <w:rFonts w:cs="Times New Roman"/>
          <w:noProof/>
          <w:sz w:val="22"/>
        </w:rPr>
        <w:t xml:space="preserve"> the ‘political’ is constituted”</w:t>
      </w:r>
      <w:r>
        <w:rPr>
          <w:rFonts w:cs="Times New Roman"/>
          <w:noProof/>
          <w:sz w:val="22"/>
        </w:rPr>
        <w:t xml:space="preserve"> </w:t>
      </w:r>
      <w:r>
        <w:rPr>
          <w:rFonts w:cs="Times New Roman"/>
          <w:noProof/>
          <w:sz w:val="22"/>
        </w:rPr>
        <w:fldChar w:fldCharType="begin" w:fldLock="1"/>
      </w:r>
      <w:r>
        <w:rPr>
          <w:rFonts w:cs="Times New Roman"/>
          <w:noProof/>
          <w:sz w:val="22"/>
        </w:rPr>
        <w:instrText>ADDIN CSL_CITATION {"citationItems":[{"id":"ITEM-1","itemData":{"DOI":"10.1016/J.POLGEO.2006.10.010","ISSN":"0962-6298","abstract":"This paper is positioned within on-going debates about the expansion and re-theorization of political geography's ambit. It argues that animals could and should be included as subjects within sub-disciplinary research. Whilst political ecologists regularly employ animal conservation case studies to detail the complexities of struggles over resource distributions, this work often frames animals as static components of a thoroughly human sociality. This paper draws on conceptual debates within cultural geography, in particular those pertaining to ‘animal’ and ‘hybrid’ geographies. It argues that animals be viewed as dynamic beings, inextricable to political processes, and integral to the formation and operation of the political networks that regulate, protect and exploit them. This assertion is elaborated here through discussions of recent campaigns to end bear bile farming in East Asia, in particular, the work of the Hong Kong-based charity Animals Asia Foundation. This example aims to illuminate the potential strengths and limitations of arguing through a ‘hybrid geography’ lens, and aims to stimulate further debate around the standing of animals within an enlarged and enlarging political geography.","author":[{"dropping-particle":"","family":"Hobson","given":"Kersty","non-dropping-particle":"","parse-names":false,"suffix":""}],"container-title":"Political Geography","id":"ITEM-1","issue":"3","issued":{"date-parts":[["2007","3","1"]]},"page":"250-267","publisher":"Pergamon","title":"Political animals? On animals as subjects in an enlarged political geography","type":"article-journal","volume":"26"},"uris":["http://www.mendeley.com/documents/?uuid=8b4ce68d-b357-3fb0-b9a8-3c45b435f214"]}],"mendeley":{"formattedCitation":"(Hobson, 2007)","manualFormatting":"(Hobson, 2007: 251)","plainTextFormattedCitation":"(Hobson, 2007)","previouslyFormattedCitation":"(Hobson, 2007)"},"properties":{"noteIndex":0},"schema":"https://github.com/citation-style-language/schema/raw/master/csl-citation.json"}</w:instrText>
      </w:r>
      <w:r>
        <w:rPr>
          <w:rFonts w:cs="Times New Roman"/>
          <w:noProof/>
          <w:sz w:val="22"/>
        </w:rPr>
        <w:fldChar w:fldCharType="separate"/>
      </w:r>
      <w:r w:rsidRPr="005C5048">
        <w:rPr>
          <w:rFonts w:cs="Times New Roman"/>
          <w:noProof/>
          <w:sz w:val="22"/>
        </w:rPr>
        <w:t>(Hobson, 2007</w:t>
      </w:r>
      <w:r>
        <w:rPr>
          <w:rFonts w:cs="Times New Roman"/>
          <w:noProof/>
          <w:sz w:val="22"/>
        </w:rPr>
        <w:t>: 251</w:t>
      </w:r>
      <w:r w:rsidRPr="005C5048">
        <w:rPr>
          <w:rFonts w:cs="Times New Roman"/>
          <w:noProof/>
          <w:sz w:val="22"/>
        </w:rPr>
        <w:t>)</w:t>
      </w:r>
      <w:r>
        <w:rPr>
          <w:rFonts w:cs="Times New Roman"/>
          <w:noProof/>
          <w:sz w:val="22"/>
        </w:rPr>
        <w:fldChar w:fldCharType="end"/>
      </w:r>
      <w:r>
        <w:rPr>
          <w:rFonts w:cs="Times New Roman"/>
          <w:noProof/>
          <w:sz w:val="22"/>
        </w:rPr>
        <w:t xml:space="preserve">. Hobson emphasises that animals are </w:t>
      </w:r>
      <w:r w:rsidR="000F2022">
        <w:rPr>
          <w:rFonts w:cs="Times New Roman"/>
          <w:noProof/>
          <w:sz w:val="22"/>
        </w:rPr>
        <w:t xml:space="preserve">always </w:t>
      </w:r>
      <w:r>
        <w:rPr>
          <w:rFonts w:cs="Times New Roman"/>
          <w:noProof/>
          <w:sz w:val="22"/>
        </w:rPr>
        <w:t>already p</w:t>
      </w:r>
      <w:r w:rsidR="000F2022">
        <w:rPr>
          <w:rFonts w:cs="Times New Roman"/>
          <w:noProof/>
          <w:sz w:val="22"/>
        </w:rPr>
        <w:t>olitical subjects, as they are “</w:t>
      </w:r>
      <w:r>
        <w:rPr>
          <w:rFonts w:cs="Times New Roman"/>
          <w:noProof/>
          <w:sz w:val="22"/>
        </w:rPr>
        <w:t>subjects of, and</w:t>
      </w:r>
      <w:r w:rsidR="000F2022">
        <w:rPr>
          <w:rFonts w:cs="Times New Roman"/>
          <w:noProof/>
          <w:sz w:val="22"/>
        </w:rPr>
        <w:t xml:space="preserve"> subject to political practices”</w:t>
      </w:r>
      <w:r>
        <w:rPr>
          <w:rFonts w:cs="Times New Roman"/>
          <w:noProof/>
          <w:sz w:val="22"/>
        </w:rPr>
        <w:t xml:space="preserve"> (ibid).  She explains this by describing how animals are subjects of ‘small p’ politics, through trade for experimentation, breeding and consumption; and subject to ‘big P’ politics via multi-level frameworks that seek to regulate the movement and conservation of nonhuman animals (ibid: 263). Hobson expands her discussion on the political subjectivities of non-human animals by examining practices of bear-bile farming and the rehabilitation of Moon Bears in East Asia. Through this empirical example, Hobson demonstrates the significance of paying attention to the affective political subjectivities of nonhuman animals. In examining t</w:t>
      </w:r>
      <w:r w:rsidR="000F2022">
        <w:rPr>
          <w:rFonts w:cs="Times New Roman"/>
          <w:noProof/>
          <w:sz w:val="22"/>
        </w:rPr>
        <w:t>he “</w:t>
      </w:r>
      <w:r>
        <w:rPr>
          <w:rFonts w:cs="Times New Roman"/>
          <w:noProof/>
          <w:sz w:val="22"/>
        </w:rPr>
        <w:t>ec</w:t>
      </w:r>
      <w:r w:rsidR="000F2022">
        <w:rPr>
          <w:rFonts w:cs="Times New Roman"/>
          <w:noProof/>
          <w:sz w:val="22"/>
        </w:rPr>
        <w:t>ology, behaviour and physiology”</w:t>
      </w:r>
      <w:r>
        <w:rPr>
          <w:rFonts w:cs="Times New Roman"/>
          <w:noProof/>
          <w:sz w:val="22"/>
        </w:rPr>
        <w:t xml:space="preserve"> (ibid: 261) of the bears, Hobson illustrates how the Moon Bears co-produce political configurations of farming and rehabilitation alongside the bear bile farmers and NGO activists; and ultimately shows that Moon Bears are political subjects and not apolitical objects that are merely subjected to political practices. </w:t>
      </w:r>
    </w:p>
    <w:p w14:paraId="3A2A4F23" w14:textId="793CF1B7" w:rsidR="001139CD" w:rsidRDefault="001139CD" w:rsidP="006E367A">
      <w:pPr>
        <w:widowControl w:val="0"/>
        <w:autoSpaceDE w:val="0"/>
        <w:autoSpaceDN w:val="0"/>
        <w:adjustRightInd w:val="0"/>
        <w:ind w:firstLine="720"/>
        <w:rPr>
          <w:rFonts w:cs="Times New Roman"/>
          <w:noProof/>
          <w:sz w:val="22"/>
        </w:rPr>
      </w:pPr>
      <w:r>
        <w:rPr>
          <w:rFonts w:cs="Times New Roman"/>
          <w:noProof/>
          <w:sz w:val="22"/>
        </w:rPr>
        <w:t xml:space="preserve">Hobson’s work has paved the way for the politicization of nonhuman animals in scholarship </w:t>
      </w:r>
      <w:r>
        <w:rPr>
          <w:rFonts w:cs="Times New Roman"/>
          <w:noProof/>
          <w:sz w:val="22"/>
        </w:rPr>
        <w:lastRenderedPageBreak/>
        <w:t>emerging from within political ecology and critical geopolitics. For example, Demp</w:t>
      </w:r>
      <w:r w:rsidR="00C04BCF">
        <w:rPr>
          <w:rFonts w:cs="Times New Roman"/>
          <w:noProof/>
          <w:sz w:val="22"/>
        </w:rPr>
        <w:t>sey</w:t>
      </w:r>
      <w:r>
        <w:rPr>
          <w:rFonts w:cs="Times New Roman"/>
          <w:noProof/>
          <w:sz w:val="22"/>
        </w:rPr>
        <w:t xml:space="preserve"> </w:t>
      </w:r>
      <w:r w:rsidR="00C04BCF">
        <w:rPr>
          <w:rFonts w:cs="Times New Roman"/>
          <w:noProof/>
          <w:sz w:val="22"/>
        </w:rPr>
        <w:t xml:space="preserve">positions the grizzly bear as an “often unrecognised actor” in the historical and ongoing “war in the woods” playing out in the ‘Great Bear Rainforest’ (GBR) of British Colombia, between environmentalists, First Nations, the government and the forestry sector (2010: 1138-1139). Dempsey argues that grizzly bears co-produce the spatial and political-economic geographies of the GBR through their “affective materiality”: their perceived charismatic properties, fear inducing associations, and their aesthetic and anatomical materialities (2010: 1142). </w:t>
      </w:r>
      <w:r w:rsidR="006E367A">
        <w:rPr>
          <w:rFonts w:cs="Times New Roman"/>
          <w:noProof/>
          <w:sz w:val="22"/>
        </w:rPr>
        <w:t xml:space="preserve">These factors influence the shifting use of physical space in British Columbia, as changing biodiversity conservation practices seek to accommodate grizzly bears. </w:t>
      </w:r>
      <w:r>
        <w:rPr>
          <w:rFonts w:cs="Times New Roman"/>
          <w:noProof/>
          <w:sz w:val="22"/>
        </w:rPr>
        <w:t>Dempsey’</w:t>
      </w:r>
      <w:r w:rsidR="006E367A">
        <w:rPr>
          <w:rFonts w:cs="Times New Roman"/>
          <w:noProof/>
          <w:sz w:val="22"/>
        </w:rPr>
        <w:t>s account emphasises that conservation and environmental politics are “</w:t>
      </w:r>
      <w:r>
        <w:rPr>
          <w:rFonts w:cs="Times New Roman"/>
          <w:noProof/>
          <w:sz w:val="22"/>
        </w:rPr>
        <w:t>not simply a clash of</w:t>
      </w:r>
      <w:r w:rsidR="006E367A">
        <w:rPr>
          <w:rFonts w:cs="Times New Roman"/>
          <w:noProof/>
          <w:sz w:val="22"/>
        </w:rPr>
        <w:t xml:space="preserve"> different interests and values”</w:t>
      </w:r>
      <w:r>
        <w:rPr>
          <w:rFonts w:cs="Times New Roman"/>
          <w:noProof/>
          <w:sz w:val="22"/>
        </w:rPr>
        <w:t xml:space="preserve"> (ibid) between humans, but are also shaped by more-than-human </w:t>
      </w:r>
      <w:r w:rsidR="006E367A">
        <w:rPr>
          <w:rFonts w:cs="Times New Roman"/>
          <w:noProof/>
          <w:sz w:val="22"/>
        </w:rPr>
        <w:t>actors</w:t>
      </w:r>
      <w:r>
        <w:rPr>
          <w:rFonts w:cs="Times New Roman"/>
          <w:noProof/>
          <w:sz w:val="22"/>
        </w:rPr>
        <w:t xml:space="preserve">. Moreover, Dempsey (2010) shows how the contemporary political influence of the grizzly bear is deeply entangled in socio-ecological histories in the region, which are rooted in colonialism. This points to the importance of situating accounts of more-than-human geopolitical ecologies in their historical context, and considering how historical legacies shape contemporary relations between humans and nonhumans, and the environment more broadly. </w:t>
      </w:r>
    </w:p>
    <w:p w14:paraId="2480382F" w14:textId="65F827EE" w:rsidR="009C104B" w:rsidRDefault="006E367A" w:rsidP="009C104B">
      <w:pPr>
        <w:widowControl w:val="0"/>
        <w:autoSpaceDE w:val="0"/>
        <w:autoSpaceDN w:val="0"/>
        <w:adjustRightInd w:val="0"/>
        <w:ind w:firstLine="720"/>
        <w:rPr>
          <w:rFonts w:cs="Times New Roman"/>
          <w:noProof/>
          <w:sz w:val="22"/>
        </w:rPr>
      </w:pPr>
      <w:r>
        <w:rPr>
          <w:rFonts w:cs="Times New Roman"/>
          <w:noProof/>
          <w:sz w:val="22"/>
        </w:rPr>
        <w:t>Furthermore, Sundberg’s (2011) “posthumanist political ecology”</w:t>
      </w:r>
      <w:r w:rsidR="001139CD">
        <w:rPr>
          <w:rFonts w:cs="Times New Roman"/>
          <w:noProof/>
          <w:sz w:val="22"/>
        </w:rPr>
        <w:t xml:space="preserve"> directly builds on Hobson’s </w:t>
      </w:r>
      <w:r>
        <w:rPr>
          <w:rFonts w:cs="Times New Roman"/>
          <w:noProof/>
          <w:sz w:val="22"/>
        </w:rPr>
        <w:t xml:space="preserve">(2007) </w:t>
      </w:r>
      <w:r w:rsidR="001139CD">
        <w:rPr>
          <w:rFonts w:cs="Times New Roman"/>
          <w:noProof/>
          <w:sz w:val="22"/>
        </w:rPr>
        <w:t>conceptualisation of nonhuman animals as political subjects</w:t>
      </w:r>
      <w:r>
        <w:rPr>
          <w:rFonts w:cs="Times New Roman"/>
          <w:noProof/>
          <w:sz w:val="22"/>
        </w:rPr>
        <w:t>, and</w:t>
      </w:r>
      <w:r w:rsidR="001139CD">
        <w:rPr>
          <w:rFonts w:cs="Times New Roman"/>
          <w:noProof/>
          <w:sz w:val="22"/>
        </w:rPr>
        <w:t xml:space="preserve"> stands as a </w:t>
      </w:r>
      <w:r>
        <w:rPr>
          <w:rFonts w:cs="Times New Roman"/>
          <w:noProof/>
          <w:sz w:val="22"/>
        </w:rPr>
        <w:t xml:space="preserve">key </w:t>
      </w:r>
      <w:r w:rsidR="001139CD">
        <w:rPr>
          <w:rFonts w:cs="Times New Roman"/>
          <w:noProof/>
          <w:sz w:val="22"/>
        </w:rPr>
        <w:t>foundation for ‘</w:t>
      </w:r>
      <w:r w:rsidR="001139CD" w:rsidRPr="00D25A7C">
        <w:rPr>
          <w:rFonts w:cs="Times New Roman"/>
          <w:i/>
          <w:noProof/>
          <w:sz w:val="22"/>
        </w:rPr>
        <w:t>more-than-human geopolitical ecology’</w:t>
      </w:r>
      <w:r w:rsidR="001139CD">
        <w:rPr>
          <w:rFonts w:cs="Times New Roman"/>
          <w:noProof/>
          <w:sz w:val="22"/>
        </w:rPr>
        <w:t>. Sundberg foregr</w:t>
      </w:r>
      <w:r w:rsidR="007402CA">
        <w:rPr>
          <w:rFonts w:cs="Times New Roman"/>
          <w:noProof/>
          <w:sz w:val="22"/>
        </w:rPr>
        <w:t xml:space="preserve">ounds the ecologies, behaviours, </w:t>
      </w:r>
      <w:r w:rsidR="001139CD">
        <w:rPr>
          <w:rFonts w:cs="Times New Roman"/>
          <w:noProof/>
          <w:sz w:val="22"/>
        </w:rPr>
        <w:t>and physiologies of two species of small endangered cat – the ocelot and jaguarandi – in co-producing the geopolitics of border security practices in US-Mexico borderlands, alongside other human</w:t>
      </w:r>
      <w:r w:rsidR="007D43CA">
        <w:rPr>
          <w:rFonts w:cs="Times New Roman"/>
          <w:noProof/>
          <w:sz w:val="22"/>
        </w:rPr>
        <w:t>,</w:t>
      </w:r>
      <w:r w:rsidR="001139CD">
        <w:rPr>
          <w:rFonts w:cs="Times New Roman"/>
          <w:noProof/>
          <w:sz w:val="22"/>
        </w:rPr>
        <w:t xml:space="preserve"> and nonhuman actors. </w:t>
      </w:r>
      <w:r w:rsidR="007402CA">
        <w:rPr>
          <w:rFonts w:cs="Times New Roman"/>
          <w:noProof/>
          <w:sz w:val="22"/>
        </w:rPr>
        <w:t>Sundberg describes the</w:t>
      </w:r>
      <w:r w:rsidR="007D43CA">
        <w:rPr>
          <w:rFonts w:cs="Times New Roman"/>
          <w:noProof/>
          <w:sz w:val="22"/>
        </w:rPr>
        <w:t xml:space="preserve"> ‘cat fight’ </w:t>
      </w:r>
      <w:r w:rsidR="007402CA">
        <w:rPr>
          <w:rFonts w:cs="Times New Roman"/>
          <w:noProof/>
          <w:sz w:val="22"/>
        </w:rPr>
        <w:t>that played out as a result of US Border Patrol’s desire to install 50 miles of floodlights into desert thornscrub vegetation corridors, in order to identify migrants attempting to enter the USA at night. This was challenged by USFWS, conservation NGOs, and civilian activists, over fears that the floodlights would disturb the nocturnal hunting behaviours of the endangered felines. Ultimatel</w:t>
      </w:r>
      <w:r w:rsidR="0014189F">
        <w:rPr>
          <w:rFonts w:cs="Times New Roman"/>
          <w:noProof/>
          <w:sz w:val="22"/>
        </w:rPr>
        <w:t>y</w:t>
      </w:r>
      <w:r w:rsidR="007402CA">
        <w:rPr>
          <w:rFonts w:cs="Times New Roman"/>
          <w:noProof/>
          <w:sz w:val="22"/>
        </w:rPr>
        <w:t xml:space="preserve"> the position of the lights was amended in accorance with the need to protect t</w:t>
      </w:r>
      <w:r w:rsidR="0014189F">
        <w:rPr>
          <w:rFonts w:cs="Times New Roman"/>
          <w:noProof/>
          <w:sz w:val="22"/>
        </w:rPr>
        <w:t xml:space="preserve">he endangered species. As such: </w:t>
      </w:r>
    </w:p>
    <w:p w14:paraId="1A2F5297" w14:textId="7C20D2E3" w:rsidR="009C104B" w:rsidRPr="009C104B" w:rsidRDefault="0014189F" w:rsidP="009C104B">
      <w:pPr>
        <w:pStyle w:val="Quote"/>
        <w:rPr>
          <w:noProof/>
        </w:rPr>
      </w:pPr>
      <w:r>
        <w:rPr>
          <w:noProof/>
        </w:rPr>
        <w:t>T</w:t>
      </w:r>
      <w:r w:rsidR="001139CD">
        <w:rPr>
          <w:noProof/>
        </w:rPr>
        <w:t>he cats and their existent and professed need for dense brush and the cover of darkness came to matter tremendously to the p</w:t>
      </w:r>
      <w:r>
        <w:rPr>
          <w:noProof/>
        </w:rPr>
        <w:t>olitics of boundary enforcement; i</w:t>
      </w:r>
      <w:r w:rsidR="001139CD">
        <w:rPr>
          <w:noProof/>
        </w:rPr>
        <w:t>ndeed, the furtive felines as presently configured are part of a collective that compelled the Border Patrol to change its opera</w:t>
      </w:r>
      <w:r>
        <w:rPr>
          <w:noProof/>
        </w:rPr>
        <w:t>tional plans</w:t>
      </w:r>
      <w:r w:rsidR="001139CD">
        <w:rPr>
          <w:noProof/>
        </w:rPr>
        <w:t xml:space="preserve"> (ibid: 331). </w:t>
      </w:r>
    </w:p>
    <w:p w14:paraId="042AB2D5" w14:textId="2EEF5714" w:rsidR="001139CD" w:rsidRDefault="001139CD" w:rsidP="0014189F">
      <w:pPr>
        <w:widowControl w:val="0"/>
        <w:autoSpaceDE w:val="0"/>
        <w:autoSpaceDN w:val="0"/>
        <w:adjustRightInd w:val="0"/>
        <w:ind w:firstLine="720"/>
        <w:rPr>
          <w:rFonts w:cs="Times New Roman"/>
          <w:noProof/>
          <w:sz w:val="22"/>
        </w:rPr>
      </w:pPr>
      <w:r>
        <w:rPr>
          <w:rFonts w:cs="Times New Roman"/>
          <w:noProof/>
          <w:sz w:val="22"/>
        </w:rPr>
        <w:t>As well as employing a posthuman lens, Sundberg also takes inspiration from feminist scholarship to shift the typical scales of geopolitical analysis and demonstrate how the global and local are intrinsically intertwi</w:t>
      </w:r>
      <w:r w:rsidR="004675D8">
        <w:rPr>
          <w:rFonts w:cs="Times New Roman"/>
          <w:noProof/>
          <w:sz w:val="22"/>
        </w:rPr>
        <w:t>ned. Feminist approaches weave “</w:t>
      </w:r>
      <w:r>
        <w:rPr>
          <w:rFonts w:cs="Times New Roman"/>
          <w:noProof/>
          <w:sz w:val="22"/>
        </w:rPr>
        <w:t>threads between sites and scales to produce nuanced understan</w:t>
      </w:r>
      <w:r w:rsidR="0014189F">
        <w:rPr>
          <w:rFonts w:cs="Times New Roman"/>
          <w:noProof/>
          <w:sz w:val="22"/>
        </w:rPr>
        <w:t>dings of the socio-ecological di</w:t>
      </w:r>
      <w:r>
        <w:rPr>
          <w:rFonts w:cs="Times New Roman"/>
          <w:noProof/>
          <w:sz w:val="22"/>
        </w:rPr>
        <w:t xml:space="preserve">mensions </w:t>
      </w:r>
      <w:r w:rsidR="004675D8">
        <w:rPr>
          <w:rFonts w:cs="Times New Roman"/>
          <w:noProof/>
          <w:sz w:val="22"/>
        </w:rPr>
        <w:t>of political economic processes”</w:t>
      </w:r>
      <w:r>
        <w:rPr>
          <w:rFonts w:cs="Times New Roman"/>
          <w:noProof/>
          <w:sz w:val="22"/>
        </w:rPr>
        <w:t xml:space="preserve"> </w:t>
      </w:r>
      <w:r>
        <w:rPr>
          <w:rFonts w:cs="Times New Roman"/>
          <w:noProof/>
          <w:sz w:val="22"/>
        </w:rPr>
        <w:fldChar w:fldCharType="begin" w:fldLock="1"/>
      </w:r>
      <w:r>
        <w:rPr>
          <w:rFonts w:cs="Times New Roman"/>
          <w:noProof/>
          <w:sz w:val="22"/>
        </w:rPr>
        <w:instrText>ADDIN CSL_CITATION {"citationItems":[{"id":"ITEM-1","itemData":{"author":[{"dropping-particle":"","family":"Sundberg","given":"Juanita","non-dropping-particle":"","parse-names":false,"suffix":""}],"id":"ITEM-1","issued":{"date-parts":[["2016"]]},"page":"5472-5475","title":"Feminist Political Ecology","type":"article-journal"},"uris":["http://www.mendeley.com/documents/?uuid=c5eedfbb-0a79-4113-a363-11a251aa6478"]}],"mendeley":{"formattedCitation":"(Sundberg, 2016)","plainTextFormattedCitation":"(Sundberg, 2016)","previouslyFormattedCitation":"(Sundberg, 2016)"},"properties":{"noteIndex":0},"schema":"https://github.com/citation-style-language/schema/raw/master/csl-citation.json"}</w:instrText>
      </w:r>
      <w:r>
        <w:rPr>
          <w:rFonts w:cs="Times New Roman"/>
          <w:noProof/>
          <w:sz w:val="22"/>
        </w:rPr>
        <w:fldChar w:fldCharType="separate"/>
      </w:r>
      <w:r w:rsidRPr="00CB68D1">
        <w:rPr>
          <w:rFonts w:cs="Times New Roman"/>
          <w:noProof/>
          <w:sz w:val="22"/>
        </w:rPr>
        <w:t>(Sundberg, 2016)</w:t>
      </w:r>
      <w:r>
        <w:rPr>
          <w:rFonts w:cs="Times New Roman"/>
          <w:noProof/>
          <w:sz w:val="22"/>
        </w:rPr>
        <w:fldChar w:fldCharType="end"/>
      </w:r>
      <w:r>
        <w:rPr>
          <w:rFonts w:cs="Times New Roman"/>
          <w:noProof/>
          <w:sz w:val="22"/>
        </w:rPr>
        <w:t xml:space="preserve">. Thus, Sundberg shows how the cats and other actors influence the everyday practices of border security, and thereby adds necessary nuance to </w:t>
      </w:r>
      <w:r w:rsidR="004675D8">
        <w:rPr>
          <w:rFonts w:cs="Times New Roman"/>
          <w:noProof/>
          <w:sz w:val="22"/>
        </w:rPr>
        <w:t xml:space="preserve">the </w:t>
      </w:r>
      <w:r>
        <w:rPr>
          <w:rFonts w:cs="Times New Roman"/>
          <w:noProof/>
          <w:sz w:val="22"/>
        </w:rPr>
        <w:t xml:space="preserve">dominant </w:t>
      </w:r>
      <w:r w:rsidR="004675D8">
        <w:rPr>
          <w:rFonts w:cs="Times New Roman"/>
          <w:noProof/>
          <w:sz w:val="22"/>
        </w:rPr>
        <w:t xml:space="preserve">macro-level </w:t>
      </w:r>
      <w:r>
        <w:rPr>
          <w:rFonts w:cs="Times New Roman"/>
          <w:noProof/>
          <w:sz w:val="22"/>
        </w:rPr>
        <w:t xml:space="preserve">geopolitical accounts of the forces driving the dynamics of securitization at the US-Mexico border. </w:t>
      </w:r>
      <w:r>
        <w:rPr>
          <w:rFonts w:cs="Times New Roman"/>
          <w:noProof/>
          <w:sz w:val="22"/>
        </w:rPr>
        <w:lastRenderedPageBreak/>
        <w:t xml:space="preserve">Decentred geopolitical analysis that is attuned to the inter-scalar connections between sites, </w:t>
      </w:r>
      <w:r w:rsidR="0014189F">
        <w:rPr>
          <w:rFonts w:cs="Times New Roman"/>
          <w:noProof/>
          <w:sz w:val="22"/>
        </w:rPr>
        <w:t>objects, and beings, is key to more-than-human</w:t>
      </w:r>
      <w:r>
        <w:rPr>
          <w:rFonts w:cs="Times New Roman"/>
          <w:noProof/>
          <w:sz w:val="22"/>
        </w:rPr>
        <w:t xml:space="preserve"> geopolitical ecology. </w:t>
      </w:r>
    </w:p>
    <w:p w14:paraId="751B42EF" w14:textId="0EA76F87" w:rsidR="001139CD" w:rsidRDefault="001139CD" w:rsidP="001139CD">
      <w:pPr>
        <w:widowControl w:val="0"/>
        <w:autoSpaceDE w:val="0"/>
        <w:autoSpaceDN w:val="0"/>
        <w:adjustRightInd w:val="0"/>
        <w:ind w:firstLine="720"/>
        <w:rPr>
          <w:rFonts w:cs="Times New Roman"/>
          <w:noProof/>
          <w:sz w:val="22"/>
        </w:rPr>
      </w:pPr>
      <w:r>
        <w:rPr>
          <w:rFonts w:cs="Times New Roman"/>
          <w:noProof/>
          <w:sz w:val="22"/>
        </w:rPr>
        <w:t>Despite the compelling work of Hobson (2007), Dempsey (2010) and Sundberg (2011), Srinivasan laments that more-than-human scholarship in geog</w:t>
      </w:r>
      <w:r w:rsidR="004675D8">
        <w:rPr>
          <w:rFonts w:cs="Times New Roman"/>
          <w:noProof/>
          <w:sz w:val="22"/>
        </w:rPr>
        <w:t>raphy has continued to exhibit “</w:t>
      </w:r>
      <w:r>
        <w:rPr>
          <w:rFonts w:cs="Times New Roman"/>
          <w:noProof/>
          <w:sz w:val="22"/>
        </w:rPr>
        <w:t>a curious la</w:t>
      </w:r>
      <w:r w:rsidR="004675D8">
        <w:rPr>
          <w:rFonts w:cs="Times New Roman"/>
          <w:noProof/>
          <w:sz w:val="22"/>
        </w:rPr>
        <w:t>ck of interest in the political”</w:t>
      </w:r>
      <w:r>
        <w:rPr>
          <w:rFonts w:cs="Times New Roman"/>
          <w:noProof/>
          <w:sz w:val="22"/>
        </w:rPr>
        <w:t xml:space="preserve">, with the </w:t>
      </w:r>
      <w:r w:rsidR="004675D8">
        <w:rPr>
          <w:rFonts w:cs="Times New Roman"/>
          <w:noProof/>
          <w:sz w:val="22"/>
        </w:rPr>
        <w:t xml:space="preserve">amorphous </w:t>
      </w:r>
      <w:r>
        <w:rPr>
          <w:rFonts w:cs="Times New Roman"/>
          <w:noProof/>
          <w:sz w:val="22"/>
        </w:rPr>
        <w:t>discipline largely failin</w:t>
      </w:r>
      <w:r w:rsidR="004675D8">
        <w:rPr>
          <w:rFonts w:cs="Times New Roman"/>
          <w:noProof/>
          <w:sz w:val="22"/>
        </w:rPr>
        <w:t>g to engage with the notion of “political animals”</w:t>
      </w:r>
      <w:r>
        <w:rPr>
          <w:rFonts w:cs="Times New Roman"/>
          <w:noProof/>
          <w:sz w:val="22"/>
        </w:rPr>
        <w:t xml:space="preserve"> </w:t>
      </w:r>
      <w:r>
        <w:rPr>
          <w:rFonts w:cs="Times New Roman"/>
          <w:noProof/>
          <w:sz w:val="22"/>
        </w:rPr>
        <w:fldChar w:fldCharType="begin" w:fldLock="1"/>
      </w:r>
      <w:r>
        <w:rPr>
          <w:rFonts w:cs="Times New Roman"/>
          <w:noProof/>
          <w:sz w:val="22"/>
        </w:rPr>
        <w:instrText>ADDIN CSL_CITATION {"citationItems":[{"id":"ITEM-1","itemData":{"DOI":"10.1016/J.POLGEO.2015.08.002","ISSN":"0962-6298","author":[{"dropping-particle":"","family":"Srinivasan","given":"Krithika","non-dropping-particle":"","parse-names":false,"suffix":""}],"container-title":"Political Geography","id":"ITEM-1","issued":{"date-parts":[["2016","1","1"]]},"page":"76-78","publisher":"Pergamon","title":"Towards a political animal geography?","type":"article-journal","volume":"50"},"uris":["http://www.mendeley.com/documents/?uuid=c87ef00d-e203-3222-a1d7-50891a9ad90e"]}],"mendeley":{"formattedCitation":"(Srinivasan, 2016)","manualFormatting":"(Srinivasan, 2016: 76)","plainTextFormattedCitation":"(Srinivasan, 2016)","previouslyFormattedCitation":"(Srinivasan, 2016)"},"properties":{"noteIndex":0},"schema":"https://github.com/citation-style-language/schema/raw/master/csl-citation.json"}</w:instrText>
      </w:r>
      <w:r>
        <w:rPr>
          <w:rFonts w:cs="Times New Roman"/>
          <w:noProof/>
          <w:sz w:val="22"/>
        </w:rPr>
        <w:fldChar w:fldCharType="separate"/>
      </w:r>
      <w:r w:rsidRPr="00B168F5">
        <w:rPr>
          <w:rFonts w:cs="Times New Roman"/>
          <w:noProof/>
          <w:sz w:val="22"/>
        </w:rPr>
        <w:t>(Srinivasan, 2016</w:t>
      </w:r>
      <w:r>
        <w:rPr>
          <w:rFonts w:cs="Times New Roman"/>
          <w:noProof/>
          <w:sz w:val="22"/>
        </w:rPr>
        <w:t>: 76</w:t>
      </w:r>
      <w:r w:rsidRPr="00B168F5">
        <w:rPr>
          <w:rFonts w:cs="Times New Roman"/>
          <w:noProof/>
          <w:sz w:val="22"/>
        </w:rPr>
        <w:t>)</w:t>
      </w:r>
      <w:r>
        <w:rPr>
          <w:rFonts w:cs="Times New Roman"/>
          <w:noProof/>
          <w:sz w:val="22"/>
        </w:rPr>
        <w:fldChar w:fldCharType="end"/>
      </w:r>
      <w:r>
        <w:rPr>
          <w:rFonts w:cs="Times New Roman"/>
          <w:noProof/>
          <w:sz w:val="22"/>
        </w:rPr>
        <w:t xml:space="preserve">. Perhaps spawned by Srinivasan’s critique and call to arms, it seems that the ‘question of the animal’ is increasingly becoming a ‘political’ one, particularly in political ecology. A number of recent interventions </w:t>
      </w:r>
      <w:r>
        <w:rPr>
          <w:rFonts w:cs="Times New Roman"/>
          <w:noProof/>
          <w:sz w:val="22"/>
        </w:rPr>
        <w:fldChar w:fldCharType="begin" w:fldLock="1"/>
      </w:r>
      <w:r w:rsidR="00EC7F7E">
        <w:rPr>
          <w:rFonts w:cs="Times New Roman"/>
          <w:noProof/>
          <w:sz w:val="22"/>
        </w:rPr>
        <w:instrText>ADDIN CSL_CITATION {"citationItems":[{"id":"ITEM-1","itemData":{"DOI":"10.1111/tran.12242","ISSN":"00202754","author":[{"dropping-particle":"","family":"Evans","given":"Lauren A.","non-dropping-particle":"","parse-names":false,"suffix":""},{"dropping-particle":"","family":"Adams","given":"William M.","non-dropping-particle":"","parse-names":false,"suffix":""}],"container-title":"Transactions of the Institute of British Geographers","id":"ITEM-1","issue":"4","issued":{"date-parts":[["2018","12"]]},"page":"630-645","title":"Elephants as actors in the political ecology of human-elephant conflict","type":"article-journal","volume":"43"},"uris":["http://www.mendeley.com/documents/?uuid=a2826fef-ab07-3e37-9980-115b32444cd7"]},{"id":"ITEM-2","itemData":{"DOI":"10.1016/j.geoforum.2018.03.017","ISSN":"00167185","abstract":"This critical review aims to facilitate explicit, ongoing consideration for how post-human geographies and political ecology stand to benefit one another empirically and theoretically. In it, we argue that post-human political ecologies are well-equipped to ensure that the broader post-human turn in geographical thought engages critically with the roles that humans and non-humans play in enactments of injustice – both as subjects of (in)justice and as beings whose actions have justice implications for myriad forms of life. By engaging with empirics drawn from research on tiger conservation in India, we deploy myth as a conceptual tool and as an heuristic device to illustrate how post-human political ecologies might further engage with the politics and power asymmetries embedded in conservation science and practice. To conclude, this critical review summarizes the merits of bringing the ‘cutting edge’ of post-human geographical literature into dialogue with the traditional concerns of political ecology and recaps the potential power that myth retains as an analytic in post-human political ecologies.","author":[{"dropping-particle":"","family":"Margulies","given":"Jared D.","non-dropping-particle":"","parse-names":false,"suffix":""},{"dropping-particle":"","family":"Bersaglio","given":"Brock","non-dropping-particle":"","parse-names":false,"suffix":""}],"container-title":"Geoforum","id":"ITEM-2","issue":"December 2017","issued":{"date-parts":[["2018"]]},"page":"103-106","publisher":"Elsevier","title":"Furthering post-human political ecologies","type":"article-journal","volume":"94"},"uris":["http://www.mendeley.com/documents/?uuid=3c9ea23f-d0b0-4634-bcfb-ec811fea3897"]},{"id":"ITEM-3","itemData":{"DOI":"10.1016/J.GEOFORUM.2018.06.011","ISSN":"0016-7185","abstract":"This study examines how transformations of a regional rural economy have produced new geographies of encounter between agricultural communities, their livestock, and carnivores surrounding Bandipur National Park in Karnataka, India. We analyze state discourses of human-wildlife conflict alongside the perspectives of rural agricultural communities about changes in human-wildlife interactions. Our study shows how state narratives about human-wildlife conflict mask more foundational changes in the livelihood strategies of agricultural villages in response both to park management and regional economic transformations, and how these changes are inherently woven into the production of new geographies of human-wildlife encounter. Our results suggest declining tolerance for injury and death of cattle by carnivores represents the cumulative impacts of a transformation of the livestock economy and more aggressive protected area management strategies. This research also suggests how political ecology can maintain its commitments to social justice while becoming more attuned to animals as political actors.","author":[{"dropping-particle":"","family":"Margulies","given":"Jared D.","non-dropping-particle":"","parse-names":false,"suffix":""},{"dropping-particle":"","family":"Karanth","given":"Krithi K.","non-dropping-particle":"","parse-names":false,"suffix":""}],"container-title":"Geoforum","id":"ITEM-3","issued":{"date-parts":[["2018","10","1"]]},"page":"153-164","publisher":"Pergamon","title":"The production of human-wildlife conflict: A political animal geography of encounter","type":"article-journal","volume":"95"},"uris":["http://www.mendeley.com/documents/?uuid=6b6dd791-bf47-3708-b994-972a911ac9f1"]},{"id":"ITEM-4","itemData":{"DOI":"10.1080/14788810.2019.1666646","ISSN":"1478-8810","author":[{"dropping-particle":"","family":"Banoub","given":"Daniel","non-dropping-particle":"","parse-names":false,"suffix":""}],"container-title":"Atlantic Studies","id":"ITEM-4","issued":{"date-parts":[["2019"]]},"page":"1-17","title":"Black Monday, 1894: Saltfish, credit, and the ecology of politics in Newfoundland","type":"article-journal"},"uris":["http://www.mendeley.com/documents/?uuid=50e3ac86-1506-3352-8641-1ee4668ef9ad"]}],"mendeley":{"formattedCitation":"(Evans and Adams, 2018; Margulies and Bersaglio, 2018; Margulies and Karanth, 2018; Banoub, 2019)","manualFormatting":"(Evans and Adams, 2018; Margulies and Bersaglio, 2018; Margulies and Karanth, 2018; Banoub, 2019)","plainTextFormattedCitation":"(Evans and Adams, 2018; Margulies and Bersaglio, 2018; Margulies and Karanth, 2018; Banoub, 2019)","previouslyFormattedCitation":"(Evans and Adams, 2018; Margulies and Bersaglio, 2018; Margulies and Karanth, 2018; Banoub, 2019)"},"properties":{"noteIndex":0},"schema":"https://github.com/citation-style-language/schema/raw/master/csl-citation.json"}</w:instrText>
      </w:r>
      <w:r>
        <w:rPr>
          <w:rFonts w:cs="Times New Roman"/>
          <w:noProof/>
          <w:sz w:val="22"/>
        </w:rPr>
        <w:fldChar w:fldCharType="separate"/>
      </w:r>
      <w:r w:rsidRPr="00FB447C">
        <w:rPr>
          <w:rFonts w:cs="Times New Roman"/>
          <w:noProof/>
          <w:sz w:val="22"/>
        </w:rPr>
        <w:t>(Evans and Adams, 2018; Margulies and Bersaglio, 20</w:t>
      </w:r>
      <w:r>
        <w:rPr>
          <w:rFonts w:cs="Times New Roman"/>
          <w:noProof/>
          <w:sz w:val="22"/>
        </w:rPr>
        <w:t>18; Margulies and Karanth, 2018; Banoub, 2019</w:t>
      </w:r>
      <w:r w:rsidRPr="00FB447C">
        <w:rPr>
          <w:rFonts w:cs="Times New Roman"/>
          <w:noProof/>
          <w:sz w:val="22"/>
        </w:rPr>
        <w:t>)</w:t>
      </w:r>
      <w:r>
        <w:rPr>
          <w:rFonts w:cs="Times New Roman"/>
          <w:noProof/>
          <w:sz w:val="22"/>
        </w:rPr>
        <w:fldChar w:fldCharType="end"/>
      </w:r>
      <w:r>
        <w:rPr>
          <w:rFonts w:cs="Times New Roman"/>
          <w:noProof/>
          <w:sz w:val="22"/>
        </w:rPr>
        <w:t xml:space="preserve"> have explicitly positioned nonhuman animals as political actors, in their considerations of the political ecologies of human-animal interactions. </w:t>
      </w:r>
    </w:p>
    <w:p w14:paraId="31E3B573" w14:textId="2EEC5BE8" w:rsidR="001139CD" w:rsidRDefault="001139CD" w:rsidP="001139CD">
      <w:pPr>
        <w:widowControl w:val="0"/>
        <w:autoSpaceDE w:val="0"/>
        <w:autoSpaceDN w:val="0"/>
        <w:adjustRightInd w:val="0"/>
        <w:ind w:firstLine="720"/>
        <w:rPr>
          <w:rFonts w:cs="Times New Roman"/>
          <w:noProof/>
          <w:sz w:val="22"/>
        </w:rPr>
      </w:pPr>
      <w:r>
        <w:rPr>
          <w:rFonts w:cs="Times New Roman"/>
          <w:noProof/>
          <w:sz w:val="22"/>
        </w:rPr>
        <w:t xml:space="preserve">A key contribution of the recent political ecology </w:t>
      </w:r>
      <w:r w:rsidR="004675D8">
        <w:rPr>
          <w:rFonts w:cs="Times New Roman"/>
          <w:noProof/>
          <w:sz w:val="22"/>
        </w:rPr>
        <w:t>interventions, is a focus upon “</w:t>
      </w:r>
      <w:r>
        <w:rPr>
          <w:rFonts w:cs="Times New Roman"/>
          <w:noProof/>
          <w:sz w:val="22"/>
        </w:rPr>
        <w:t>the broader economic and regional forces underpinning the pol</w:t>
      </w:r>
      <w:r w:rsidR="004675D8">
        <w:rPr>
          <w:rFonts w:cs="Times New Roman"/>
          <w:noProof/>
          <w:sz w:val="22"/>
        </w:rPr>
        <w:t>itics of human-animal encounter”, which are “</w:t>
      </w:r>
      <w:r>
        <w:rPr>
          <w:rFonts w:cs="Times New Roman"/>
          <w:noProof/>
          <w:sz w:val="22"/>
        </w:rPr>
        <w:t>often missing in var</w:t>
      </w:r>
      <w:r w:rsidR="004675D8">
        <w:rPr>
          <w:rFonts w:cs="Times New Roman"/>
          <w:noProof/>
          <w:sz w:val="22"/>
        </w:rPr>
        <w:t>ious threads of human geography”</w:t>
      </w:r>
      <w:r>
        <w:rPr>
          <w:rFonts w:cs="Times New Roman"/>
          <w:noProof/>
          <w:sz w:val="22"/>
        </w:rPr>
        <w:t xml:space="preserve"> (Margulies and Karanth, 2018: 153). In other words, these approaches situate</w:t>
      </w:r>
      <w:r w:rsidR="004675D8">
        <w:rPr>
          <w:rFonts w:cs="Times New Roman"/>
          <w:noProof/>
          <w:sz w:val="22"/>
        </w:rPr>
        <w:t xml:space="preserve"> nonhuman animals as political actor</w:t>
      </w:r>
      <w:r>
        <w:rPr>
          <w:rFonts w:cs="Times New Roman"/>
          <w:noProof/>
          <w:sz w:val="22"/>
        </w:rPr>
        <w:t xml:space="preserve">s enmeshed in </w:t>
      </w:r>
      <w:r w:rsidR="004675D8">
        <w:rPr>
          <w:rFonts w:cs="Times New Roman"/>
          <w:noProof/>
          <w:sz w:val="22"/>
        </w:rPr>
        <w:t xml:space="preserve">the </w:t>
      </w:r>
      <w:r>
        <w:rPr>
          <w:rFonts w:cs="Times New Roman"/>
          <w:noProof/>
          <w:sz w:val="22"/>
        </w:rPr>
        <w:t>wider economic, political</w:t>
      </w:r>
      <w:r w:rsidR="0014189F">
        <w:rPr>
          <w:rFonts w:cs="Times New Roman"/>
          <w:noProof/>
          <w:sz w:val="22"/>
        </w:rPr>
        <w:t>,</w:t>
      </w:r>
      <w:r>
        <w:rPr>
          <w:rFonts w:cs="Times New Roman"/>
          <w:noProof/>
          <w:sz w:val="22"/>
        </w:rPr>
        <w:t xml:space="preserve"> and historical conditions, that extend beyond the immediate geographies of the animals. For example, Banoub’s historical examination of the 1894 economic collapse in Newfoundland</w:t>
      </w:r>
      <w:r w:rsidR="004675D8">
        <w:rPr>
          <w:rFonts w:cs="Times New Roman"/>
          <w:noProof/>
          <w:sz w:val="22"/>
        </w:rPr>
        <w:t xml:space="preserve"> shows that the bank crash was “</w:t>
      </w:r>
      <w:r>
        <w:rPr>
          <w:rFonts w:cs="Times New Roman"/>
          <w:noProof/>
          <w:sz w:val="22"/>
        </w:rPr>
        <w:t>fundamentally ecolog</w:t>
      </w:r>
      <w:r w:rsidR="004675D8">
        <w:rPr>
          <w:rFonts w:cs="Times New Roman"/>
          <w:noProof/>
          <w:sz w:val="22"/>
        </w:rPr>
        <w:t>ical”</w:t>
      </w:r>
      <w:r>
        <w:rPr>
          <w:rFonts w:cs="Times New Roman"/>
          <w:noProof/>
          <w:sz w:val="22"/>
        </w:rPr>
        <w:t xml:space="preserve"> (2019:2). Banoub outlines how the seasonal reproductive dynamics and the material properties of codfish were a determining ecological factor - alongside other human socio-economic factors related to the saltfish trade – which contributed to the economic crash. This empirical case highlights the multi-scalar political and economic forces that make codfish</w:t>
      </w:r>
      <w:r w:rsidR="004675D8">
        <w:rPr>
          <w:rFonts w:cs="Times New Roman"/>
          <w:noProof/>
          <w:sz w:val="22"/>
        </w:rPr>
        <w:t xml:space="preserve"> political, as well as showing “</w:t>
      </w:r>
      <w:r>
        <w:rPr>
          <w:rFonts w:cs="Times New Roman"/>
          <w:noProof/>
          <w:sz w:val="22"/>
        </w:rPr>
        <w:t>how the seemingly human world of finance and political economy was critically shaped by the materiality of cod as living beings and sa</w:t>
      </w:r>
      <w:r w:rsidR="004675D8">
        <w:rPr>
          <w:rFonts w:cs="Times New Roman"/>
          <w:noProof/>
          <w:sz w:val="22"/>
        </w:rPr>
        <w:t>ltfish as microbial communities”</w:t>
      </w:r>
      <w:r>
        <w:rPr>
          <w:rFonts w:cs="Times New Roman"/>
          <w:noProof/>
          <w:sz w:val="22"/>
        </w:rPr>
        <w:t xml:space="preserve"> (2019: 11). </w:t>
      </w:r>
    </w:p>
    <w:p w14:paraId="07B4C28A" w14:textId="2B57FB75" w:rsidR="001139CD" w:rsidRDefault="0014189F" w:rsidP="001139CD">
      <w:pPr>
        <w:widowControl w:val="0"/>
        <w:autoSpaceDE w:val="0"/>
        <w:autoSpaceDN w:val="0"/>
        <w:adjustRightInd w:val="0"/>
        <w:ind w:firstLine="720"/>
        <w:rPr>
          <w:rFonts w:cs="Times New Roman"/>
          <w:noProof/>
          <w:sz w:val="22"/>
        </w:rPr>
      </w:pPr>
      <w:r>
        <w:rPr>
          <w:rFonts w:cs="Times New Roman"/>
          <w:noProof/>
          <w:sz w:val="22"/>
        </w:rPr>
        <w:t xml:space="preserve">Recent important contributions in </w:t>
      </w:r>
      <w:r w:rsidR="001139CD">
        <w:rPr>
          <w:rFonts w:cs="Times New Roman"/>
          <w:noProof/>
          <w:sz w:val="22"/>
        </w:rPr>
        <w:t xml:space="preserve">more-than-human </w:t>
      </w:r>
      <w:r>
        <w:rPr>
          <w:rFonts w:cs="Times New Roman"/>
          <w:noProof/>
          <w:sz w:val="22"/>
        </w:rPr>
        <w:t>political ecology, have focused on</w:t>
      </w:r>
      <w:r w:rsidR="001139CD">
        <w:rPr>
          <w:rFonts w:cs="Times New Roman"/>
          <w:noProof/>
          <w:sz w:val="22"/>
        </w:rPr>
        <w:t xml:space="preserve"> </w:t>
      </w:r>
      <w:r>
        <w:rPr>
          <w:rFonts w:cs="Times New Roman"/>
          <w:noProof/>
          <w:sz w:val="22"/>
        </w:rPr>
        <w:t>exploring the</w:t>
      </w:r>
      <w:r w:rsidR="006F5F6E">
        <w:rPr>
          <w:rFonts w:cs="Times New Roman"/>
          <w:noProof/>
          <w:sz w:val="22"/>
        </w:rPr>
        <w:t xml:space="preserve"> various “</w:t>
      </w:r>
      <w:r w:rsidR="001139CD">
        <w:rPr>
          <w:rFonts w:cs="Times New Roman"/>
          <w:noProof/>
          <w:sz w:val="22"/>
        </w:rPr>
        <w:t>multispecies forms of injustice</w:t>
      </w:r>
      <w:r w:rsidR="006F5F6E">
        <w:rPr>
          <w:rFonts w:cs="Times New Roman"/>
          <w:noProof/>
          <w:sz w:val="22"/>
        </w:rPr>
        <w:t xml:space="preserve">” </w:t>
      </w:r>
      <w:r w:rsidR="001139CD">
        <w:rPr>
          <w:rFonts w:cs="Times New Roman"/>
          <w:noProof/>
          <w:sz w:val="22"/>
        </w:rPr>
        <w:fldChar w:fldCharType="begin" w:fldLock="1"/>
      </w:r>
      <w:r w:rsidR="00EC7F7E">
        <w:rPr>
          <w:rFonts w:cs="Times New Roman"/>
          <w:noProof/>
          <w:sz w:val="22"/>
        </w:rPr>
        <w:instrText>ADDIN CSL_CITATION {"citationItems":[{"id":"ITEM-1","itemData":{"DOI":"10.1016/J.GEOFORUM.2018.06.011","ISSN":"0016-7185","abstract":"This study examines how transformations of a regional rural economy have produced new geographies of encounter between agricultural communities, their livestock, and carnivores surrounding Bandipur National Park in Karnataka, India. We analyze state discourses of human-wildlife conflict alongside the perspectives of rural agricultural communities about changes in human-wildlife interactions. Our study shows how state narratives about human-wildlife conflict mask more foundational changes in the livelihood strategies of agricultural villages in response both to park management and regional economic transformations, and how these changes are inherently woven into the production of new geographies of human-wildlife encounter. Our results suggest declining tolerance for injury and death of cattle by carnivores represents the cumulative impacts of a transformation of the livestock economy and more aggressive protected area management strategies. This research also suggests how political ecology can maintain its commitments to social justice while becoming more attuned to animals as political actors.","author":[{"dropping-particle":"","family":"Margulies","given":"Jared D.","non-dropping-particle":"","parse-names":false,"suffix":""},{"dropping-particle":"","family":"Karanth","given":"Krithi K.","non-dropping-particle":"","parse-names":false,"suffix":""}],"container-title":"Geoforum","id":"ITEM-1","issued":{"date-parts":[["2018","10","1"]]},"page":"153-164","publisher":"Pergamon","title":"The production of human-wildlife conflict: A political animal geography of encounter","type":"article-journal","volume":"95"},"uris":["http://www.mendeley.com/documents/?uuid=6b6dd791-bf47-3708-b994-972a911ac9f1"]}],"mendeley":{"formattedCitation":"(Margulies and Karanth, 2018)","manualFormatting":"(Margulies and Karanth, 2018: 162)","plainTextFormattedCitation":"(Margulies and Karanth, 2018)","previouslyFormattedCitation":"(Margulies and Karanth, 2018)"},"properties":{"noteIndex":0},"schema":"https://github.com/citation-style-language/schema/raw/master/csl-citation.json"}</w:instrText>
      </w:r>
      <w:r w:rsidR="001139CD">
        <w:rPr>
          <w:rFonts w:cs="Times New Roman"/>
          <w:noProof/>
          <w:sz w:val="22"/>
        </w:rPr>
        <w:fldChar w:fldCharType="separate"/>
      </w:r>
      <w:r w:rsidR="001139CD" w:rsidRPr="00DC2995">
        <w:rPr>
          <w:rFonts w:cs="Times New Roman"/>
          <w:noProof/>
          <w:sz w:val="22"/>
        </w:rPr>
        <w:t>(Margulies and Karanth, 2018</w:t>
      </w:r>
      <w:r w:rsidR="001139CD">
        <w:rPr>
          <w:rFonts w:cs="Times New Roman"/>
          <w:noProof/>
          <w:sz w:val="22"/>
        </w:rPr>
        <w:t>: 162</w:t>
      </w:r>
      <w:r w:rsidR="001139CD" w:rsidRPr="00DC2995">
        <w:rPr>
          <w:rFonts w:cs="Times New Roman"/>
          <w:noProof/>
          <w:sz w:val="22"/>
        </w:rPr>
        <w:t>)</w:t>
      </w:r>
      <w:r w:rsidR="001139CD">
        <w:rPr>
          <w:rFonts w:cs="Times New Roman"/>
          <w:noProof/>
          <w:sz w:val="22"/>
        </w:rPr>
        <w:fldChar w:fldCharType="end"/>
      </w:r>
      <w:r w:rsidR="001139CD">
        <w:rPr>
          <w:rFonts w:cs="Times New Roman"/>
          <w:noProof/>
          <w:sz w:val="22"/>
        </w:rPr>
        <w:t xml:space="preserve"> that are produced by environmental contestations. This requires engag</w:t>
      </w:r>
      <w:r w:rsidR="006F5F6E">
        <w:rPr>
          <w:rFonts w:cs="Times New Roman"/>
          <w:noProof/>
          <w:sz w:val="22"/>
        </w:rPr>
        <w:t>ing with “</w:t>
      </w:r>
      <w:r w:rsidR="001139CD">
        <w:rPr>
          <w:rFonts w:cs="Times New Roman"/>
          <w:noProof/>
          <w:sz w:val="22"/>
        </w:rPr>
        <w:t>the roles that humans and non-humans play in enactments of injustice – both as subjects of (in)justice and as beings whose actions have justice implic</w:t>
      </w:r>
      <w:r w:rsidR="006F5F6E">
        <w:rPr>
          <w:rFonts w:cs="Times New Roman"/>
          <w:noProof/>
          <w:sz w:val="22"/>
        </w:rPr>
        <w:t>ations for myriad forms of life”</w:t>
      </w:r>
      <w:r w:rsidR="001139CD">
        <w:rPr>
          <w:rFonts w:cs="Times New Roman"/>
          <w:noProof/>
          <w:sz w:val="22"/>
        </w:rPr>
        <w:t xml:space="preserve"> </w:t>
      </w:r>
      <w:r w:rsidR="001139CD">
        <w:rPr>
          <w:rFonts w:cs="Times New Roman"/>
          <w:noProof/>
          <w:sz w:val="22"/>
        </w:rPr>
        <w:fldChar w:fldCharType="begin" w:fldLock="1"/>
      </w:r>
      <w:r w:rsidR="00EC7F7E">
        <w:rPr>
          <w:rFonts w:cs="Times New Roman"/>
          <w:noProof/>
          <w:sz w:val="22"/>
        </w:rPr>
        <w:instrText>ADDIN CSL_CITATION {"citationItems":[{"id":"ITEM-1","itemData":{"DOI":"10.1016/j.geoforum.2018.03.017","ISSN":"00167185","abstract":"This critical review aims to facilitate explicit, ongoing consideration for how post-human geographies and political ecology stand to benefit one another empirically and theoretically. In it, we argue that post-human political ecologies are well-equipped to ensure that the broader post-human turn in geographical thought engages critically with the roles that humans and non-humans play in enactments of injustice – both as subjects of (in)justice and as beings whose actions have justice implications for myriad forms of life. By engaging with empirics drawn from research on tiger conservation in India, we deploy myth as a conceptual tool and as an heuristic device to illustrate how post-human political ecologies might further engage with the politics and power asymmetries embedded in conservation science and practice. To conclude, this critical review summarizes the merits of bringing the ‘cutting edge’ of post-human geographical literature into dialogue with the traditional concerns of political ecology and recaps the potential power that myth retains as an analytic in post-human political ecologies.","author":[{"dropping-particle":"","family":"Margulies","given":"Jared D.","non-dropping-particle":"","parse-names":false,"suffix":""},{"dropping-particle":"","family":"Bersaglio","given":"Brock","non-dropping-particle":"","parse-names":false,"suffix":""}],"container-title":"Geoforum","id":"ITEM-1","issue":"December 2017","issued":{"date-parts":[["2018"]]},"page":"103-106","publisher":"Elsevier","title":"Furthering post-human political ecologies","type":"article-journal","volume":"94"},"uris":["http://www.mendeley.com/documents/?uuid=3c9ea23f-d0b0-4634-bcfb-ec811fea3897"]}],"mendeley":{"formattedCitation":"(Margulies and Bersaglio, 2018)","manualFormatting":"(Margulies and Bersaglio, 2018: 106)","plainTextFormattedCitation":"(Margulies and Bersaglio, 2018)","previouslyFormattedCitation":"(Margulies and Bersaglio, 2018)"},"properties":{"noteIndex":0},"schema":"https://github.com/citation-style-language/schema/raw/master/csl-citation.json"}</w:instrText>
      </w:r>
      <w:r w:rsidR="001139CD">
        <w:rPr>
          <w:rFonts w:cs="Times New Roman"/>
          <w:noProof/>
          <w:sz w:val="22"/>
        </w:rPr>
        <w:fldChar w:fldCharType="separate"/>
      </w:r>
      <w:r w:rsidR="001139CD" w:rsidRPr="00DC2995">
        <w:rPr>
          <w:rFonts w:cs="Times New Roman"/>
          <w:noProof/>
          <w:sz w:val="22"/>
        </w:rPr>
        <w:t>(Margulies and Bersaglio, 2018</w:t>
      </w:r>
      <w:r w:rsidR="001139CD">
        <w:rPr>
          <w:rFonts w:cs="Times New Roman"/>
          <w:noProof/>
          <w:sz w:val="22"/>
        </w:rPr>
        <w:t>: 106</w:t>
      </w:r>
      <w:r w:rsidR="001139CD" w:rsidRPr="00DC2995">
        <w:rPr>
          <w:rFonts w:cs="Times New Roman"/>
          <w:noProof/>
          <w:sz w:val="22"/>
        </w:rPr>
        <w:t>)</w:t>
      </w:r>
      <w:r w:rsidR="001139CD">
        <w:rPr>
          <w:rFonts w:cs="Times New Roman"/>
          <w:noProof/>
          <w:sz w:val="22"/>
        </w:rPr>
        <w:fldChar w:fldCharType="end"/>
      </w:r>
      <w:r w:rsidR="001139CD">
        <w:rPr>
          <w:rFonts w:cs="Times New Roman"/>
          <w:noProof/>
          <w:sz w:val="22"/>
        </w:rPr>
        <w:t xml:space="preserve">. Margulies and Karanth (2018) explore the potentials for a more expansive – more-than-human - vision of justice in political ecology, through their efforts to disentangle the broader political economic forces shaping human-wildlife conflict in Bandipur, India. Attending to the complex and competing entanglements of biodiversity conservation, economic development, and commodity geographies, Margulies &amp; Karanth (2018) show how these forces shape the politics and spaces of human-wildlife encounters. In particular, they describe how the broader forces have created a shift in </w:t>
      </w:r>
      <w:r w:rsidR="001139CD">
        <w:rPr>
          <w:rFonts w:cs="Times New Roman"/>
          <w:noProof/>
          <w:sz w:val="22"/>
        </w:rPr>
        <w:lastRenderedPageBreak/>
        <w:t>cattle farming practices, moving from extensive cattle rearing to small-scale dairy production. This has resulted in increased tensions between human communities and large carnivores that target cattle. Margulies &amp; Kara</w:t>
      </w:r>
      <w:r w:rsidR="006F5F6E">
        <w:rPr>
          <w:rFonts w:cs="Times New Roman"/>
          <w:noProof/>
          <w:sz w:val="22"/>
        </w:rPr>
        <w:t>nth subsequently conclude that “</w:t>
      </w:r>
      <w:r w:rsidR="001139CD">
        <w:rPr>
          <w:rFonts w:cs="Times New Roman"/>
          <w:noProof/>
          <w:sz w:val="22"/>
        </w:rPr>
        <w:t xml:space="preserve">conservation </w:t>
      </w:r>
      <w:r w:rsidR="001139CD" w:rsidRPr="004D5440">
        <w:rPr>
          <w:rFonts w:cs="Times New Roman"/>
          <w:i/>
          <w:noProof/>
          <w:sz w:val="22"/>
        </w:rPr>
        <w:t xml:space="preserve">qua </w:t>
      </w:r>
      <w:r w:rsidR="001139CD">
        <w:rPr>
          <w:rFonts w:cs="Times New Roman"/>
          <w:noProof/>
          <w:sz w:val="22"/>
        </w:rPr>
        <w:t xml:space="preserve">development may have… detrimental impacts not just on human communities (and their domestic animals) but the wild animals that those acting in the name </w:t>
      </w:r>
      <w:r w:rsidR="006F5F6E">
        <w:rPr>
          <w:rFonts w:cs="Times New Roman"/>
          <w:noProof/>
          <w:sz w:val="22"/>
        </w:rPr>
        <w:t xml:space="preserve">of conservation seek to protect” (2018: 162). As such, </w:t>
      </w:r>
      <w:r w:rsidR="001139CD">
        <w:rPr>
          <w:rFonts w:cs="Times New Roman"/>
          <w:noProof/>
          <w:sz w:val="22"/>
        </w:rPr>
        <w:t>political ecology accounts that engage with nonhuman animals as political subjects, are increasingly illuminating the nuanced geographies of (in)justice; showing that the impacts of environmental contestation are unequally distributed between humans, but also between humans and other nonhuman animals. This line of enquiry espouses a normative commitment to multispecies justice, which I seek to include in my framework for more-than-human geopolitical ecology.</w:t>
      </w:r>
    </w:p>
    <w:p w14:paraId="3C97DFBB" w14:textId="3C298943" w:rsidR="001139CD" w:rsidRDefault="001139CD" w:rsidP="001139CD">
      <w:pPr>
        <w:widowControl w:val="0"/>
        <w:autoSpaceDE w:val="0"/>
        <w:autoSpaceDN w:val="0"/>
        <w:adjustRightInd w:val="0"/>
        <w:ind w:firstLine="720"/>
        <w:rPr>
          <w:rFonts w:cs="Times New Roman"/>
          <w:noProof/>
          <w:sz w:val="22"/>
        </w:rPr>
      </w:pPr>
      <w:r>
        <w:rPr>
          <w:rFonts w:cs="Times New Roman"/>
          <w:noProof/>
          <w:sz w:val="22"/>
        </w:rPr>
        <w:t>Although critical gepolitics has begun to e</w:t>
      </w:r>
      <w:r w:rsidR="006F5F6E">
        <w:rPr>
          <w:rFonts w:cs="Times New Roman"/>
          <w:noProof/>
          <w:sz w:val="22"/>
        </w:rPr>
        <w:t xml:space="preserve">xplore the possibilities for a </w:t>
      </w:r>
      <w:r>
        <w:rPr>
          <w:rFonts w:cs="Times New Roman"/>
          <w:noProof/>
          <w:sz w:val="22"/>
        </w:rPr>
        <w:t xml:space="preserve">posthuman </w:t>
      </w:r>
      <w:r w:rsidR="006F5F6E">
        <w:rPr>
          <w:rFonts w:cs="Times New Roman"/>
          <w:noProof/>
          <w:sz w:val="22"/>
        </w:rPr>
        <w:t>geopolitics that incorporates “</w:t>
      </w:r>
      <w:r>
        <w:rPr>
          <w:rFonts w:cs="Times New Roman"/>
          <w:noProof/>
          <w:sz w:val="22"/>
        </w:rPr>
        <w:t>animals, nature, and other objects into our un</w:t>
      </w:r>
      <w:r w:rsidR="006F5F6E">
        <w:rPr>
          <w:rFonts w:cs="Times New Roman"/>
          <w:noProof/>
          <w:sz w:val="22"/>
        </w:rPr>
        <w:t>derstanding of the geopolitical”</w:t>
      </w:r>
      <w:r>
        <w:rPr>
          <w:rFonts w:cs="Times New Roman"/>
          <w:noProof/>
          <w:sz w:val="22"/>
        </w:rPr>
        <w:t xml:space="preserve"> </w:t>
      </w:r>
      <w:r>
        <w:rPr>
          <w:rFonts w:cs="Times New Roman"/>
          <w:noProof/>
          <w:sz w:val="22"/>
        </w:rPr>
        <w:fldChar w:fldCharType="begin" w:fldLock="1"/>
      </w:r>
      <w:r>
        <w:rPr>
          <w:rFonts w:cs="Times New Roman"/>
          <w:noProof/>
          <w:sz w:val="22"/>
        </w:rPr>
        <w:instrText>ADDIN CSL_CITATION {"citationItems":[{"id":"ITEM-1","itemData":{"DOI":"10.1177/0309132513501405","ISBN":"0309-1325","ISSN":"03091325","PMID":"97190951","abstract":"This article proposes a framework for considering materiality in the field of geopolitics: assemblage and complexity theories. Drawing on literatures beyond the field to imagine a posthuman geopolitics, this article argues for a relational ontology that emphasizes the complex interactions among the elements of an assemblage. These interactions produce emergent effects which themselves reshape the assemblage’s elements. This has implications for understandings of agency, subjectivity, and systemic change. The article concludes by highlighting the methodological and ethical challenges that such a project would face.","author":[{"dropping-particle":"","family":"Dittmer","given":"Jason","non-dropping-particle":"","parse-names":false,"suffix":""}],"container-title":"Progress in Human Geography","id":"ITEM-1","issue":"3","issued":{"date-parts":[["2014"]]},"page":"385-401","title":"Geopolitical assemblages and complexity","type":"article-journal","volume":"38"},"uris":["http://www.mendeley.com/documents/?uuid=e2926cf5-f528-4c74-8693-620b73dd6fa0"]}],"mendeley":{"formattedCitation":"(Dittmer, 2014)","manualFormatting":"(Dittmer, 2014: 384)","plainTextFormattedCitation":"(Dittmer, 2014)","previouslyFormattedCitation":"(Dittmer, 2014)"},"properties":{"noteIndex":0},"schema":"https://github.com/citation-style-language/schema/raw/master/csl-citation.json"}</w:instrText>
      </w:r>
      <w:r>
        <w:rPr>
          <w:rFonts w:cs="Times New Roman"/>
          <w:noProof/>
          <w:sz w:val="22"/>
        </w:rPr>
        <w:fldChar w:fldCharType="separate"/>
      </w:r>
      <w:r w:rsidRPr="00AE28FD">
        <w:rPr>
          <w:rFonts w:cs="Times New Roman"/>
          <w:noProof/>
          <w:sz w:val="22"/>
        </w:rPr>
        <w:t>(Dittmer, 2014</w:t>
      </w:r>
      <w:r>
        <w:rPr>
          <w:rFonts w:cs="Times New Roman"/>
          <w:noProof/>
          <w:sz w:val="22"/>
        </w:rPr>
        <w:t>: 384</w:t>
      </w:r>
      <w:r w:rsidRPr="00AE28FD">
        <w:rPr>
          <w:rFonts w:cs="Times New Roman"/>
          <w:noProof/>
          <w:sz w:val="22"/>
        </w:rPr>
        <w:t>)</w:t>
      </w:r>
      <w:r>
        <w:rPr>
          <w:rFonts w:cs="Times New Roman"/>
          <w:noProof/>
          <w:sz w:val="22"/>
        </w:rPr>
        <w:fldChar w:fldCharType="end"/>
      </w:r>
      <w:r>
        <w:rPr>
          <w:rFonts w:cs="Times New Roman"/>
          <w:noProof/>
          <w:sz w:val="22"/>
        </w:rPr>
        <w:t>; the sub-discipline’s engag</w:t>
      </w:r>
      <w:r w:rsidR="006F5F6E">
        <w:rPr>
          <w:rFonts w:cs="Times New Roman"/>
          <w:noProof/>
          <w:sz w:val="22"/>
        </w:rPr>
        <w:t>ement with nonhuman animals as political actors</w:t>
      </w:r>
      <w:r>
        <w:rPr>
          <w:rFonts w:cs="Times New Roman"/>
          <w:noProof/>
          <w:sz w:val="22"/>
        </w:rPr>
        <w:t xml:space="preserve">, is arguably less developed than in political ecology. In fact, </w:t>
      </w:r>
      <w:r>
        <w:rPr>
          <w:rFonts w:cs="Times New Roman"/>
          <w:noProof/>
          <w:sz w:val="22"/>
        </w:rPr>
        <w:fldChar w:fldCharType="begin" w:fldLock="1"/>
      </w:r>
      <w:r>
        <w:rPr>
          <w:rFonts w:cs="Times New Roman"/>
          <w:noProof/>
          <w:sz w:val="22"/>
        </w:rPr>
        <w:instrText>ADDIN CSL_CITATION {"citationItems":[{"id":"ITEM-1","itemData":{"DOI":"10.1080/14650045.2016.1192531","ISSN":"1557-3028","author":[{"dropping-particle":"","family":"Raento","given":"Pauliina","non-dropping-particle":"","parse-names":false,"suffix":""}],"id":"ITEM-1","issued":{"date-parts":[["2016"]]},"title":"A Geopolitics of the Horse in Finland","type":"article-journal"},"uris":["http://www.mendeley.com/documents/?uuid=d085da38-35a7-347e-9357-f4e1b688a761"]}],"mendeley":{"formattedCitation":"(Raento, 2016)","manualFormatting":"Raento ","plainTextFormattedCitation":"(Raento, 2016)","previouslyFormattedCitation":"(Raento, 2016)"},"properties":{"noteIndex":0},"schema":"https://github.com/citation-style-language/schema/raw/master/csl-citation.json"}</w:instrText>
      </w:r>
      <w:r>
        <w:rPr>
          <w:rFonts w:cs="Times New Roman"/>
          <w:noProof/>
          <w:sz w:val="22"/>
        </w:rPr>
        <w:fldChar w:fldCharType="separate"/>
      </w:r>
      <w:r>
        <w:rPr>
          <w:rFonts w:cs="Times New Roman"/>
          <w:noProof/>
          <w:sz w:val="22"/>
        </w:rPr>
        <w:t xml:space="preserve">Raento </w:t>
      </w:r>
      <w:r>
        <w:rPr>
          <w:rFonts w:cs="Times New Roman"/>
          <w:noProof/>
          <w:sz w:val="22"/>
        </w:rPr>
        <w:fldChar w:fldCharType="end"/>
      </w:r>
      <w:r w:rsidR="006F5F6E">
        <w:rPr>
          <w:rFonts w:cs="Times New Roman"/>
          <w:noProof/>
          <w:sz w:val="22"/>
        </w:rPr>
        <w:t xml:space="preserve"> has criticised the “</w:t>
      </w:r>
      <w:r>
        <w:rPr>
          <w:rFonts w:cs="Times New Roman"/>
          <w:noProof/>
          <w:sz w:val="22"/>
        </w:rPr>
        <w:t>disregard of animal subjec</w:t>
      </w:r>
      <w:r w:rsidR="006F5F6E">
        <w:rPr>
          <w:rFonts w:cs="Times New Roman"/>
          <w:noProof/>
          <w:sz w:val="22"/>
        </w:rPr>
        <w:t>tivity in geopolitics”, calling it “outdated and arrogant”</w:t>
      </w:r>
      <w:r>
        <w:rPr>
          <w:rFonts w:cs="Times New Roman"/>
          <w:noProof/>
          <w:sz w:val="22"/>
        </w:rPr>
        <w:t>, especially when considering how frequently cri</w:t>
      </w:r>
      <w:r w:rsidR="006F5F6E">
        <w:rPr>
          <w:rFonts w:cs="Times New Roman"/>
          <w:noProof/>
          <w:sz w:val="22"/>
        </w:rPr>
        <w:t>tical geopolitics engages with “</w:t>
      </w:r>
      <w:r>
        <w:rPr>
          <w:rFonts w:cs="Times New Roman"/>
          <w:noProof/>
          <w:sz w:val="22"/>
        </w:rPr>
        <w:t>themes that concern animal activit</w:t>
      </w:r>
      <w:r w:rsidR="006F5F6E">
        <w:rPr>
          <w:rFonts w:cs="Times New Roman"/>
          <w:noProof/>
          <w:sz w:val="22"/>
        </w:rPr>
        <w:t>y and relationships with people”</w:t>
      </w:r>
      <w:r>
        <w:rPr>
          <w:rFonts w:cs="Times New Roman"/>
          <w:noProof/>
          <w:sz w:val="22"/>
        </w:rPr>
        <w:t xml:space="preserve"> (2016; 945). That being said, there are limited critical geopolitical</w:t>
      </w:r>
      <w:r w:rsidRPr="005B292F">
        <w:rPr>
          <w:rStyle w:val="FootnoteReference"/>
        </w:rPr>
        <w:footnoteReference w:id="6"/>
      </w:r>
      <w:r>
        <w:rPr>
          <w:rFonts w:cs="Times New Roman"/>
          <w:noProof/>
          <w:sz w:val="22"/>
        </w:rPr>
        <w:t xml:space="preserve"> engagements with nonhuman animals (Kosek, 2010; Cudworth &amp; Hobden, 2015; Raento, 2016; Forsyth, 2017</w:t>
      </w:r>
      <w:r w:rsidR="0055390F">
        <w:rPr>
          <w:rFonts w:cs="Times New Roman"/>
          <w:noProof/>
          <w:sz w:val="22"/>
        </w:rPr>
        <w:t>; Squire, 2020</w:t>
      </w:r>
      <w:r>
        <w:rPr>
          <w:rFonts w:cs="Times New Roman"/>
          <w:noProof/>
          <w:sz w:val="22"/>
        </w:rPr>
        <w:t>)</w:t>
      </w:r>
      <w:r w:rsidR="006F5F6E">
        <w:rPr>
          <w:rFonts w:cs="Times New Roman"/>
          <w:noProof/>
          <w:sz w:val="22"/>
        </w:rPr>
        <w:t>,</w:t>
      </w:r>
      <w:r>
        <w:rPr>
          <w:rFonts w:cs="Times New Roman"/>
          <w:noProof/>
          <w:sz w:val="22"/>
        </w:rPr>
        <w:t xml:space="preserve"> which offer particularly useful insights into how no</w:t>
      </w:r>
      <w:r w:rsidR="006F5F6E">
        <w:rPr>
          <w:rFonts w:cs="Times New Roman"/>
          <w:noProof/>
          <w:sz w:val="22"/>
        </w:rPr>
        <w:t xml:space="preserve">nhuman animals are enrolled in </w:t>
      </w:r>
      <w:r>
        <w:rPr>
          <w:rFonts w:cs="Times New Roman"/>
          <w:noProof/>
          <w:sz w:val="22"/>
        </w:rPr>
        <w:t xml:space="preserve">and shape the face of warfare and military interventions. </w:t>
      </w:r>
    </w:p>
    <w:p w14:paraId="296EDA3C" w14:textId="2427F6B8" w:rsidR="001139CD" w:rsidRDefault="001139CD" w:rsidP="001139CD">
      <w:pPr>
        <w:widowControl w:val="0"/>
        <w:autoSpaceDE w:val="0"/>
        <w:autoSpaceDN w:val="0"/>
        <w:adjustRightInd w:val="0"/>
        <w:ind w:firstLine="720"/>
        <w:rPr>
          <w:rFonts w:cs="Times New Roman"/>
          <w:noProof/>
          <w:sz w:val="22"/>
        </w:rPr>
      </w:pPr>
      <w:r>
        <w:rPr>
          <w:rFonts w:cs="Times New Roman"/>
          <w:noProof/>
          <w:sz w:val="22"/>
        </w:rPr>
        <w:t>Wars and conflicts take many forms, but are inherently geopolitical</w:t>
      </w:r>
      <w:r w:rsidR="00EB4CF9">
        <w:rPr>
          <w:rFonts w:cs="Times New Roman"/>
          <w:noProof/>
          <w:sz w:val="22"/>
        </w:rPr>
        <w:t>, environmental, and more-than-human</w:t>
      </w:r>
      <w:r>
        <w:rPr>
          <w:rFonts w:cs="Times New Roman"/>
          <w:noProof/>
          <w:sz w:val="22"/>
        </w:rPr>
        <w:t xml:space="preserve">. Scholars such as </w:t>
      </w:r>
      <w:r>
        <w:rPr>
          <w:rFonts w:cs="Times New Roman"/>
          <w:noProof/>
          <w:sz w:val="22"/>
        </w:rPr>
        <w:fldChar w:fldCharType="begin" w:fldLock="1"/>
      </w:r>
      <w:r>
        <w:rPr>
          <w:rFonts w:cs="Times New Roman"/>
          <w:noProof/>
          <w:sz w:val="22"/>
        </w:rPr>
        <w:instrText>ADDIN CSL_CITATION {"citationItems":[{"id":"ITEM-1","itemData":{"DOI":"10.1111/j.1548-1360.2010.01073.x","ISBN":"1548-1360","ISSN":"08867356","abstract":"ABSTRACT This essay examines the rise of the honeybee as a tool and metaphor in the US {\\textquotedblleft}war on terror.{\\textquotedblright} At present, the largest source of funding for apiary research comes from the US military as part of efforts to remake entomology in an age of empire . This funding seeks ...","author":[{"dropping-particle":"","family":"Kosek","given":"Jake","non-dropping-particle":"","parse-names":false,"suffix":""}],"container-title":"Cultural Anthropology","id":"ITEM-1","issue":"4","issued":{"date-parts":[["2010"]]},"page":"650-678","title":"Ecologies of empire: On the new uses of the Honeybee","type":"article-journal","volume":"25"},"uris":["http://www.mendeley.com/documents/?uuid=b539b779-858b-410d-a5a9-0ea06a8e1fd3"]}],"mendeley":{"formattedCitation":"(Kosek, 2010)","manualFormatting":"Kosek (2010)","plainTextFormattedCitation":"(Kosek, 2010)","previouslyFormattedCitation":"(Kosek, 2010)"},"properties":{"noteIndex":0},"schema":"https://github.com/citation-style-language/schema/raw/master/csl-citation.json"}</w:instrText>
      </w:r>
      <w:r>
        <w:rPr>
          <w:rFonts w:cs="Times New Roman"/>
          <w:noProof/>
          <w:sz w:val="22"/>
        </w:rPr>
        <w:fldChar w:fldCharType="separate"/>
      </w:r>
      <w:r>
        <w:rPr>
          <w:rFonts w:cs="Times New Roman"/>
          <w:noProof/>
          <w:sz w:val="22"/>
        </w:rPr>
        <w:t>Kosek</w:t>
      </w:r>
      <w:r w:rsidRPr="00460056">
        <w:rPr>
          <w:rFonts w:cs="Times New Roman"/>
          <w:noProof/>
          <w:sz w:val="22"/>
        </w:rPr>
        <w:t xml:space="preserve"> </w:t>
      </w:r>
      <w:r>
        <w:rPr>
          <w:rFonts w:cs="Times New Roman"/>
          <w:noProof/>
          <w:sz w:val="22"/>
        </w:rPr>
        <w:t>(</w:t>
      </w:r>
      <w:r w:rsidRPr="00460056">
        <w:rPr>
          <w:rFonts w:cs="Times New Roman"/>
          <w:noProof/>
          <w:sz w:val="22"/>
        </w:rPr>
        <w:t>2010)</w:t>
      </w:r>
      <w:r>
        <w:rPr>
          <w:rFonts w:cs="Times New Roman"/>
          <w:noProof/>
          <w:sz w:val="22"/>
        </w:rPr>
        <w:fldChar w:fldCharType="end"/>
      </w:r>
      <w:r>
        <w:rPr>
          <w:rFonts w:cs="Times New Roman"/>
          <w:noProof/>
          <w:sz w:val="22"/>
        </w:rPr>
        <w:t xml:space="preserve"> have examined how animals</w:t>
      </w:r>
      <w:r w:rsidR="00EB4CF9">
        <w:rPr>
          <w:rFonts w:cs="Times New Roman"/>
          <w:noProof/>
          <w:sz w:val="22"/>
        </w:rPr>
        <w:t xml:space="preserve"> as small as the honeybee have “</w:t>
      </w:r>
      <w:r>
        <w:rPr>
          <w:rFonts w:cs="Times New Roman"/>
          <w:noProof/>
          <w:sz w:val="22"/>
        </w:rPr>
        <w:t>been remade as a military technology and strategi</w:t>
      </w:r>
      <w:r w:rsidR="00EB4CF9">
        <w:rPr>
          <w:rFonts w:cs="Times New Roman"/>
          <w:noProof/>
          <w:sz w:val="22"/>
        </w:rPr>
        <w:t xml:space="preserve">c resource for the battlefield” </w:t>
      </w:r>
      <w:r>
        <w:rPr>
          <w:rFonts w:cs="Times New Roman"/>
          <w:noProof/>
          <w:sz w:val="22"/>
        </w:rPr>
        <w:t>(651), throughout history and into the contemporary war on terror. Kosek (2010) describes how experimentation into the use of bees for warfare via micro-sensor technologies, effectively reduces the bees to mechanized warfare devices, and has radically altered their biological traits. But, more than examining just the instrumental uses of nonhuman animals in war environments, emerging work in cri</w:t>
      </w:r>
      <w:r w:rsidR="00EB4CF9">
        <w:rPr>
          <w:rFonts w:cs="Times New Roman"/>
          <w:noProof/>
          <w:sz w:val="22"/>
        </w:rPr>
        <w:t>tical geopolitics explores the ‘more-than-human battlespace’</w:t>
      </w:r>
      <w:r>
        <w:rPr>
          <w:rFonts w:cs="Times New Roman"/>
          <w:noProof/>
          <w:sz w:val="22"/>
        </w:rPr>
        <w:t xml:space="preserve"> (Forsyth, 2017) and the ‘posthuman way of war’ </w:t>
      </w:r>
      <w:r>
        <w:rPr>
          <w:rFonts w:cs="Times New Roman"/>
          <w:noProof/>
          <w:sz w:val="22"/>
        </w:rPr>
        <w:fldChar w:fldCharType="begin" w:fldLock="1"/>
      </w:r>
      <w:r w:rsidR="00EC7F7E">
        <w:rPr>
          <w:rFonts w:cs="Times New Roman"/>
          <w:noProof/>
          <w:sz w:val="22"/>
        </w:rPr>
        <w:instrText>ADDIN CSL_CITATION {"citationItems":[{"id":"ITEM-1","itemData":{"DOI":"10.1177/0967010615596499","abstract":"Recent interventions from a 'posthumanist' or 'new materialist' perspective have highlighted the embedded character of human systems within a 'panarchy' of human and non-human systems. This article brings attention to a very particular element of materiality, one with a profound significance for issues of security-relations between human and non-human animals in instances of conflict. It is an indication of the deeply human-centred character of both international relations and security studies that almost none of the central texts mention the very significant roles that non-human animals have in the conduct of war. We argue that the character of war would have been radically different but for the forced participation by an enormous range of non-human animals. Even though, with the improvements in transportation over the last century, non-human animals are less evident in the context of the movement of people and equipment, they still play a significant number of roles in the contemporary war-machines of wealthy countries. Drawing on literature from critical animal studies, sociology and memoirs, this article discusses the enormous variety of roles that non-human animals have played in the conduct of war, and examines the character of human-non-human animal relations in times of war.","author":[{"dropping-particle":"","family":"Cudworth","given":"Erika","non-dropping-particle":"","parse-names":false,"suffix":""},{"dropping-particle":"","family":"Hobden","given":"Steve","non-dropping-particle":"","parse-names":false,"suffix":""}],"container-title":"Security Dialogue","id":"ITEM-1","issue":"6","issued":{"date-parts":[["2015"]]},"page":"513-529","title":"The posthuman way of war","type":"article-journal","volume":"46"},"uris":["http://www.mendeley.com/documents/?uuid=25460b53-d79c-3704-b419-91decf8f1634"]}],"mendeley":{"formattedCitation":"(Cudworth and Hobden, 2015)","plainTextFormattedCitation":"(Cudworth and Hobden, 2015)","previouslyFormattedCitation":"(Cudworth and Hobden, 2015)"},"properties":{"noteIndex":0},"schema":"https://github.com/citation-style-language/schema/raw/master/csl-citation.json"}</w:instrText>
      </w:r>
      <w:r>
        <w:rPr>
          <w:rFonts w:cs="Times New Roman"/>
          <w:noProof/>
          <w:sz w:val="22"/>
        </w:rPr>
        <w:fldChar w:fldCharType="separate"/>
      </w:r>
      <w:r w:rsidR="00042533" w:rsidRPr="00042533">
        <w:rPr>
          <w:rFonts w:cs="Times New Roman"/>
          <w:noProof/>
          <w:sz w:val="22"/>
        </w:rPr>
        <w:t>(Cudworth and Hobden, 2015)</w:t>
      </w:r>
      <w:r>
        <w:rPr>
          <w:rFonts w:cs="Times New Roman"/>
          <w:noProof/>
          <w:sz w:val="22"/>
        </w:rPr>
        <w:fldChar w:fldCharType="end"/>
      </w:r>
      <w:r>
        <w:rPr>
          <w:rFonts w:cs="Times New Roman"/>
          <w:noProof/>
          <w:sz w:val="22"/>
        </w:rPr>
        <w:t xml:space="preserve">. These accounts examine how various animals, such as horses (Raento, 2016), bears </w:t>
      </w:r>
      <w:r>
        <w:rPr>
          <w:rFonts w:cs="Times New Roman"/>
          <w:noProof/>
          <w:sz w:val="22"/>
        </w:rPr>
        <w:fldChar w:fldCharType="begin" w:fldLock="1"/>
      </w:r>
      <w:r>
        <w:rPr>
          <w:rFonts w:cs="Times New Roman"/>
          <w:noProof/>
          <w:sz w:val="22"/>
        </w:rPr>
        <w:instrText>ADDIN CSL_CITATION {"citationItems":[{"id":"ITEM-1","itemData":{"DOI":"10.1177/0263775816664098","ISSN":"14723433","abstract":"This paper makes an intervention highlighting the animal dimension of military geographies as an overlooked yet illuminating aspect of the hybrid nature of warfare. By bringing animal geographies into dialogue with critical military geographies and with a focus on relational ethics, the processes, performance and consequences of the more-than-human nature of the battlespace are examined through a vignette of Wojtek the bear. Wojtek was a mascot, pet and officially enlisted soldier of the Polish Army in the Second World War who travelled the desert plains, helped to fight at the Battle of Monte Cassino, before being demobbed with his fellow Polish comrades in the UK, eventually ending his civilian days in Edinburgh Zoo. Although a well-known figure Wojtek and his biography have predominately been used as a means to explore the Polish soldiers’ experience of the Second World War with the result that the bear as an animal is absent. This paper, therefore, puts the bear back into his biography in order to acknowledge the role and lived experience of animals in the military. Further, it suggests that exploring the place of animals in the military requires geographers to articulate the hybrid nature of warfare and also to explore the ethico-political relations this produces.","author":[{"dropping-particle":"","family":"Forsyth","given":"Isla","non-dropping-particle":"","parse-names":false,"suffix":""}],"container-title":"Environment and Planning D: Society and Space","id":"ITEM-1","issue":"3","issued":{"date-parts":[["2017"]]},"page":"495-512","title":"A bear’s biography: Hybrid warfare and the more-than-human battlespace","type":"article-journal","volume":"35"},"uris":["http://www.mendeley.com/documents/?uuid=ac24f5e6-e69b-413e-86ee-1da951d4d47b"]}],"mendeley":{"formattedCitation":"(Forsyth, 2017)","plainTextFormattedCitation":"(Forsyth, 2017)","previouslyFormattedCitation":"(Forsyth, 2017)"},"properties":{"noteIndex":0},"schema":"https://github.com/citation-style-language/schema/raw/master/csl-citation.json"}</w:instrText>
      </w:r>
      <w:r>
        <w:rPr>
          <w:rFonts w:cs="Times New Roman"/>
          <w:noProof/>
          <w:sz w:val="22"/>
        </w:rPr>
        <w:fldChar w:fldCharType="separate"/>
      </w:r>
      <w:r w:rsidRPr="003360A1">
        <w:rPr>
          <w:rFonts w:cs="Times New Roman"/>
          <w:noProof/>
          <w:sz w:val="22"/>
        </w:rPr>
        <w:t>(Forsyth, 2017)</w:t>
      </w:r>
      <w:r>
        <w:rPr>
          <w:rFonts w:cs="Times New Roman"/>
          <w:noProof/>
          <w:sz w:val="22"/>
        </w:rPr>
        <w:fldChar w:fldCharType="end"/>
      </w:r>
      <w:r>
        <w:rPr>
          <w:rFonts w:cs="Times New Roman"/>
          <w:noProof/>
          <w:sz w:val="22"/>
        </w:rPr>
        <w:t xml:space="preserve"> and camels (Cudworth &amp; Hobden, 2015) have been mobilised for war; but they also attend to the embodied political subjectivities of nonhuman animals, ex</w:t>
      </w:r>
      <w:r w:rsidR="00EB4CF9">
        <w:rPr>
          <w:rFonts w:cs="Times New Roman"/>
          <w:noProof/>
          <w:sz w:val="22"/>
        </w:rPr>
        <w:t>ploring how animals themselves “</w:t>
      </w:r>
      <w:r>
        <w:rPr>
          <w:rFonts w:cs="Times New Roman"/>
          <w:noProof/>
          <w:sz w:val="22"/>
        </w:rPr>
        <w:t>act, al</w:t>
      </w:r>
      <w:r w:rsidR="00EB4CF9">
        <w:rPr>
          <w:rFonts w:cs="Times New Roman"/>
          <w:noProof/>
          <w:sz w:val="22"/>
        </w:rPr>
        <w:t xml:space="preserve">ter, and shape the battlespace” </w:t>
      </w:r>
      <w:r>
        <w:rPr>
          <w:rFonts w:cs="Times New Roman"/>
          <w:noProof/>
          <w:sz w:val="22"/>
        </w:rPr>
        <w:t xml:space="preserve">(Forsyth, 2017: 418), thereby recentring non-human political agency as a force that co-produces human-environment </w:t>
      </w:r>
      <w:r>
        <w:rPr>
          <w:rFonts w:cs="Times New Roman"/>
          <w:noProof/>
          <w:sz w:val="22"/>
        </w:rPr>
        <w:lastRenderedPageBreak/>
        <w:t xml:space="preserve">relations. </w:t>
      </w:r>
    </w:p>
    <w:p w14:paraId="1CB6E659" w14:textId="78793277" w:rsidR="001139CD" w:rsidRDefault="001139CD" w:rsidP="001139CD">
      <w:pPr>
        <w:widowControl w:val="0"/>
        <w:autoSpaceDE w:val="0"/>
        <w:autoSpaceDN w:val="0"/>
        <w:adjustRightInd w:val="0"/>
        <w:ind w:firstLine="720"/>
        <w:rPr>
          <w:rFonts w:cs="Times New Roman"/>
          <w:noProof/>
          <w:sz w:val="22"/>
        </w:rPr>
      </w:pPr>
      <w:r>
        <w:rPr>
          <w:rFonts w:cs="Times New Roman"/>
          <w:noProof/>
          <w:sz w:val="22"/>
        </w:rPr>
        <w:t>For example, Raento (2016) outlines a ‘Geopolitics of the horse in Finland’, charting the multiple, shifting, geopolitical roles of equines since 20</w:t>
      </w:r>
      <w:r w:rsidRPr="000132DD">
        <w:rPr>
          <w:rFonts w:cs="Times New Roman"/>
          <w:noProof/>
          <w:sz w:val="22"/>
          <w:vertAlign w:val="superscript"/>
        </w:rPr>
        <w:t>th</w:t>
      </w:r>
      <w:r>
        <w:rPr>
          <w:rFonts w:cs="Times New Roman"/>
          <w:noProof/>
          <w:sz w:val="22"/>
        </w:rPr>
        <w:t xml:space="preserve"> Century wartime, to the modern day. Raento shows how historical human-horse relations during wartime have shaped contemporary geopolitics of Finnish territory and identity. She positions the Finnhorse as a crucial geopolitical actor in the 20</w:t>
      </w:r>
      <w:r w:rsidRPr="000132DD">
        <w:rPr>
          <w:rFonts w:cs="Times New Roman"/>
          <w:noProof/>
          <w:sz w:val="22"/>
          <w:vertAlign w:val="superscript"/>
        </w:rPr>
        <w:t>th</w:t>
      </w:r>
      <w:r>
        <w:rPr>
          <w:rFonts w:cs="Times New Roman"/>
          <w:noProof/>
          <w:sz w:val="22"/>
        </w:rPr>
        <w:t xml:space="preserve"> Century Finnish war efforts, examining how the mass conscription of horses, combined with the affective capacities of the horses and their physiological traits</w:t>
      </w:r>
      <w:r w:rsidR="000650AA">
        <w:rPr>
          <w:rFonts w:cs="Times New Roman"/>
          <w:noProof/>
          <w:sz w:val="22"/>
        </w:rPr>
        <w:t xml:space="preserve"> and abilities, ultimately “</w:t>
      </w:r>
      <w:r>
        <w:rPr>
          <w:rFonts w:cs="Times New Roman"/>
          <w:noProof/>
          <w:sz w:val="22"/>
        </w:rPr>
        <w:t xml:space="preserve">co-produced the </w:t>
      </w:r>
      <w:r w:rsidR="000650AA">
        <w:rPr>
          <w:rFonts w:cs="Times New Roman"/>
          <w:noProof/>
          <w:sz w:val="22"/>
        </w:rPr>
        <w:t>Finnish nation’s war experience”</w:t>
      </w:r>
      <w:r>
        <w:rPr>
          <w:rFonts w:cs="Times New Roman"/>
          <w:noProof/>
          <w:sz w:val="22"/>
        </w:rPr>
        <w:t xml:space="preserve"> (2016: 9</w:t>
      </w:r>
      <w:r w:rsidR="000650AA">
        <w:rPr>
          <w:rFonts w:cs="Times New Roman"/>
          <w:noProof/>
          <w:sz w:val="22"/>
        </w:rPr>
        <w:t>47). For example she notes how “</w:t>
      </w:r>
      <w:r>
        <w:rPr>
          <w:rFonts w:cs="Times New Roman"/>
          <w:noProof/>
          <w:sz w:val="22"/>
        </w:rPr>
        <w:t>Finnish guerilla tactics… relied on the silence of the horse and the local breed’s ability to move in roadless boreal forests, survive on whatever food was avai</w:t>
      </w:r>
      <w:r w:rsidR="000650AA">
        <w:rPr>
          <w:rFonts w:cs="Times New Roman"/>
          <w:noProof/>
          <w:sz w:val="22"/>
        </w:rPr>
        <w:t>lable en route, and endure cold”</w:t>
      </w:r>
      <w:r>
        <w:rPr>
          <w:rFonts w:cs="Times New Roman"/>
          <w:noProof/>
          <w:sz w:val="22"/>
        </w:rPr>
        <w:t xml:space="preserve"> (ibid: 951). Beyond wartime, Raento discusses how the political subjectivity of the Finnhorse has continued</w:t>
      </w:r>
      <w:r w:rsidR="00502443">
        <w:rPr>
          <w:rFonts w:cs="Times New Roman"/>
          <w:noProof/>
          <w:sz w:val="22"/>
        </w:rPr>
        <w:t xml:space="preserve"> to contribute to geopolitical </w:t>
      </w:r>
      <w:r w:rsidR="000650AA">
        <w:rPr>
          <w:rFonts w:cs="Times New Roman"/>
          <w:noProof/>
          <w:sz w:val="22"/>
        </w:rPr>
        <w:t>“</w:t>
      </w:r>
      <w:r>
        <w:rPr>
          <w:rFonts w:cs="Times New Roman"/>
          <w:noProof/>
          <w:sz w:val="22"/>
        </w:rPr>
        <w:t xml:space="preserve">changes in international relations, state networks, insitutions and legislation, influencing the ways in which the Finnish state </w:t>
      </w:r>
      <w:r w:rsidRPr="00C76AD9">
        <w:rPr>
          <w:rFonts w:cs="Times New Roman"/>
          <w:i/>
          <w:noProof/>
          <w:sz w:val="22"/>
        </w:rPr>
        <w:t>defines, controls and protects</w:t>
      </w:r>
      <w:r>
        <w:rPr>
          <w:rFonts w:cs="Times New Roman"/>
          <w:noProof/>
          <w:sz w:val="22"/>
        </w:rPr>
        <w:t xml:space="preserve"> its national territ</w:t>
      </w:r>
      <w:r w:rsidR="000650AA">
        <w:rPr>
          <w:rFonts w:cs="Times New Roman"/>
          <w:noProof/>
          <w:sz w:val="22"/>
        </w:rPr>
        <w:t>ory, boundaries and populations”</w:t>
      </w:r>
      <w:r>
        <w:rPr>
          <w:rFonts w:cs="Times New Roman"/>
          <w:noProof/>
          <w:sz w:val="22"/>
        </w:rPr>
        <w:t xml:space="preserve"> (ibid: 962, emphasis added). Raento’s focus on how the wartime and peacetime Finnhorse influences the way the state ‘defines, controls, and protects’ its territory and populations, poignantly echoes Bigger &amp; Neimark’s definition of geopolitical ecology as an approach that examines</w:t>
      </w:r>
      <w:r w:rsidR="00502443">
        <w:rPr>
          <w:rFonts w:cs="Times New Roman"/>
          <w:noProof/>
          <w:sz w:val="22"/>
        </w:rPr>
        <w:t xml:space="preserve"> how geopolitical institutions “</w:t>
      </w:r>
      <w:r>
        <w:rPr>
          <w:rFonts w:cs="Times New Roman"/>
          <w:noProof/>
          <w:sz w:val="22"/>
        </w:rPr>
        <w:t>def</w:t>
      </w:r>
      <w:r w:rsidR="00502443">
        <w:rPr>
          <w:rFonts w:cs="Times New Roman"/>
          <w:noProof/>
          <w:sz w:val="22"/>
        </w:rPr>
        <w:t>ine, control, and manage nature”</w:t>
      </w:r>
      <w:r w:rsidR="000650AA">
        <w:rPr>
          <w:rFonts w:cs="Times New Roman"/>
          <w:noProof/>
          <w:sz w:val="22"/>
        </w:rPr>
        <w:t xml:space="preserve"> (2017:20)</w:t>
      </w:r>
      <w:r>
        <w:rPr>
          <w:rFonts w:cs="Times New Roman"/>
          <w:noProof/>
          <w:sz w:val="22"/>
        </w:rPr>
        <w:t xml:space="preserve">. This therefore points to the productive potential of incorporating the political subjectivities of nonhuman animals into geopolitical-ecological examinations of how the state defines, controls, and manages nature. </w:t>
      </w:r>
    </w:p>
    <w:p w14:paraId="2FAFA0CD" w14:textId="21AA7AC3" w:rsidR="001139CD" w:rsidRDefault="001139CD" w:rsidP="001139CD">
      <w:pPr>
        <w:widowControl w:val="0"/>
        <w:autoSpaceDE w:val="0"/>
        <w:autoSpaceDN w:val="0"/>
        <w:adjustRightInd w:val="0"/>
        <w:ind w:firstLine="720"/>
        <w:rPr>
          <w:rFonts w:cs="Times New Roman"/>
          <w:noProof/>
          <w:sz w:val="22"/>
        </w:rPr>
      </w:pPr>
      <w:r>
        <w:rPr>
          <w:rFonts w:cs="Times New Roman"/>
          <w:noProof/>
          <w:sz w:val="22"/>
        </w:rPr>
        <w:t>Furthermore, Forsyth’s (2017) biography of Wojtek the bear, foregrounds the political agency of a bear who was made a Polish soldier during WWII. Wojtek’s biography is a compelling account of the hybrid nature of warfare, and the entangled political subjectivities between the nonhuman animals that were enrolled alongside humans for military a</w:t>
      </w:r>
      <w:r w:rsidR="00A871D4">
        <w:rPr>
          <w:rFonts w:cs="Times New Roman"/>
          <w:noProof/>
          <w:sz w:val="22"/>
        </w:rPr>
        <w:t>ctivities. Forsyth argues that “</w:t>
      </w:r>
      <w:r>
        <w:rPr>
          <w:rFonts w:cs="Times New Roman"/>
          <w:noProof/>
          <w:sz w:val="22"/>
        </w:rPr>
        <w:t xml:space="preserve">Wojtek’s being and behaviour were shaped by the Polish soldiers, and they in turn formed aspects of their army’s identity based upon their </w:t>
      </w:r>
      <w:r w:rsidR="00A871D4">
        <w:rPr>
          <w:rFonts w:cs="Times New Roman"/>
          <w:noProof/>
          <w:sz w:val="22"/>
        </w:rPr>
        <w:t>relationship with him”</w:t>
      </w:r>
      <w:r>
        <w:rPr>
          <w:rFonts w:cs="Times New Roman"/>
          <w:noProof/>
          <w:sz w:val="22"/>
        </w:rPr>
        <w:t xml:space="preserve"> (2017: 506). Recalling Sundberg’s (2011) re-scaling of geopolitical analysis to the resolution of the everyday, the detailed account of the relationship between Wojtek and the Polish Army soldiers, demonstrates that the broader battlespace and geopolitical materialities of war are shaped by embodied interactions between humans and nonhumans. Admittedly this is a uniq</w:t>
      </w:r>
      <w:r w:rsidR="00A871D4">
        <w:rPr>
          <w:rFonts w:cs="Times New Roman"/>
          <w:noProof/>
          <w:sz w:val="22"/>
        </w:rPr>
        <w:t xml:space="preserve">ue example about an individual </w:t>
      </w:r>
      <w:r>
        <w:rPr>
          <w:rFonts w:cs="Times New Roman"/>
          <w:noProof/>
          <w:sz w:val="22"/>
        </w:rPr>
        <w:t xml:space="preserve">bear; </w:t>
      </w:r>
      <w:r w:rsidR="00A871D4">
        <w:rPr>
          <w:rFonts w:cs="Times New Roman"/>
          <w:noProof/>
          <w:sz w:val="22"/>
        </w:rPr>
        <w:t xml:space="preserve">but the wider applicability of </w:t>
      </w:r>
      <w:r w:rsidR="00502443">
        <w:rPr>
          <w:rFonts w:cs="Times New Roman"/>
          <w:noProof/>
          <w:sz w:val="22"/>
        </w:rPr>
        <w:t xml:space="preserve">the article is rooted in the acknowledgment of </w:t>
      </w:r>
      <w:r>
        <w:rPr>
          <w:rFonts w:cs="Times New Roman"/>
          <w:noProof/>
          <w:sz w:val="22"/>
        </w:rPr>
        <w:t>the politicised role and lived experience of the animals that are brought under, but also shape, military</w:t>
      </w:r>
      <w:r w:rsidR="00A871D4">
        <w:rPr>
          <w:rFonts w:cs="Times New Roman"/>
          <w:noProof/>
          <w:sz w:val="22"/>
        </w:rPr>
        <w:t xml:space="preserve"> and geopolitical</w:t>
      </w:r>
      <w:r>
        <w:rPr>
          <w:rFonts w:cs="Times New Roman"/>
          <w:noProof/>
          <w:sz w:val="22"/>
        </w:rPr>
        <w:t xml:space="preserve"> interventions. </w:t>
      </w:r>
    </w:p>
    <w:p w14:paraId="24345D90" w14:textId="77777777" w:rsidR="00502443" w:rsidRDefault="001139CD" w:rsidP="001139CD">
      <w:pPr>
        <w:widowControl w:val="0"/>
        <w:autoSpaceDE w:val="0"/>
        <w:autoSpaceDN w:val="0"/>
        <w:adjustRightInd w:val="0"/>
        <w:ind w:firstLine="720"/>
        <w:rPr>
          <w:rFonts w:cs="Times New Roman"/>
          <w:noProof/>
          <w:sz w:val="22"/>
        </w:rPr>
      </w:pPr>
      <w:r>
        <w:rPr>
          <w:rFonts w:cs="Times New Roman"/>
          <w:noProof/>
          <w:sz w:val="22"/>
        </w:rPr>
        <w:t xml:space="preserve">In sum, investigations into the ‘more-than-human’ battlespace are vital for developing a more-than-human geopolitical ecology that is attuned to how nonhuman animals are used as instruments of war and state-making more generally; but also for considering how nonhuman animals </w:t>
      </w:r>
      <w:r>
        <w:rPr>
          <w:rFonts w:cs="Times New Roman"/>
          <w:noProof/>
          <w:sz w:val="22"/>
        </w:rPr>
        <w:lastRenderedPageBreak/>
        <w:t xml:space="preserve">actively shape these processes through their subjectivities and interactions with humans. </w:t>
      </w:r>
    </w:p>
    <w:p w14:paraId="7FB8A259" w14:textId="0AAC96B4" w:rsidR="001139CD" w:rsidRDefault="001139CD" w:rsidP="001139CD">
      <w:pPr>
        <w:widowControl w:val="0"/>
        <w:autoSpaceDE w:val="0"/>
        <w:autoSpaceDN w:val="0"/>
        <w:adjustRightInd w:val="0"/>
        <w:ind w:firstLine="720"/>
        <w:rPr>
          <w:rFonts w:cs="Times New Roman"/>
          <w:noProof/>
          <w:sz w:val="22"/>
        </w:rPr>
      </w:pPr>
      <w:r>
        <w:rPr>
          <w:rFonts w:cs="Times New Roman"/>
          <w:noProof/>
          <w:sz w:val="22"/>
        </w:rPr>
        <w:t xml:space="preserve">However, notably absent from both Raento’s (2016) and Forsyth’s (2017) accounts of </w:t>
      </w:r>
      <w:r w:rsidR="00502443">
        <w:rPr>
          <w:rFonts w:cs="Times New Roman"/>
          <w:noProof/>
          <w:sz w:val="22"/>
        </w:rPr>
        <w:t>the human-nonhuman interrelations</w:t>
      </w:r>
      <w:r>
        <w:rPr>
          <w:rFonts w:cs="Times New Roman"/>
          <w:noProof/>
          <w:sz w:val="22"/>
        </w:rPr>
        <w:t xml:space="preserve"> in the geopolitics of warfare, is an explicit consideration of  the wider ecological and environmental impacts of these more-than-human configurations. Forsyth rec</w:t>
      </w:r>
      <w:r w:rsidR="00A11DD2">
        <w:rPr>
          <w:rFonts w:cs="Times New Roman"/>
          <w:noProof/>
          <w:sz w:val="22"/>
        </w:rPr>
        <w:t>ognises that war “</w:t>
      </w:r>
      <w:r>
        <w:rPr>
          <w:rFonts w:cs="Times New Roman"/>
          <w:noProof/>
          <w:sz w:val="22"/>
        </w:rPr>
        <w:t>leaves its marks – physical, economic, politic</w:t>
      </w:r>
      <w:r w:rsidR="00A11DD2">
        <w:rPr>
          <w:rFonts w:cs="Times New Roman"/>
          <w:noProof/>
          <w:sz w:val="22"/>
        </w:rPr>
        <w:t xml:space="preserve">al, and cultural – on landscape” (2017:497); </w:t>
      </w:r>
      <w:r>
        <w:rPr>
          <w:rFonts w:cs="Times New Roman"/>
          <w:noProof/>
          <w:sz w:val="22"/>
        </w:rPr>
        <w:t>but ultimately the conceptualisation of nature or the ‘more-than-human’ in both Forsyth’s (2017) and Raento’s (2016) accounts extends as far as the nonhuman animals in question, and does not engage with ‘landscape’. As such, Raen</w:t>
      </w:r>
      <w:r w:rsidR="00A11DD2">
        <w:rPr>
          <w:rFonts w:cs="Times New Roman"/>
          <w:noProof/>
          <w:sz w:val="22"/>
        </w:rPr>
        <w:t>to acknowledges that there are “</w:t>
      </w:r>
      <w:r>
        <w:rPr>
          <w:rFonts w:cs="Times New Roman"/>
          <w:noProof/>
          <w:sz w:val="22"/>
        </w:rPr>
        <w:t>obvious line</w:t>
      </w:r>
      <w:r w:rsidR="00A11DD2">
        <w:rPr>
          <w:rFonts w:cs="Times New Roman"/>
          <w:noProof/>
          <w:sz w:val="22"/>
        </w:rPr>
        <w:t>s of further and deeper inquiry”, for accounts of more-than-human geopolitics, which “</w:t>
      </w:r>
      <w:r>
        <w:rPr>
          <w:rFonts w:cs="Times New Roman"/>
          <w:noProof/>
          <w:sz w:val="22"/>
        </w:rPr>
        <w:t>reach beyond territor</w:t>
      </w:r>
      <w:r w:rsidR="00A11DD2">
        <w:rPr>
          <w:rFonts w:cs="Times New Roman"/>
          <w:noProof/>
          <w:sz w:val="22"/>
        </w:rPr>
        <w:t>ial conflict and border control”</w:t>
      </w:r>
      <w:r>
        <w:rPr>
          <w:rFonts w:cs="Times New Roman"/>
          <w:noProof/>
          <w:sz w:val="22"/>
        </w:rPr>
        <w:t xml:space="preserve"> (2016: 962); and she suggests that one such </w:t>
      </w:r>
      <w:r w:rsidR="00A11DD2">
        <w:rPr>
          <w:rFonts w:cs="Times New Roman"/>
          <w:noProof/>
          <w:sz w:val="22"/>
        </w:rPr>
        <w:t xml:space="preserve">broad </w:t>
      </w:r>
      <w:r>
        <w:rPr>
          <w:rFonts w:cs="Times New Roman"/>
          <w:noProof/>
          <w:sz w:val="22"/>
        </w:rPr>
        <w:t>area is in fact, ‘landscape’. This is a gap that political ecology can contribute to solving via more-than-human geopolitical ecology. Political ecology adeptly theorises the political agency of nonhuman animals, as well as their relational position and impacts upon wider ecologies and environments. This is exemplified by Sundberg who situates the agencies of nonhuman animals alongside deserts, rivers, thornscrub bru</w:t>
      </w:r>
      <w:r w:rsidR="00A11DD2">
        <w:rPr>
          <w:rFonts w:cs="Times New Roman"/>
          <w:noProof/>
          <w:sz w:val="22"/>
        </w:rPr>
        <w:t>sh, and humans, as actors that “</w:t>
      </w:r>
      <w:r>
        <w:rPr>
          <w:rFonts w:cs="Times New Roman"/>
          <w:noProof/>
          <w:sz w:val="22"/>
        </w:rPr>
        <w:t>inflect, disrupt, and obstruct the daily pr</w:t>
      </w:r>
      <w:r w:rsidR="00A11DD2">
        <w:rPr>
          <w:rFonts w:cs="Times New Roman"/>
          <w:noProof/>
          <w:sz w:val="22"/>
        </w:rPr>
        <w:t>actices of boundary enforcement”</w:t>
      </w:r>
      <w:r>
        <w:rPr>
          <w:rFonts w:cs="Times New Roman"/>
          <w:noProof/>
          <w:sz w:val="22"/>
        </w:rPr>
        <w:t xml:space="preserve"> in the US-Mexico borderlands (2011: 318). Her account is clearly situated within a landscape, and also considers the impacts of the various geopolitical-ecological actors upon that landscape. As such, more-than-human geopolitical ecology can clearly situate the geopolitical influence of nonhuman actors within particular landscapes and ecologies.</w:t>
      </w:r>
    </w:p>
    <w:p w14:paraId="5297830D" w14:textId="4BC89950" w:rsidR="001139CD" w:rsidRDefault="001139CD" w:rsidP="001139CD">
      <w:pPr>
        <w:widowControl w:val="0"/>
        <w:autoSpaceDE w:val="0"/>
        <w:autoSpaceDN w:val="0"/>
        <w:adjustRightInd w:val="0"/>
        <w:ind w:firstLine="720"/>
        <w:rPr>
          <w:rFonts w:cs="Times New Roman"/>
          <w:noProof/>
          <w:sz w:val="22"/>
        </w:rPr>
      </w:pPr>
      <w:r>
        <w:rPr>
          <w:rFonts w:cs="Times New Roman"/>
          <w:noProof/>
          <w:sz w:val="22"/>
        </w:rPr>
        <w:t>Thus, efforts to bring nonhuman animals into explanations of the geopolitics of the environment, paves the way for more-than-human geopolitical ecology. As demonstrated by the above approaches from both political ecology and critical geopolitics, efforts to incorporate the political subjectivities of nonhuman animals into</w:t>
      </w:r>
      <w:r w:rsidR="00A11DD2">
        <w:rPr>
          <w:rFonts w:cs="Times New Roman"/>
          <w:noProof/>
          <w:sz w:val="22"/>
        </w:rPr>
        <w:t xml:space="preserve"> geopolitical explanations, is “</w:t>
      </w:r>
      <w:r>
        <w:rPr>
          <w:rFonts w:cs="Times New Roman"/>
          <w:noProof/>
          <w:sz w:val="22"/>
        </w:rPr>
        <w:t>much more tha</w:t>
      </w:r>
      <w:r w:rsidR="00A11DD2">
        <w:rPr>
          <w:rFonts w:cs="Times New Roman"/>
          <w:noProof/>
          <w:sz w:val="22"/>
        </w:rPr>
        <w:t>n an additive exercise”</w:t>
      </w:r>
      <w:r>
        <w:rPr>
          <w:rFonts w:cs="Times New Roman"/>
          <w:noProof/>
          <w:sz w:val="22"/>
        </w:rPr>
        <w:t xml:space="preserve"> (Sundberg, 2011: 332), as it produces unexpected and richer accounts of how geopolitical-ecological realities unfold. </w:t>
      </w:r>
    </w:p>
    <w:p w14:paraId="12475138" w14:textId="77777777" w:rsidR="009C104B" w:rsidRDefault="009C104B" w:rsidP="001139CD">
      <w:pPr>
        <w:widowControl w:val="0"/>
        <w:autoSpaceDE w:val="0"/>
        <w:autoSpaceDN w:val="0"/>
        <w:adjustRightInd w:val="0"/>
        <w:ind w:firstLine="720"/>
        <w:rPr>
          <w:rFonts w:cs="Times New Roman"/>
          <w:noProof/>
          <w:sz w:val="22"/>
        </w:rPr>
      </w:pPr>
    </w:p>
    <w:p w14:paraId="198B5BD9" w14:textId="77777777" w:rsidR="001139CD" w:rsidRPr="00761B9A" w:rsidRDefault="001139CD" w:rsidP="001139CD">
      <w:pPr>
        <w:pStyle w:val="Heading3"/>
        <w:rPr>
          <w:noProof/>
        </w:rPr>
      </w:pPr>
      <w:bookmarkStart w:id="23" w:name="_Toc453224196"/>
      <w:r>
        <w:rPr>
          <w:noProof/>
        </w:rPr>
        <w:t>2.2.2 (Geo)political matter</w:t>
      </w:r>
      <w:bookmarkEnd w:id="23"/>
    </w:p>
    <w:p w14:paraId="124F4A4F" w14:textId="7AF8A2C2" w:rsidR="001139CD" w:rsidRDefault="001139CD" w:rsidP="001139CD">
      <w:pPr>
        <w:widowControl w:val="0"/>
        <w:autoSpaceDE w:val="0"/>
        <w:autoSpaceDN w:val="0"/>
        <w:adjustRightInd w:val="0"/>
        <w:rPr>
          <w:rFonts w:cs="Times New Roman"/>
          <w:noProof/>
          <w:sz w:val="22"/>
        </w:rPr>
      </w:pPr>
      <w:r>
        <w:rPr>
          <w:rFonts w:cs="Times New Roman"/>
          <w:noProof/>
          <w:sz w:val="22"/>
        </w:rPr>
        <w:t>Whilst scholarship from political ecology and critical geopolitics that engages with (geo)political animals has a lot to offer an emergent more-than-human geopolitical ecology approach, most of these studies conceptualise the political agency of nonhumans solely in terms of living nonhuman animals.</w:t>
      </w:r>
      <w:r w:rsidRPr="00BE6A5E">
        <w:rPr>
          <w:rFonts w:cs="Times New Roman"/>
          <w:noProof/>
          <w:sz w:val="22"/>
        </w:rPr>
        <w:t xml:space="preserve"> </w:t>
      </w:r>
      <w:r w:rsidR="004C43DB">
        <w:rPr>
          <w:rFonts w:cs="Times New Roman"/>
          <w:noProof/>
          <w:sz w:val="22"/>
        </w:rPr>
        <w:t>Indeed, Barua argues that “</w:t>
      </w:r>
      <w:r>
        <w:rPr>
          <w:rFonts w:cs="Times New Roman"/>
          <w:noProof/>
          <w:sz w:val="22"/>
        </w:rPr>
        <w:t>matter is largely absent from scholarship on the geogra</w:t>
      </w:r>
      <w:r w:rsidR="004C43DB">
        <w:rPr>
          <w:rFonts w:cs="Times New Roman"/>
          <w:noProof/>
          <w:sz w:val="22"/>
        </w:rPr>
        <w:t xml:space="preserve">phies of human-animal relations” </w:t>
      </w:r>
      <w:r>
        <w:rPr>
          <w:rFonts w:cs="Times New Roman"/>
          <w:noProof/>
          <w:sz w:val="22"/>
        </w:rPr>
        <w:t>(2014:1463). However, given my assertion that caviar</w:t>
      </w:r>
      <w:r w:rsidR="00553390">
        <w:rPr>
          <w:rFonts w:cs="Times New Roman"/>
          <w:noProof/>
          <w:sz w:val="22"/>
        </w:rPr>
        <w:t xml:space="preserve"> as a substance has political p</w:t>
      </w:r>
      <w:r>
        <w:rPr>
          <w:rFonts w:cs="Times New Roman"/>
          <w:noProof/>
          <w:sz w:val="22"/>
        </w:rPr>
        <w:t xml:space="preserve">otential, and is a geopolitical actor alongside sturgeon, there is therefore a need to bring ‘matter’ into my framework for more-than-human geopolitical ecology. As such, I draw upon other studies in political ecology and critical geopolitics which theorise the political agencies of material-things </w:t>
      </w:r>
      <w:r>
        <w:rPr>
          <w:rFonts w:cs="Times New Roman"/>
          <w:noProof/>
          <w:sz w:val="22"/>
        </w:rPr>
        <w:lastRenderedPageBreak/>
        <w:t xml:space="preserve">alongside nonhuman animals and human actors. </w:t>
      </w:r>
    </w:p>
    <w:p w14:paraId="06E26E34" w14:textId="67057D54" w:rsidR="001139CD" w:rsidRDefault="00553390" w:rsidP="001139CD">
      <w:pPr>
        <w:widowControl w:val="0"/>
        <w:autoSpaceDE w:val="0"/>
        <w:autoSpaceDN w:val="0"/>
        <w:adjustRightInd w:val="0"/>
        <w:ind w:firstLine="720"/>
        <w:rPr>
          <w:rFonts w:cs="Times New Roman"/>
          <w:noProof/>
          <w:sz w:val="22"/>
        </w:rPr>
      </w:pPr>
      <w:r>
        <w:rPr>
          <w:rFonts w:cs="Times New Roman"/>
          <w:noProof/>
          <w:sz w:val="22"/>
        </w:rPr>
        <w:t>A focus on the political “</w:t>
      </w:r>
      <w:r w:rsidR="001139CD">
        <w:rPr>
          <w:rFonts w:cs="Times New Roman"/>
          <w:noProof/>
          <w:sz w:val="22"/>
        </w:rPr>
        <w:t>propertie</w:t>
      </w:r>
      <w:r>
        <w:rPr>
          <w:rFonts w:cs="Times New Roman"/>
          <w:noProof/>
          <w:sz w:val="22"/>
        </w:rPr>
        <w:t>s, energies, and potentialities”</w:t>
      </w:r>
      <w:r w:rsidR="001139CD">
        <w:rPr>
          <w:rFonts w:cs="Times New Roman"/>
          <w:noProof/>
          <w:sz w:val="22"/>
        </w:rPr>
        <w:t xml:space="preserve"> (Sundberg, 2011: 318) of nonhuman objects and matter has been spearheaded in political ecology by Jane Bennett (2010) through her seminal work: ‘</w:t>
      </w:r>
      <w:r w:rsidR="001139CD" w:rsidRPr="00553390">
        <w:rPr>
          <w:rFonts w:cs="Times New Roman"/>
          <w:i/>
          <w:noProof/>
          <w:sz w:val="22"/>
        </w:rPr>
        <w:t>Vibrant matter: a political ecology of things’</w:t>
      </w:r>
      <w:r w:rsidR="001139CD">
        <w:rPr>
          <w:rFonts w:cs="Times New Roman"/>
          <w:noProof/>
          <w:sz w:val="22"/>
        </w:rPr>
        <w:t>. ‘Matte</w:t>
      </w:r>
      <w:r>
        <w:rPr>
          <w:rFonts w:cs="Times New Roman"/>
          <w:noProof/>
          <w:sz w:val="22"/>
        </w:rPr>
        <w:t>r’ is an overarching term that “</w:t>
      </w:r>
      <w:r w:rsidR="001139CD">
        <w:rPr>
          <w:rFonts w:cs="Times New Roman"/>
          <w:noProof/>
          <w:sz w:val="22"/>
        </w:rPr>
        <w:t>can imply both living substances and nonliving materials, although strict division</w:t>
      </w:r>
      <w:r>
        <w:rPr>
          <w:rFonts w:cs="Times New Roman"/>
          <w:noProof/>
          <w:sz w:val="22"/>
        </w:rPr>
        <w:t xml:space="preserve">s between the two are eschewed” </w:t>
      </w:r>
      <w:r w:rsidR="001139CD">
        <w:rPr>
          <w:rFonts w:cs="Times New Roman"/>
          <w:noProof/>
          <w:sz w:val="22"/>
        </w:rPr>
        <w:t>(Barua, 2014: 1463). At essence Bennett emphasises the vitality of matter, and the</w:t>
      </w:r>
      <w:r>
        <w:rPr>
          <w:rFonts w:cs="Times New Roman"/>
          <w:noProof/>
          <w:sz w:val="22"/>
        </w:rPr>
        <w:t>orises the “</w:t>
      </w:r>
      <w:r w:rsidR="001139CD">
        <w:rPr>
          <w:rFonts w:cs="Times New Roman"/>
          <w:noProof/>
          <w:sz w:val="22"/>
        </w:rPr>
        <w:t>active role of no</w:t>
      </w:r>
      <w:r>
        <w:rPr>
          <w:rFonts w:cs="Times New Roman"/>
          <w:noProof/>
          <w:sz w:val="22"/>
        </w:rPr>
        <w:t>nhuman materials in public life”</w:t>
      </w:r>
      <w:r w:rsidR="001139CD">
        <w:rPr>
          <w:rFonts w:cs="Times New Roman"/>
          <w:noProof/>
          <w:sz w:val="22"/>
        </w:rPr>
        <w:t xml:space="preserve"> (2010:2). She does this by stressing that whilst material-things are acted upon by humans, they also possess a power and independe</w:t>
      </w:r>
      <w:r>
        <w:rPr>
          <w:rFonts w:cs="Times New Roman"/>
          <w:noProof/>
          <w:sz w:val="22"/>
        </w:rPr>
        <w:t>nce from human forces – albeit “</w:t>
      </w:r>
      <w:r w:rsidR="001139CD">
        <w:rPr>
          <w:rFonts w:cs="Times New Roman"/>
          <w:noProof/>
          <w:sz w:val="22"/>
        </w:rPr>
        <w:t>different types and degrees of p</w:t>
      </w:r>
      <w:r>
        <w:rPr>
          <w:rFonts w:cs="Times New Roman"/>
          <w:noProof/>
          <w:sz w:val="22"/>
        </w:rPr>
        <w:t>ower”</w:t>
      </w:r>
      <w:r w:rsidR="001139CD">
        <w:rPr>
          <w:rFonts w:cs="Times New Roman"/>
          <w:noProof/>
          <w:sz w:val="22"/>
        </w:rPr>
        <w:t xml:space="preserve"> (Bennett, 2010: 108). Through this power, material-things influence socio-political outcomes. As such, mat</w:t>
      </w:r>
      <w:r>
        <w:rPr>
          <w:rFonts w:cs="Times New Roman"/>
          <w:noProof/>
          <w:sz w:val="22"/>
        </w:rPr>
        <w:t>erial-things are positioned as “vital players in the world”</w:t>
      </w:r>
      <w:r w:rsidR="001139CD">
        <w:rPr>
          <w:rFonts w:cs="Times New Roman"/>
          <w:noProof/>
          <w:sz w:val="22"/>
        </w:rPr>
        <w:t xml:space="preserve"> (ibid:3). </w:t>
      </w:r>
    </w:p>
    <w:p w14:paraId="37AA6887" w14:textId="21987D96" w:rsidR="001139CD" w:rsidRDefault="001139CD" w:rsidP="001139CD">
      <w:pPr>
        <w:widowControl w:val="0"/>
        <w:autoSpaceDE w:val="0"/>
        <w:autoSpaceDN w:val="0"/>
        <w:adjustRightInd w:val="0"/>
        <w:ind w:firstLine="720"/>
        <w:rPr>
          <w:rFonts w:cs="Times New Roman"/>
          <w:noProof/>
          <w:sz w:val="22"/>
        </w:rPr>
      </w:pPr>
      <w:r>
        <w:rPr>
          <w:rFonts w:cs="Times New Roman"/>
          <w:noProof/>
          <w:sz w:val="22"/>
        </w:rPr>
        <w:t>Bennett’s work has directly influenced Barua’s (2014) investigation into the role alcohol plays in shaping the material politics of human-elephant conflict in Assam, Ind</w:t>
      </w:r>
      <w:r w:rsidR="00553390">
        <w:rPr>
          <w:rFonts w:cs="Times New Roman"/>
          <w:noProof/>
          <w:sz w:val="22"/>
        </w:rPr>
        <w:t>ia. Barua (2014) describes the ‘volatile ecologies’</w:t>
      </w:r>
      <w:r>
        <w:rPr>
          <w:rFonts w:cs="Times New Roman"/>
          <w:noProof/>
          <w:sz w:val="22"/>
        </w:rPr>
        <w:t xml:space="preserve"> of human-elephant conflicts emerging from two distinct forms of alcohol consumption: the consumption of alcohol by humans when trying to guard their crops from elephants at night; and the consumption of alcohol by elephants raiding illicit distilleries. Through this empirical example, B</w:t>
      </w:r>
      <w:r w:rsidR="00553390">
        <w:rPr>
          <w:rFonts w:cs="Times New Roman"/>
          <w:noProof/>
          <w:sz w:val="22"/>
        </w:rPr>
        <w:t>arua demonstrates that alcohol “</w:t>
      </w:r>
      <w:r>
        <w:rPr>
          <w:rFonts w:cs="Times New Roman"/>
          <w:noProof/>
          <w:sz w:val="22"/>
        </w:rPr>
        <w:t>makes its way into political ecologies and its volatile choreographies trouble routine explanations of who or what g</w:t>
      </w:r>
      <w:r w:rsidR="00553390">
        <w:rPr>
          <w:rFonts w:cs="Times New Roman"/>
          <w:noProof/>
          <w:sz w:val="22"/>
        </w:rPr>
        <w:t xml:space="preserve">enerates and mediates conflict” </w:t>
      </w:r>
      <w:r>
        <w:rPr>
          <w:rFonts w:cs="Times New Roman"/>
          <w:noProof/>
          <w:sz w:val="22"/>
        </w:rPr>
        <w:t xml:space="preserve">(2014: 1472). This study points to the micropolitical properties of material-things, whilst situating their political effects within broader macropolitical structures and trajectories. This orientation to the intersections of </w:t>
      </w:r>
      <w:r w:rsidR="003E334A">
        <w:rPr>
          <w:rFonts w:cs="Times New Roman"/>
          <w:noProof/>
          <w:sz w:val="22"/>
        </w:rPr>
        <w:t xml:space="preserve">the </w:t>
      </w:r>
      <w:r>
        <w:rPr>
          <w:rFonts w:cs="Times New Roman"/>
          <w:noProof/>
          <w:sz w:val="22"/>
        </w:rPr>
        <w:t>micropo</w:t>
      </w:r>
      <w:r w:rsidR="003E334A">
        <w:rPr>
          <w:rFonts w:cs="Times New Roman"/>
          <w:noProof/>
          <w:sz w:val="22"/>
        </w:rPr>
        <w:t>litical materialities of things</w:t>
      </w:r>
      <w:r>
        <w:rPr>
          <w:rFonts w:cs="Times New Roman"/>
          <w:noProof/>
          <w:sz w:val="22"/>
        </w:rPr>
        <w:t xml:space="preserve"> with the broader macr</w:t>
      </w:r>
      <w:r w:rsidR="003E334A">
        <w:rPr>
          <w:rFonts w:cs="Times New Roman"/>
          <w:noProof/>
          <w:sz w:val="22"/>
        </w:rPr>
        <w:t>opolitics of human-environment</w:t>
      </w:r>
      <w:r>
        <w:rPr>
          <w:rFonts w:cs="Times New Roman"/>
          <w:noProof/>
          <w:sz w:val="22"/>
        </w:rPr>
        <w:t xml:space="preserve"> relations, is instructive for developing a more-than-human geopolitical ecology which is attuned to the geopolitical potentials of living and nonliving materials</w:t>
      </w:r>
      <w:r w:rsidR="003E334A">
        <w:rPr>
          <w:rFonts w:cs="Times New Roman"/>
          <w:noProof/>
          <w:sz w:val="22"/>
        </w:rPr>
        <w:t>,</w:t>
      </w:r>
      <w:r>
        <w:rPr>
          <w:rFonts w:cs="Times New Roman"/>
          <w:noProof/>
          <w:sz w:val="22"/>
        </w:rPr>
        <w:t xml:space="preserve"> across a multitude of scales. </w:t>
      </w:r>
    </w:p>
    <w:p w14:paraId="1F78E042" w14:textId="369E42B4" w:rsidR="001139CD" w:rsidRDefault="001139CD" w:rsidP="001139CD">
      <w:pPr>
        <w:widowControl w:val="0"/>
        <w:autoSpaceDE w:val="0"/>
        <w:autoSpaceDN w:val="0"/>
        <w:adjustRightInd w:val="0"/>
        <w:ind w:firstLine="720"/>
        <w:rPr>
          <w:rFonts w:cs="Times New Roman"/>
          <w:noProof/>
          <w:sz w:val="22"/>
        </w:rPr>
      </w:pPr>
      <w:r>
        <w:rPr>
          <w:rFonts w:cs="Times New Roman"/>
          <w:noProof/>
          <w:sz w:val="22"/>
        </w:rPr>
        <w:t>Moreover, a select few of the previously aforementioned studies examining the more-than-human dimensions of political ecology, are useful foundations for engaging with material-things as significant actors in the  geopolitics of the environment. For</w:t>
      </w:r>
      <w:r w:rsidR="00553390">
        <w:rPr>
          <w:rFonts w:cs="Times New Roman"/>
          <w:noProof/>
          <w:sz w:val="22"/>
        </w:rPr>
        <w:t xml:space="preserve"> example, Sundberg argues that “</w:t>
      </w:r>
      <w:r>
        <w:rPr>
          <w:rFonts w:cs="Times New Roman"/>
          <w:noProof/>
          <w:sz w:val="22"/>
        </w:rPr>
        <w:t xml:space="preserve">those classified as nonhumans – whether living </w:t>
      </w:r>
      <w:r w:rsidRPr="00DD703C">
        <w:rPr>
          <w:rFonts w:cs="Times New Roman"/>
          <w:noProof/>
          <w:sz w:val="22"/>
        </w:rPr>
        <w:t>or inert</w:t>
      </w:r>
      <w:r>
        <w:rPr>
          <w:rFonts w:cs="Times New Roman"/>
          <w:noProof/>
          <w:sz w:val="22"/>
        </w:rPr>
        <w:t xml:space="preserve"> – cannot be backdrops to (geo)political affairs but are integral to and</w:t>
      </w:r>
      <w:r w:rsidR="00553390">
        <w:rPr>
          <w:rFonts w:cs="Times New Roman"/>
          <w:noProof/>
          <w:sz w:val="22"/>
        </w:rPr>
        <w:t xml:space="preserve"> constitutive of them”</w:t>
      </w:r>
      <w:r>
        <w:rPr>
          <w:rFonts w:cs="Times New Roman"/>
          <w:noProof/>
          <w:sz w:val="22"/>
        </w:rPr>
        <w:t xml:space="preserve"> (2011: 332). As such, S</w:t>
      </w:r>
      <w:r w:rsidR="00553390">
        <w:rPr>
          <w:rFonts w:cs="Times New Roman"/>
          <w:noProof/>
          <w:sz w:val="22"/>
        </w:rPr>
        <w:t>undberg draws attention to the “</w:t>
      </w:r>
      <w:r>
        <w:rPr>
          <w:rFonts w:cs="Times New Roman"/>
          <w:noProof/>
          <w:sz w:val="22"/>
        </w:rPr>
        <w:t>propertie</w:t>
      </w:r>
      <w:r w:rsidR="00553390">
        <w:rPr>
          <w:rFonts w:cs="Times New Roman"/>
          <w:noProof/>
          <w:sz w:val="22"/>
        </w:rPr>
        <w:t>s, energies, and potentialities”</w:t>
      </w:r>
      <w:r>
        <w:rPr>
          <w:rFonts w:cs="Times New Roman"/>
          <w:noProof/>
          <w:sz w:val="22"/>
        </w:rPr>
        <w:t xml:space="preserve"> (ibid: 318) of inert nonhuman materials, objects, and environmental features within desert ecologies; and outlines how these desert materialities co-produce the politics of border enforcement and human and nonhuman migration. Furthermore, Banoub’s (2019) analysis is particular</w:t>
      </w:r>
      <w:r w:rsidR="00553390">
        <w:rPr>
          <w:rFonts w:cs="Times New Roman"/>
          <w:noProof/>
          <w:sz w:val="22"/>
        </w:rPr>
        <w:t>ly</w:t>
      </w:r>
      <w:r>
        <w:rPr>
          <w:rFonts w:cs="Times New Roman"/>
          <w:noProof/>
          <w:sz w:val="22"/>
        </w:rPr>
        <w:t xml:space="preserve"> relevant to my own empirical focus on sturgeon and caviar, as he moves from examining the political agencies of codfish as living beings, to assessing the political potentialities of dead saltfish commodities. Banoub describes how the material properties of dead </w:t>
      </w:r>
      <w:r w:rsidR="003E334A">
        <w:rPr>
          <w:rFonts w:cs="Times New Roman"/>
          <w:noProof/>
          <w:sz w:val="22"/>
        </w:rPr>
        <w:t>salted cod</w:t>
      </w:r>
      <w:r>
        <w:rPr>
          <w:rFonts w:cs="Times New Roman"/>
          <w:noProof/>
          <w:sz w:val="22"/>
        </w:rPr>
        <w:t xml:space="preserve">– namely their high water and low fat content – shaped the global geographies of saltfish </w:t>
      </w:r>
      <w:r>
        <w:rPr>
          <w:rFonts w:cs="Times New Roman"/>
          <w:noProof/>
          <w:sz w:val="22"/>
        </w:rPr>
        <w:lastRenderedPageBreak/>
        <w:t>trade and ultimately the 1894 Newfoundland bank crash. Cod were rendered into semi-preserved saltfish through practices of salting and open-air drying, in an attempt to limit decomposition and extend the temporalities of the saltfish trade. Based upon t</w:t>
      </w:r>
      <w:r w:rsidR="00553390">
        <w:rPr>
          <w:rFonts w:cs="Times New Roman"/>
          <w:noProof/>
          <w:sz w:val="22"/>
        </w:rPr>
        <w:t>his, Banoub argues that “</w:t>
      </w:r>
      <w:r>
        <w:rPr>
          <w:rFonts w:cs="Times New Roman"/>
          <w:noProof/>
          <w:sz w:val="22"/>
        </w:rPr>
        <w:t>cod, once killed and processed into saltfish, are neither inert nor passive. Saltfish is at once a ‘dead’ commodity, a</w:t>
      </w:r>
      <w:r w:rsidR="00553390">
        <w:rPr>
          <w:rFonts w:cs="Times New Roman"/>
          <w:noProof/>
          <w:sz w:val="22"/>
        </w:rPr>
        <w:t>nd a living microbial community”</w:t>
      </w:r>
      <w:r>
        <w:rPr>
          <w:rFonts w:cs="Times New Roman"/>
          <w:noProof/>
          <w:sz w:val="22"/>
        </w:rPr>
        <w:t xml:space="preserve"> (Banoub, 2019: 9). This example is useful for thinking through the political </w:t>
      </w:r>
      <w:r w:rsidR="00553390">
        <w:rPr>
          <w:rFonts w:cs="Times New Roman"/>
          <w:noProof/>
          <w:sz w:val="22"/>
        </w:rPr>
        <w:t>agencies</w:t>
      </w:r>
      <w:r>
        <w:rPr>
          <w:rFonts w:cs="Times New Roman"/>
          <w:noProof/>
          <w:sz w:val="22"/>
        </w:rPr>
        <w:t xml:space="preserve"> of caviar. Caviar appears on the one hand to be an inert, dead commodity; but is simultaneously a ‘lively commodity’ </w:t>
      </w:r>
      <w:r>
        <w:rPr>
          <w:rFonts w:cs="Times New Roman"/>
          <w:noProof/>
          <w:sz w:val="22"/>
        </w:rPr>
        <w:fldChar w:fldCharType="begin" w:fldLock="1"/>
      </w:r>
      <w:r w:rsidR="00EC7F7E">
        <w:rPr>
          <w:rFonts w:cs="Times New Roman"/>
          <w:noProof/>
          <w:sz w:val="22"/>
        </w:rPr>
        <w:instrText>ADDIN CSL_CITATION {"citationItems":[{"id":"ITEM-1","itemData":{"DOI":"10.1068/a45692","ISSN":"0308-518X","author":[{"dropping-particle":"","family":"Collard","given":"Rosemary-Claire","non-dropping-particle":"","parse-names":false,"suffix":""},{"dropping-particle":"","family":"Dempsey","given":"Jessica","non-dropping-particle":"","parse-names":false,"suffix":""}],"container-title":"Environment and Planning A","id":"ITEM-1","issue":"11","issued":{"date-parts":[["2013","11"]]},"page":"2682-2699","title":"Life for Sale? The Politics of Lively Commodities","type":"article-journal","volume":"45"},"uris":["http://www.mendeley.com/documents/?uuid=774487cb-bd21-3c74-a8c0-1837dbb05384"]},{"id":"ITEM-2","itemData":{"DOI":"10.1177/0263775815626420","ISSN":"0263-7758","author":[{"dropping-particle":"","family":"Barua","given":"Maan","non-dropping-particle":"","parse-names":false,"suffix":""}],"container-title":"Environment and Planning D: Society and Space","id":"ITEM-2","issue":"4","issued":{"date-parts":[["2016","8","26"]]},"page":"725-744","title":"Lively commodities and encounter value","type":"article-journal","volume":"34"},"uris":["http://www.mendeley.com/documents/?uuid=7565a9fe-2a9e-31ae-965f-0fc849e5f25f"]}],"mendeley":{"formattedCitation":"(Collard and Dempsey, 2013; Barua, 2016)","plainTextFormattedCitation":"(Collard and Dempsey, 2013; Barua, 2016)","previouslyFormattedCitation":"(Collard and Dempsey, 2013; Barua, 2016)"},"properties":{"noteIndex":0},"schema":"https://github.com/citation-style-language/schema/raw/master/csl-citation.json"}</w:instrText>
      </w:r>
      <w:r>
        <w:rPr>
          <w:rFonts w:cs="Times New Roman"/>
          <w:noProof/>
          <w:sz w:val="22"/>
        </w:rPr>
        <w:fldChar w:fldCharType="separate"/>
      </w:r>
      <w:r w:rsidR="00042533" w:rsidRPr="00042533">
        <w:rPr>
          <w:rFonts w:cs="Times New Roman"/>
          <w:noProof/>
          <w:sz w:val="22"/>
        </w:rPr>
        <w:t>(Collard and Dempsey, 2013; Barua, 2016)</w:t>
      </w:r>
      <w:r>
        <w:rPr>
          <w:rFonts w:cs="Times New Roman"/>
          <w:noProof/>
          <w:sz w:val="22"/>
        </w:rPr>
        <w:fldChar w:fldCharType="end"/>
      </w:r>
      <w:r>
        <w:rPr>
          <w:rFonts w:cs="Times New Roman"/>
          <w:noProof/>
          <w:sz w:val="22"/>
        </w:rPr>
        <w:t xml:space="preserve">, due to the political potentials of its organic properties and material characteristics. </w:t>
      </w:r>
    </w:p>
    <w:p w14:paraId="7B3FF5F3" w14:textId="25737978" w:rsidR="001139CD" w:rsidRDefault="001139CD" w:rsidP="00553390">
      <w:pPr>
        <w:widowControl w:val="0"/>
        <w:autoSpaceDE w:val="0"/>
        <w:autoSpaceDN w:val="0"/>
        <w:adjustRightInd w:val="0"/>
        <w:ind w:firstLine="720"/>
        <w:rPr>
          <w:rFonts w:cs="Times New Roman"/>
          <w:noProof/>
          <w:sz w:val="22"/>
        </w:rPr>
      </w:pPr>
      <w:r>
        <w:rPr>
          <w:rFonts w:cs="Times New Roman"/>
          <w:noProof/>
          <w:sz w:val="22"/>
        </w:rPr>
        <w:t xml:space="preserve">Finally, a key way in which geopolitical scholarship has engaged with materiality and the geopolitics of human-environment intersections, is by examining the materiality of borders, and specifically how nonhuman ‘nature’ and material-things co-produce border space. For example </w:t>
      </w:r>
      <w:r>
        <w:rPr>
          <w:rFonts w:cs="Times New Roman"/>
          <w:noProof/>
          <w:sz w:val="22"/>
        </w:rPr>
        <w:fldChar w:fldCharType="begin" w:fldLock="1"/>
      </w:r>
      <w:r w:rsidR="00EB7906">
        <w:rPr>
          <w:rFonts w:cs="Times New Roman"/>
          <w:noProof/>
          <w:sz w:val="22"/>
        </w:rPr>
        <w:instrText>ADDIN CSL_CITATION {"citationItems":[{"id":"ITEM-1","itemData":{"DOI":"10.1080/14650045.2010.493777","ISSN":"1557-3028","author":[{"dropping-particle":"","family":"Rossiter","given":"David A","non-dropping-particle":"","parse-names":false,"suffix":""}],"container-title":"Geopolitics","id":"ITEM-1","issue":"1","issued":{"date-parts":[["2011"]]},"page":"107-120","title":"Leave the Lemons at Home: Towards a Political Ecology of Border Space","type":"article-journal","volume":"16"},"uris":["http://www.mendeley.com/documents/?uuid=7caf6e1e-92bb-30d9-b103-620c383fba89"]}],"mendeley":{"formattedCitation":"(Rossiter, 2011)","manualFormatting":"Rossiter examines the materiality of lemons in his account of the 'political ecology of borderspace'. He advocates for viewing \"the lemon (or any object) and its materiality as a constitutent of bordering processes and the production of border space\" (2011:111)","plainTextFormattedCitation":"(Rossiter, 2011)","previouslyFormattedCitation":"(Rossiter, 2011)"},"properties":{"noteIndex":0},"schema":"https://github.com/citation-style-language/schema/raw/master/csl-citation.json"}</w:instrText>
      </w:r>
      <w:r>
        <w:rPr>
          <w:rFonts w:cs="Times New Roman"/>
          <w:noProof/>
          <w:sz w:val="22"/>
        </w:rPr>
        <w:fldChar w:fldCharType="separate"/>
      </w:r>
      <w:r>
        <w:rPr>
          <w:rFonts w:cs="Times New Roman"/>
          <w:noProof/>
          <w:sz w:val="22"/>
        </w:rPr>
        <w:t>Rossiter examines the materiality of lemons in his account of the 'political ecology of borderspace'</w:t>
      </w:r>
      <w:r w:rsidR="00553390">
        <w:rPr>
          <w:rFonts w:cs="Times New Roman"/>
          <w:noProof/>
          <w:sz w:val="22"/>
        </w:rPr>
        <w:t>. He advocates for viewing "</w:t>
      </w:r>
      <w:r>
        <w:rPr>
          <w:rFonts w:cs="Times New Roman"/>
          <w:noProof/>
          <w:sz w:val="22"/>
        </w:rPr>
        <w:t xml:space="preserve">the lemon (or </w:t>
      </w:r>
      <w:r w:rsidRPr="009423B0">
        <w:rPr>
          <w:rFonts w:cs="Times New Roman"/>
          <w:i/>
          <w:noProof/>
          <w:sz w:val="22"/>
        </w:rPr>
        <w:t>any</w:t>
      </w:r>
      <w:r>
        <w:rPr>
          <w:rFonts w:cs="Times New Roman"/>
          <w:noProof/>
          <w:sz w:val="22"/>
        </w:rPr>
        <w:t xml:space="preserve"> object) and its materiality as a constitutent of bordering processes and</w:t>
      </w:r>
      <w:r w:rsidR="00553390">
        <w:rPr>
          <w:rFonts w:cs="Times New Roman"/>
          <w:noProof/>
          <w:sz w:val="22"/>
        </w:rPr>
        <w:t xml:space="preserve"> the production of border space"</w:t>
      </w:r>
      <w:r>
        <w:rPr>
          <w:rFonts w:cs="Times New Roman"/>
          <w:noProof/>
          <w:sz w:val="22"/>
        </w:rPr>
        <w:t xml:space="preserve"> (</w:t>
      </w:r>
      <w:r w:rsidRPr="009423B0">
        <w:rPr>
          <w:rFonts w:cs="Times New Roman"/>
          <w:noProof/>
          <w:sz w:val="22"/>
        </w:rPr>
        <w:t>2011</w:t>
      </w:r>
      <w:r>
        <w:rPr>
          <w:rFonts w:cs="Times New Roman"/>
          <w:noProof/>
          <w:sz w:val="22"/>
        </w:rPr>
        <w:t>:111</w:t>
      </w:r>
      <w:r w:rsidRPr="009423B0">
        <w:rPr>
          <w:rFonts w:cs="Times New Roman"/>
          <w:noProof/>
          <w:sz w:val="22"/>
        </w:rPr>
        <w:t>)</w:t>
      </w:r>
      <w:r>
        <w:rPr>
          <w:rFonts w:cs="Times New Roman"/>
          <w:noProof/>
          <w:sz w:val="22"/>
        </w:rPr>
        <w:fldChar w:fldCharType="end"/>
      </w:r>
      <w:r>
        <w:rPr>
          <w:rFonts w:cs="Times New Roman"/>
          <w:noProof/>
          <w:sz w:val="22"/>
        </w:rPr>
        <w:t>. Indeed, Rossiter describes how US and Canadian national security and border control practices have been shaped by concerns about the material capacities of lemons to carry disease</w:t>
      </w:r>
      <w:r w:rsidR="00553390">
        <w:rPr>
          <w:rFonts w:cs="Times New Roman"/>
          <w:noProof/>
          <w:sz w:val="22"/>
        </w:rPr>
        <w:t xml:space="preserve"> such as citrus kanker,</w:t>
      </w:r>
      <w:r>
        <w:rPr>
          <w:rFonts w:cs="Times New Roman"/>
          <w:noProof/>
          <w:sz w:val="22"/>
        </w:rPr>
        <w:t xml:space="preserve"> or harmful </w:t>
      </w:r>
      <w:r w:rsidR="00553390">
        <w:rPr>
          <w:rFonts w:cs="Times New Roman"/>
          <w:noProof/>
          <w:sz w:val="22"/>
        </w:rPr>
        <w:t xml:space="preserve">biological agents, which would impact US crops, economies, and national security. </w:t>
      </w:r>
      <w:r>
        <w:rPr>
          <w:rFonts w:cs="Times New Roman"/>
          <w:noProof/>
          <w:sz w:val="22"/>
        </w:rPr>
        <w:t>Th</w:t>
      </w:r>
      <w:r w:rsidR="00553390">
        <w:rPr>
          <w:rFonts w:cs="Times New Roman"/>
          <w:noProof/>
          <w:sz w:val="22"/>
        </w:rPr>
        <w:t>e fact that lemons are seen as “</w:t>
      </w:r>
      <w:r>
        <w:rPr>
          <w:rFonts w:cs="Times New Roman"/>
          <w:noProof/>
          <w:sz w:val="22"/>
        </w:rPr>
        <w:t>materially capable of being a v</w:t>
      </w:r>
      <w:r w:rsidR="00553390">
        <w:rPr>
          <w:rFonts w:cs="Times New Roman"/>
          <w:noProof/>
          <w:sz w:val="22"/>
        </w:rPr>
        <w:t>ector for other unwanted bodies”</w:t>
      </w:r>
      <w:r>
        <w:rPr>
          <w:rFonts w:cs="Times New Roman"/>
          <w:noProof/>
          <w:sz w:val="22"/>
        </w:rPr>
        <w:t xml:space="preserve"> (ibid: 117), shapes security actions upon nature in ways that fundamentally impact upon human mobilities. Rossiter outlines how a draconian ‘zero tolerance’ approach to lemons passing the border, resulted in a woman being permanently expelled from the NEXUS programme – a Canada/US initiative to facilitate pre-clearance at the border for frequent travellers – for failing to spot a </w:t>
      </w:r>
      <w:r w:rsidR="00553390">
        <w:rPr>
          <w:rFonts w:cs="Times New Roman"/>
          <w:noProof/>
          <w:sz w:val="22"/>
        </w:rPr>
        <w:t xml:space="preserve">misplaced </w:t>
      </w:r>
      <w:r>
        <w:rPr>
          <w:rFonts w:cs="Times New Roman"/>
          <w:noProof/>
          <w:sz w:val="22"/>
        </w:rPr>
        <w:t xml:space="preserve">lemon </w:t>
      </w:r>
      <w:r w:rsidR="00553390">
        <w:rPr>
          <w:rFonts w:cs="Times New Roman"/>
          <w:noProof/>
          <w:sz w:val="22"/>
        </w:rPr>
        <w:t>in her car</w:t>
      </w:r>
      <w:r>
        <w:rPr>
          <w:rFonts w:cs="Times New Roman"/>
          <w:noProof/>
          <w:sz w:val="22"/>
        </w:rPr>
        <w:t xml:space="preserve">. Importantly, Rossiter situates this extreme </w:t>
      </w:r>
      <w:r w:rsidR="00553390">
        <w:rPr>
          <w:rFonts w:cs="Times New Roman"/>
          <w:noProof/>
          <w:sz w:val="22"/>
        </w:rPr>
        <w:t xml:space="preserve">response to the misplaced lemon </w:t>
      </w:r>
      <w:r>
        <w:rPr>
          <w:rFonts w:cs="Times New Roman"/>
          <w:noProof/>
          <w:sz w:val="22"/>
        </w:rPr>
        <w:t xml:space="preserve">as part of the broader post-9/11 </w:t>
      </w:r>
      <w:r w:rsidR="00553390">
        <w:rPr>
          <w:rFonts w:cs="Times New Roman"/>
          <w:noProof/>
          <w:sz w:val="22"/>
        </w:rPr>
        <w:t xml:space="preserve">US/Canadian </w:t>
      </w:r>
      <w:r>
        <w:rPr>
          <w:rFonts w:cs="Times New Roman"/>
          <w:noProof/>
          <w:sz w:val="22"/>
        </w:rPr>
        <w:t xml:space="preserve">political-economy and security structures. </w:t>
      </w:r>
      <w:r w:rsidR="00CC527F">
        <w:rPr>
          <w:rFonts w:cs="Times New Roman"/>
          <w:noProof/>
          <w:sz w:val="22"/>
        </w:rPr>
        <w:t>T</w:t>
      </w:r>
      <w:r>
        <w:rPr>
          <w:rFonts w:cs="Times New Roman"/>
          <w:noProof/>
          <w:sz w:val="22"/>
        </w:rPr>
        <w:t>his example is illuminating of the ways in which the material prop</w:t>
      </w:r>
      <w:r w:rsidR="003E334A">
        <w:rPr>
          <w:rFonts w:cs="Times New Roman"/>
          <w:noProof/>
          <w:sz w:val="22"/>
        </w:rPr>
        <w:t xml:space="preserve">erties of everyday objects and organic </w:t>
      </w:r>
      <w:r>
        <w:rPr>
          <w:rFonts w:cs="Times New Roman"/>
          <w:noProof/>
          <w:sz w:val="22"/>
        </w:rPr>
        <w:t xml:space="preserve">things such as lemons, become unexpectedly embroiled in the extension of securitization and geopolitical processes. Arguably this study represents an example of more-than-human geopolitical ecology given its theoretical and empirical focus, and therefore justifies a need to include a consideration of the political impacts of material-things in my agenda for more-than-human geopolitical ecology.  </w:t>
      </w:r>
    </w:p>
    <w:p w14:paraId="5FCB7166" w14:textId="2422EBF6" w:rsidR="001139CD" w:rsidRDefault="001139CD" w:rsidP="00CC527F">
      <w:pPr>
        <w:widowControl w:val="0"/>
        <w:autoSpaceDE w:val="0"/>
        <w:autoSpaceDN w:val="0"/>
        <w:adjustRightInd w:val="0"/>
        <w:ind w:firstLine="720"/>
        <w:rPr>
          <w:rFonts w:cs="Times New Roman"/>
          <w:noProof/>
          <w:sz w:val="22"/>
        </w:rPr>
      </w:pPr>
      <w:r>
        <w:rPr>
          <w:rFonts w:cs="Times New Roman"/>
          <w:noProof/>
          <w:sz w:val="22"/>
        </w:rPr>
        <w:t xml:space="preserve">In examining the nonhuman materiality of borders, </w:t>
      </w:r>
      <w:r>
        <w:rPr>
          <w:rFonts w:cs="Times New Roman"/>
          <w:noProof/>
          <w:sz w:val="22"/>
        </w:rPr>
        <w:fldChar w:fldCharType="begin" w:fldLock="1"/>
      </w:r>
      <w:r>
        <w:rPr>
          <w:rFonts w:cs="Times New Roman"/>
          <w:noProof/>
          <w:sz w:val="22"/>
        </w:rPr>
        <w:instrText>ADDIN CSL_CITATION {"citationItems":[{"id":"ITEM-1","itemData":{"DOI":"10.1177/1354066117710998","abstract":"This article conceptualizes how infectious microbes create real borders that are not dependent on human meaning making or identity. By territorializing interfaces between contagion and ecology, infectious agents engage in bordering practices by determining where citizens can move around safely, and thereby challenge the bordering practices and biosecurity efforts of nation-states. Based on empirical examples of microbial borders, evidence from the natural sciences, interviews with public health practitioners, and theoretical support from ethnographic encounters with Amazonian ontologies, the conceptualization links the geopolitics of microbial bordering to biodiversity loss and deforestation, and suggests that microbial bordering should prompt acknowledgment of the role humans play in ecological patterns that far exceed human control and meaning making. The concept of microbial borders is relevant to global health and security efforts in general, expands the theoretical agenda for critical border studies, and contributes to the fields of global health security and New Materialism in International Relations by highlighting that international relations include our relations with non-humans, and that how we choose to cohabitate with them has large implications for human security.","author":[{"dropping-particle":"","family":"Plessis","given":"Gitte","non-dropping-particle":"Du","parse-names":false,"suffix":""}],"container-title":"European Journal of International Relations","id":"ITEM-1","issue":"2","issued":{"date-parts":[["2018"]]},"page":"391-413","title":"When pathogens determine the territory: Toward a concept of non-human borders","type":"article-journal","volume":"24"},"uris":["http://www.mendeley.com/documents/?uuid=a39ed2d4-d20a-3b6b-8cf2-0bc58d0261e7"]}],"mendeley":{"formattedCitation":"(Du Plessis, 2018)","manualFormatting":"Du Plessis (2018)","plainTextFormattedCitation":"(Du Plessis, 2018)","previouslyFormattedCitation":"(Du Plessis, 2018)"},"properties":{"noteIndex":0},"schema":"https://github.com/citation-style-language/schema/raw/master/csl-citation.json"}</w:instrText>
      </w:r>
      <w:r>
        <w:rPr>
          <w:rFonts w:cs="Times New Roman"/>
          <w:noProof/>
          <w:sz w:val="22"/>
        </w:rPr>
        <w:fldChar w:fldCharType="separate"/>
      </w:r>
      <w:r>
        <w:rPr>
          <w:rFonts w:cs="Times New Roman"/>
          <w:noProof/>
          <w:sz w:val="22"/>
        </w:rPr>
        <w:t>Du Plessis</w:t>
      </w:r>
      <w:r w:rsidRPr="00A7609E">
        <w:rPr>
          <w:rFonts w:cs="Times New Roman"/>
          <w:noProof/>
          <w:sz w:val="22"/>
        </w:rPr>
        <w:t xml:space="preserve"> </w:t>
      </w:r>
      <w:r>
        <w:rPr>
          <w:rFonts w:cs="Times New Roman"/>
          <w:noProof/>
          <w:sz w:val="22"/>
        </w:rPr>
        <w:t>(</w:t>
      </w:r>
      <w:r w:rsidRPr="00A7609E">
        <w:rPr>
          <w:rFonts w:cs="Times New Roman"/>
          <w:noProof/>
          <w:sz w:val="22"/>
        </w:rPr>
        <w:t>2018)</w:t>
      </w:r>
      <w:r>
        <w:rPr>
          <w:rFonts w:cs="Times New Roman"/>
          <w:noProof/>
          <w:sz w:val="22"/>
        </w:rPr>
        <w:fldChar w:fldCharType="end"/>
      </w:r>
      <w:r>
        <w:rPr>
          <w:rFonts w:cs="Times New Roman"/>
          <w:noProof/>
          <w:sz w:val="22"/>
        </w:rPr>
        <w:t xml:space="preserve"> moves away from studies theorising non-human effects upon borders which have been created by nation-states (Rossiter, 2011; Sundberg, 2011); and instead redirects </w:t>
      </w:r>
      <w:r w:rsidR="00CC527F">
        <w:rPr>
          <w:rFonts w:cs="Times New Roman"/>
          <w:noProof/>
          <w:sz w:val="22"/>
        </w:rPr>
        <w:t>attention towards “</w:t>
      </w:r>
      <w:r>
        <w:rPr>
          <w:rFonts w:cs="Times New Roman"/>
          <w:noProof/>
          <w:sz w:val="22"/>
        </w:rPr>
        <w:t>borders</w:t>
      </w:r>
      <w:r w:rsidR="00CC527F">
        <w:rPr>
          <w:rFonts w:cs="Times New Roman"/>
          <w:noProof/>
          <w:sz w:val="22"/>
        </w:rPr>
        <w:t xml:space="preserve"> that are created by non-humans”</w:t>
      </w:r>
      <w:r>
        <w:rPr>
          <w:rFonts w:cs="Times New Roman"/>
          <w:noProof/>
          <w:sz w:val="22"/>
        </w:rPr>
        <w:t xml:space="preserve"> (2018: 395). Du Plessis theorises the materialities of m</w:t>
      </w:r>
      <w:r w:rsidR="00CC527F">
        <w:rPr>
          <w:rFonts w:cs="Times New Roman"/>
          <w:noProof/>
          <w:sz w:val="22"/>
        </w:rPr>
        <w:t>icrobial borders, arguing that “</w:t>
      </w:r>
      <w:r>
        <w:rPr>
          <w:rFonts w:cs="Times New Roman"/>
          <w:noProof/>
          <w:sz w:val="22"/>
        </w:rPr>
        <w:t>pathogens engage in bordering practic</w:t>
      </w:r>
      <w:r w:rsidR="00CC527F">
        <w:rPr>
          <w:rFonts w:cs="Times New Roman"/>
          <w:noProof/>
          <w:sz w:val="22"/>
        </w:rPr>
        <w:t xml:space="preserve">es that matter to human beings” </w:t>
      </w:r>
      <w:r>
        <w:rPr>
          <w:rFonts w:cs="Times New Roman"/>
          <w:noProof/>
          <w:sz w:val="22"/>
        </w:rPr>
        <w:t>(2018: 392). She demonstrates that some microbial borders are coterm</w:t>
      </w:r>
      <w:r w:rsidR="00CC527F">
        <w:rPr>
          <w:rFonts w:cs="Times New Roman"/>
          <w:noProof/>
          <w:sz w:val="22"/>
        </w:rPr>
        <w:t>inous with nation-state borders.</w:t>
      </w:r>
      <w:r>
        <w:rPr>
          <w:rFonts w:cs="Times New Roman"/>
          <w:noProof/>
          <w:sz w:val="22"/>
        </w:rPr>
        <w:t xml:space="preserve"> </w:t>
      </w:r>
      <w:r w:rsidR="00CC527F">
        <w:rPr>
          <w:rFonts w:cs="Times New Roman"/>
          <w:noProof/>
          <w:sz w:val="22"/>
        </w:rPr>
        <w:t xml:space="preserve">For example, </w:t>
      </w:r>
      <w:r>
        <w:rPr>
          <w:rFonts w:cs="Times New Roman"/>
          <w:noProof/>
          <w:sz w:val="22"/>
        </w:rPr>
        <w:t>the microbial border of Dengue f</w:t>
      </w:r>
      <w:r w:rsidR="00CC527F">
        <w:rPr>
          <w:rFonts w:cs="Times New Roman"/>
          <w:noProof/>
          <w:sz w:val="22"/>
        </w:rPr>
        <w:t>ever between Mexico an</w:t>
      </w:r>
      <w:r w:rsidR="003E334A">
        <w:rPr>
          <w:rFonts w:cs="Times New Roman"/>
          <w:noProof/>
          <w:sz w:val="22"/>
        </w:rPr>
        <w:t xml:space="preserve">d the USA is determined by the “ecological political </w:t>
      </w:r>
      <w:r w:rsidR="003E334A">
        <w:rPr>
          <w:rFonts w:cs="Times New Roman"/>
          <w:noProof/>
          <w:sz w:val="22"/>
        </w:rPr>
        <w:lastRenderedPageBreak/>
        <w:t>economy” (Du Plessis, 2018</w:t>
      </w:r>
      <w:r w:rsidR="00CC527F">
        <w:rPr>
          <w:rFonts w:cs="Times New Roman"/>
          <w:noProof/>
          <w:sz w:val="22"/>
        </w:rPr>
        <w:t>: 397) separating these countries</w:t>
      </w:r>
      <w:r w:rsidR="003E334A">
        <w:rPr>
          <w:rFonts w:cs="Times New Roman"/>
          <w:noProof/>
          <w:sz w:val="22"/>
        </w:rPr>
        <w:t>,</w:t>
      </w:r>
      <w:r w:rsidR="00CC527F">
        <w:rPr>
          <w:rFonts w:cs="Times New Roman"/>
          <w:noProof/>
          <w:sz w:val="22"/>
        </w:rPr>
        <w:t xml:space="preserve"> and where mosquitos and the dengue fever virus proliferates. </w:t>
      </w:r>
      <w:r w:rsidR="003E334A">
        <w:rPr>
          <w:rFonts w:cs="Times New Roman"/>
          <w:noProof/>
          <w:sz w:val="22"/>
        </w:rPr>
        <w:t xml:space="preserve">However </w:t>
      </w:r>
      <w:r>
        <w:rPr>
          <w:rFonts w:cs="Times New Roman"/>
          <w:noProof/>
          <w:sz w:val="22"/>
        </w:rPr>
        <w:t>for the most part</w:t>
      </w:r>
      <w:r w:rsidR="003E334A">
        <w:rPr>
          <w:rFonts w:cs="Times New Roman"/>
          <w:noProof/>
          <w:sz w:val="22"/>
        </w:rPr>
        <w:t>,</w:t>
      </w:r>
      <w:r>
        <w:rPr>
          <w:rFonts w:cs="Times New Roman"/>
          <w:noProof/>
          <w:sz w:val="22"/>
        </w:rPr>
        <w:t xml:space="preserve"> microbial borders exhbit their own materialities. Variably examining the microbial borders of tubercolosis and the z</w:t>
      </w:r>
      <w:r w:rsidR="00CC527F">
        <w:rPr>
          <w:rFonts w:cs="Times New Roman"/>
          <w:noProof/>
          <w:sz w:val="22"/>
        </w:rPr>
        <w:t>ika virus, Du Plessis outlines “</w:t>
      </w:r>
      <w:r>
        <w:rPr>
          <w:rFonts w:cs="Times New Roman"/>
          <w:noProof/>
          <w:sz w:val="22"/>
        </w:rPr>
        <w:t>how pathogens territorialize spaces by taking advantage of ecological factor</w:t>
      </w:r>
      <w:r w:rsidR="00CC527F">
        <w:rPr>
          <w:rFonts w:cs="Times New Roman"/>
          <w:noProof/>
          <w:sz w:val="22"/>
        </w:rPr>
        <w:t>s favouring their proliferation”</w:t>
      </w:r>
      <w:r w:rsidR="003E334A">
        <w:rPr>
          <w:rFonts w:cs="Times New Roman"/>
          <w:noProof/>
          <w:sz w:val="22"/>
        </w:rPr>
        <w:t xml:space="preserve"> (2018</w:t>
      </w:r>
      <w:r>
        <w:rPr>
          <w:rFonts w:cs="Times New Roman"/>
          <w:noProof/>
          <w:sz w:val="22"/>
        </w:rPr>
        <w:t>: 393). This points to the relational politics of microbial borders: factors related to the natural and socio-economic environment coalesce to determine the</w:t>
      </w:r>
      <w:r w:rsidR="00CC527F">
        <w:rPr>
          <w:rFonts w:cs="Times New Roman"/>
          <w:noProof/>
          <w:sz w:val="22"/>
        </w:rPr>
        <w:t xml:space="preserve"> materialities of microbes, as “distinct political actors”</w:t>
      </w:r>
      <w:r>
        <w:rPr>
          <w:rFonts w:cs="Times New Roman"/>
          <w:noProof/>
          <w:sz w:val="22"/>
        </w:rPr>
        <w:t xml:space="preserve"> (ibid: 397). For example, Du P</w:t>
      </w:r>
      <w:r w:rsidR="00CC527F">
        <w:rPr>
          <w:rFonts w:cs="Times New Roman"/>
          <w:noProof/>
          <w:sz w:val="22"/>
        </w:rPr>
        <w:t>lessis positions London as the “</w:t>
      </w:r>
      <w:r>
        <w:rPr>
          <w:rFonts w:cs="Times New Roman"/>
          <w:noProof/>
          <w:sz w:val="22"/>
        </w:rPr>
        <w:t>t</w:t>
      </w:r>
      <w:r w:rsidR="00CC527F">
        <w:rPr>
          <w:rFonts w:cs="Times New Roman"/>
          <w:noProof/>
          <w:sz w:val="22"/>
        </w:rPr>
        <w:t>ubercolosis capital of the West”</w:t>
      </w:r>
      <w:r w:rsidR="003E334A">
        <w:rPr>
          <w:rFonts w:cs="Times New Roman"/>
          <w:noProof/>
          <w:sz w:val="22"/>
        </w:rPr>
        <w:t>, describing how tubercolosis</w:t>
      </w:r>
      <w:r w:rsidR="00CC527F">
        <w:rPr>
          <w:rFonts w:cs="Times New Roman"/>
          <w:noProof/>
          <w:sz w:val="22"/>
        </w:rPr>
        <w:t xml:space="preserve"> “</w:t>
      </w:r>
      <w:r>
        <w:rPr>
          <w:rFonts w:cs="Times New Roman"/>
          <w:noProof/>
          <w:sz w:val="22"/>
        </w:rPr>
        <w:t>takes advantage of the inequality that persists in</w:t>
      </w:r>
      <w:r w:rsidR="00CC527F">
        <w:rPr>
          <w:rFonts w:cs="Times New Roman"/>
          <w:noProof/>
          <w:sz w:val="22"/>
        </w:rPr>
        <w:t xml:space="preserve"> the British postcolonial state”</w:t>
      </w:r>
      <w:r>
        <w:rPr>
          <w:rFonts w:cs="Times New Roman"/>
          <w:noProof/>
          <w:sz w:val="22"/>
        </w:rPr>
        <w:t xml:space="preserve"> (ibid), creating microbial borders around metropolitan centres that are often home to </w:t>
      </w:r>
      <w:r w:rsidR="00CC527F">
        <w:rPr>
          <w:rFonts w:cs="Times New Roman"/>
          <w:noProof/>
          <w:sz w:val="22"/>
        </w:rPr>
        <w:t>migrant</w:t>
      </w:r>
      <w:r>
        <w:rPr>
          <w:rFonts w:cs="Times New Roman"/>
          <w:noProof/>
          <w:sz w:val="22"/>
        </w:rPr>
        <w:t xml:space="preserve"> communities. These microbial borders are manifestations of the material geopolitical-ecologies of disease, pointing to the ways that pathogens as political actors can ‘fractalize’ territorial sovereignty, by producing their own material borders and territories. </w:t>
      </w:r>
    </w:p>
    <w:p w14:paraId="5A6B2C8D" w14:textId="14596E64" w:rsidR="001139CD" w:rsidRDefault="001139CD" w:rsidP="00470B75">
      <w:pPr>
        <w:widowControl w:val="0"/>
        <w:autoSpaceDE w:val="0"/>
        <w:autoSpaceDN w:val="0"/>
        <w:adjustRightInd w:val="0"/>
        <w:ind w:firstLine="720"/>
        <w:rPr>
          <w:rFonts w:cs="Times New Roman"/>
          <w:noProof/>
          <w:sz w:val="22"/>
        </w:rPr>
      </w:pPr>
      <w:r>
        <w:rPr>
          <w:rFonts w:cs="Times New Roman"/>
          <w:noProof/>
          <w:sz w:val="22"/>
        </w:rPr>
        <w:t>In sum, it is essential to engage</w:t>
      </w:r>
      <w:r w:rsidR="00A37A4A">
        <w:rPr>
          <w:rFonts w:cs="Times New Roman"/>
          <w:noProof/>
          <w:sz w:val="22"/>
        </w:rPr>
        <w:t xml:space="preserve"> with both the material properties of living and nonliving beings, and the materialities </w:t>
      </w:r>
      <w:r w:rsidR="003E334A">
        <w:rPr>
          <w:rFonts w:cs="Times New Roman"/>
          <w:noProof/>
          <w:sz w:val="22"/>
        </w:rPr>
        <w:t>generated</w:t>
      </w:r>
      <w:r w:rsidR="00A37A4A">
        <w:rPr>
          <w:rFonts w:cs="Times New Roman"/>
          <w:noProof/>
          <w:sz w:val="22"/>
        </w:rPr>
        <w:t xml:space="preserve"> by</w:t>
      </w:r>
      <w:r w:rsidR="00470B75">
        <w:rPr>
          <w:rFonts w:cs="Times New Roman"/>
          <w:noProof/>
          <w:sz w:val="22"/>
        </w:rPr>
        <w:t xml:space="preserve"> such nonhuman actors</w:t>
      </w:r>
      <w:r w:rsidR="00A37A4A">
        <w:rPr>
          <w:rFonts w:cs="Times New Roman"/>
          <w:noProof/>
          <w:sz w:val="22"/>
        </w:rPr>
        <w:t xml:space="preserve">, in order to </w:t>
      </w:r>
      <w:r w:rsidR="003E334A">
        <w:rPr>
          <w:rFonts w:cs="Times New Roman"/>
          <w:noProof/>
          <w:sz w:val="22"/>
        </w:rPr>
        <w:t xml:space="preserve">produce </w:t>
      </w:r>
      <w:r w:rsidR="00A37A4A">
        <w:rPr>
          <w:rFonts w:cs="Times New Roman"/>
          <w:noProof/>
          <w:sz w:val="22"/>
        </w:rPr>
        <w:t xml:space="preserve">nuanced engagements with more-than-human geopolitical ecologies. </w:t>
      </w:r>
      <w:r>
        <w:rPr>
          <w:rFonts w:cs="Times New Roman"/>
          <w:noProof/>
          <w:sz w:val="22"/>
        </w:rPr>
        <w:t>Both political ecology and critical geopolitics engage with the p</w:t>
      </w:r>
      <w:r w:rsidR="00470B75">
        <w:rPr>
          <w:rFonts w:cs="Times New Roman"/>
          <w:noProof/>
          <w:sz w:val="22"/>
        </w:rPr>
        <w:t xml:space="preserve">olitical potentials and material effects of material (and immaterial) </w:t>
      </w:r>
      <w:r>
        <w:rPr>
          <w:rFonts w:cs="Times New Roman"/>
          <w:noProof/>
          <w:sz w:val="22"/>
        </w:rPr>
        <w:t>things.</w:t>
      </w:r>
      <w:r w:rsidR="00470B75">
        <w:rPr>
          <w:rFonts w:cs="Times New Roman"/>
          <w:noProof/>
          <w:sz w:val="22"/>
        </w:rPr>
        <w:t xml:space="preserve"> </w:t>
      </w:r>
      <w:r>
        <w:rPr>
          <w:rFonts w:cs="Times New Roman"/>
          <w:noProof/>
          <w:sz w:val="22"/>
        </w:rPr>
        <w:t xml:space="preserve">Whilst a key focus across both sub-disciplines has been the more-than-human materiality of borders, Banoub (2019) demonstrates that material-things shape political configurations in broader ways that extend beyond borders, and include complex assemblages of human and nonhuman actors. To this extent, my approach for more-than-human geopolitical ecology builds upon the ways political ecology and critical geopolitics grapple with the political affordances of material-things. </w:t>
      </w:r>
    </w:p>
    <w:p w14:paraId="55038378" w14:textId="77777777" w:rsidR="009C104B" w:rsidRPr="001139CD" w:rsidRDefault="009C104B" w:rsidP="00470B75">
      <w:pPr>
        <w:widowControl w:val="0"/>
        <w:autoSpaceDE w:val="0"/>
        <w:autoSpaceDN w:val="0"/>
        <w:adjustRightInd w:val="0"/>
        <w:ind w:firstLine="720"/>
        <w:rPr>
          <w:rFonts w:cs="Times New Roman"/>
          <w:noProof/>
          <w:sz w:val="22"/>
        </w:rPr>
      </w:pPr>
    </w:p>
    <w:p w14:paraId="5C9900CD" w14:textId="77777777" w:rsidR="001139CD" w:rsidRDefault="001139CD" w:rsidP="001139CD">
      <w:pPr>
        <w:pStyle w:val="Heading2"/>
        <w:rPr>
          <w:noProof/>
        </w:rPr>
      </w:pPr>
      <w:bookmarkStart w:id="24" w:name="_Toc453224197"/>
      <w:r w:rsidRPr="000D1F71">
        <w:rPr>
          <w:noProof/>
        </w:rPr>
        <w:t>2.3 Conclusion: More-than-human geopolitical ecology</w:t>
      </w:r>
      <w:bookmarkEnd w:id="24"/>
    </w:p>
    <w:p w14:paraId="74C0A1AB" w14:textId="3973F50F" w:rsidR="001139CD" w:rsidRDefault="001139CD" w:rsidP="001139CD">
      <w:pPr>
        <w:widowControl w:val="0"/>
        <w:autoSpaceDE w:val="0"/>
        <w:autoSpaceDN w:val="0"/>
        <w:adjustRightInd w:val="0"/>
        <w:rPr>
          <w:rFonts w:cs="Times New Roman"/>
          <w:noProof/>
          <w:sz w:val="22"/>
        </w:rPr>
      </w:pPr>
      <w:r>
        <w:rPr>
          <w:rFonts w:cs="Times New Roman"/>
          <w:noProof/>
          <w:sz w:val="22"/>
        </w:rPr>
        <w:t>In this chapter I have argued for the need to develop more-than-human geopolitical ecology as a theoretical framework. This theoretical framework builds upon approaches in the sub-disciplines of environmental geopolitics and geopolitical ecology. Environmental geopolitics is a strand of critical geopolitics that discursively deconstr</w:t>
      </w:r>
      <w:r w:rsidR="00470B75">
        <w:rPr>
          <w:rFonts w:cs="Times New Roman"/>
          <w:noProof/>
          <w:sz w:val="22"/>
        </w:rPr>
        <w:t>ucts how “</w:t>
      </w:r>
      <w:r>
        <w:rPr>
          <w:rFonts w:cs="Times New Roman"/>
          <w:noProof/>
          <w:sz w:val="22"/>
        </w:rPr>
        <w:t>the environment is brought into narratives, practices, and physical realities of power and place</w:t>
      </w:r>
      <w:r w:rsidR="00470B75">
        <w:rPr>
          <w:rFonts w:cs="Times New Roman"/>
          <w:noProof/>
          <w:sz w:val="22"/>
        </w:rPr>
        <w:t xml:space="preserve">” </w:t>
      </w:r>
      <w:r>
        <w:rPr>
          <w:rFonts w:cs="Times New Roman"/>
          <w:noProof/>
          <w:sz w:val="22"/>
        </w:rPr>
        <w:fldChar w:fldCharType="begin" w:fldLock="1"/>
      </w:r>
      <w:r>
        <w:rPr>
          <w:rFonts w:cs="Times New Roman"/>
          <w:noProof/>
          <w:sz w:val="22"/>
        </w:rPr>
        <w:instrText>ADDIN CSL_CITATION {"citationItems":[{"id":"ITEM-1","itemData":{"ISBN":"1442265817","abstract":" This thought-provoking and clearly argued text provides a critical geopolitical lens for understanding global environment politics. A subfield of political geography, environmental geopolitics examines how environmental themes are used to support geopolitical arguments and physical realities of power and place. Shannon O’Lear considers common, problematic traits of such familiar but widely misunderstood narratives about human-environment relationships. Mainstream themes about human-environment relationships include narratives about presumed connections between human population trends and resource scarcity; ways in which conflict and violence are linked to resource use or environmental degradation; climate security; and the application of science to solve environmental problems. O’Lear questions these narratives, arguing that the role or meaning of the environment is rarely specified, humans’ role in these situations tends to be considered selectively, and little attention is paid to spatial dimensions of human-environment relationships. She shows that how we tend to think about environmental concerns often obscure value judgments and constrain more dynamic approaches to human-environment relationships. Environmental geopolitics demonstrates how we can question familiar assumptions to generate more just and creative approaches to our many relationships with the environment.\r\n","author":[{"dropping-particle":"","family":"O'Lear","given":"Shannon","non-dropping-particle":"","parse-names":false,"suffix":""}],"id":"ITEM-1","issued":{"date-parts":[["2018"]]},"number-of-pages":"216","title":"Environmental Geopolitics","type":"book"},"uris":["http://www.mendeley.com/documents/?uuid=59389a53-42d6-3563-9aec-f89f03ab5871"]}],"mendeley":{"formattedCitation":"(O’Lear, 2018)","manualFormatting":"(O’Lear, 2018: 165)","plainTextFormattedCitation":"(O’Lear, 2018)","previouslyFormattedCitation":"(O’Lear, 2018)"},"properties":{"noteIndex":0},"schema":"https://github.com/citation-style-language/schema/raw/master/csl-citation.json"}</w:instrText>
      </w:r>
      <w:r>
        <w:rPr>
          <w:rFonts w:cs="Times New Roman"/>
          <w:noProof/>
          <w:sz w:val="22"/>
        </w:rPr>
        <w:fldChar w:fldCharType="separate"/>
      </w:r>
      <w:r w:rsidRPr="000451DA">
        <w:rPr>
          <w:rFonts w:cs="Times New Roman"/>
          <w:noProof/>
          <w:sz w:val="22"/>
        </w:rPr>
        <w:t>(O’Lear, 2018</w:t>
      </w:r>
      <w:r>
        <w:rPr>
          <w:rFonts w:cs="Times New Roman"/>
          <w:noProof/>
          <w:sz w:val="22"/>
        </w:rPr>
        <w:t>: 165</w:t>
      </w:r>
      <w:r w:rsidRPr="000451DA">
        <w:rPr>
          <w:rFonts w:cs="Times New Roman"/>
          <w:noProof/>
          <w:sz w:val="22"/>
        </w:rPr>
        <w:t>)</w:t>
      </w:r>
      <w:r>
        <w:rPr>
          <w:rFonts w:cs="Times New Roman"/>
          <w:noProof/>
          <w:sz w:val="22"/>
        </w:rPr>
        <w:fldChar w:fldCharType="end"/>
      </w:r>
      <w:r>
        <w:rPr>
          <w:rFonts w:cs="Times New Roman"/>
          <w:noProof/>
          <w:sz w:val="22"/>
        </w:rPr>
        <w:t>. Geopolitical ecology integrates the strengths of critical geopolitics with those of political ecology, to theorise how l</w:t>
      </w:r>
      <w:r w:rsidR="00470B75">
        <w:rPr>
          <w:rFonts w:cs="Times New Roman"/>
          <w:noProof/>
          <w:sz w:val="22"/>
        </w:rPr>
        <w:t>arge geopolitical institutions “</w:t>
      </w:r>
      <w:r>
        <w:rPr>
          <w:rFonts w:cs="Times New Roman"/>
          <w:noProof/>
          <w:sz w:val="22"/>
        </w:rPr>
        <w:t>emerge as key environmental actors and better understand how such institutions define, control, and manage nature</w:t>
      </w:r>
      <w:r w:rsidR="00470B75">
        <w:rPr>
          <w:rFonts w:cs="Times New Roman"/>
          <w:noProof/>
          <w:sz w:val="22"/>
        </w:rPr>
        <w:t xml:space="preserve">” </w:t>
      </w:r>
      <w:r>
        <w:rPr>
          <w:rFonts w:cs="Times New Roman"/>
          <w:noProof/>
          <w:sz w:val="22"/>
        </w:rPr>
        <w:fldChar w:fldCharType="begin" w:fldLock="1"/>
      </w:r>
      <w:r w:rsidR="00EC7F7E">
        <w:rPr>
          <w:rFonts w:cs="Times New Roman"/>
          <w:noProof/>
          <w:sz w:val="22"/>
        </w:rPr>
        <w:instrText>ADDIN CSL_CITATION {"citationItems":[{"id":"ITEM-1","itemData":{"DOI":"10.1016/J.POLGEO.2017.03.007","ISSN":"0962-6298","abstract":"The United States military is treating climate change as a crucial factor in its preparation for future conflicts. This concern manifests not only in strategic planning and forward-looking documents, but also in building infrastructural capacity and material provision. Yet, the impetus to ‘green’ the military goes beyond the deployment of existing technologies. We examine several facets of the military's role as an environmental actor, particularly through its promotion of the US Navy's ‘Great Green Fleet’ (GGF), which actively supports the development of advanced biofuels by subsidizing their development and facilitating wider marketization. The GGF promises to reduce military reliance on conventional fossil fuels and reconfigure its energy sourcing, thus reducing dependence on imported hydrocarbons; this is with an eye towards ultimately severing the logistical relationship between existing energy infrastructures and the spaces of military intervention. Taking an integrated lens of political ecology and geopolitics - ‘geopolitical ecology’ - we seek to provide an understanding of the production of weaponized nature. We demonstrate that the US military's discursive use of climate change to justify the provision of new military hardware and advanced biofuels promotes a vision of resource conflicts to support the development of technologies to overcome the constraints to delivery of fuel to emergent front lines. We argue that while this may appear to be militarized greenwashing, it signals a shift in the logics and practices of fuel sourcing driven by a dystopian vision of climate change, which the US military played a significant role in creating.","author":[{"dropping-particle":"","family":"Bigger","given":"Patrick","non-dropping-particle":"","parse-names":false,"suffix":""},{"dropping-particle":"","family":"Neimark","given":"Benjamin D.","non-dropping-particle":"","parse-names":false,"suffix":""}],"container-title":"Political Geography","id":"ITEM-1","issued":{"date-parts":[["2017","9","1"]]},"page":"13-22","publisher":"Pergamon","title":"Weaponizing nature: The geopolitical ecology of the US Navy’s biofuel program","type":"article-journal","volume":"60"},"uris":["http://www.mendeley.com/documents/?uuid=284b1a67-7602-3066-a25f-5d25723549cc"]}],"mendeley":{"formattedCitation":"(Bigger and Neimark, 2017)","manualFormatting":"(Bigger and Neimark, 2017: 20)","plainTextFormattedCitation":"(Bigger and Neimark, 2017)","previouslyFormattedCitation":"(Bigger and Neimark, 2017)"},"properties":{"noteIndex":0},"schema":"https://github.com/citation-style-language/schema/raw/master/csl-citation.json"}</w:instrText>
      </w:r>
      <w:r>
        <w:rPr>
          <w:rFonts w:cs="Times New Roman"/>
          <w:noProof/>
          <w:sz w:val="22"/>
        </w:rPr>
        <w:fldChar w:fldCharType="separate"/>
      </w:r>
      <w:r w:rsidRPr="000451DA">
        <w:rPr>
          <w:rFonts w:cs="Times New Roman"/>
          <w:noProof/>
          <w:sz w:val="22"/>
        </w:rPr>
        <w:t>(Bigger and Neimark, 2017</w:t>
      </w:r>
      <w:r>
        <w:rPr>
          <w:rFonts w:cs="Times New Roman"/>
          <w:noProof/>
          <w:sz w:val="22"/>
        </w:rPr>
        <w:t>: 20</w:t>
      </w:r>
      <w:r w:rsidRPr="000451DA">
        <w:rPr>
          <w:rFonts w:cs="Times New Roman"/>
          <w:noProof/>
          <w:sz w:val="22"/>
        </w:rPr>
        <w:t>)</w:t>
      </w:r>
      <w:r>
        <w:rPr>
          <w:rFonts w:cs="Times New Roman"/>
          <w:noProof/>
          <w:sz w:val="22"/>
        </w:rPr>
        <w:fldChar w:fldCharType="end"/>
      </w:r>
      <w:r>
        <w:rPr>
          <w:rFonts w:cs="Times New Roman"/>
          <w:noProof/>
          <w:sz w:val="22"/>
        </w:rPr>
        <w:t xml:space="preserve">. Arguably, geopolitical ecology is influenced by environmental geopolitics as a strand of scholarship in critical geopolitics; but in this chapter I demonstrate that there is scope for more sustained interaction between the two sub-disicplines. By bringing both of these sub-disciplines into dialogue with each other, I illustrate how the theoretical approaches they espouse can be synthesised in order to make sense of various aspects </w:t>
      </w:r>
      <w:r>
        <w:rPr>
          <w:rFonts w:cs="Times New Roman"/>
          <w:noProof/>
          <w:sz w:val="22"/>
        </w:rPr>
        <w:lastRenderedPageBreak/>
        <w:t xml:space="preserve">of the proliferating geopolitics of environmental change. </w:t>
      </w:r>
    </w:p>
    <w:p w14:paraId="1D071E3A" w14:textId="0155BBBC" w:rsidR="001139CD" w:rsidRDefault="001139CD" w:rsidP="001139CD">
      <w:pPr>
        <w:widowControl w:val="0"/>
        <w:autoSpaceDE w:val="0"/>
        <w:autoSpaceDN w:val="0"/>
        <w:adjustRightInd w:val="0"/>
        <w:ind w:firstLine="720"/>
        <w:rPr>
          <w:rFonts w:cs="Times New Roman"/>
          <w:noProof/>
          <w:sz w:val="22"/>
        </w:rPr>
      </w:pPr>
      <w:r>
        <w:rPr>
          <w:rFonts w:cs="Times New Roman"/>
          <w:noProof/>
          <w:sz w:val="22"/>
        </w:rPr>
        <w:t>However, whilst the two sub-disciplines have commonalities and theoretical strengths that I borrow from; ultimately I argue that neither environmental geopolitics nor geopolitical ecology taken alone, or combined, can adequately account for the nuances of my empirical foc</w:t>
      </w:r>
      <w:r w:rsidR="00EC25F1">
        <w:rPr>
          <w:rFonts w:cs="Times New Roman"/>
          <w:noProof/>
          <w:sz w:val="22"/>
        </w:rPr>
        <w:t>us upon the implications</w:t>
      </w:r>
      <w:r>
        <w:rPr>
          <w:rFonts w:cs="Times New Roman"/>
          <w:noProof/>
          <w:sz w:val="22"/>
        </w:rPr>
        <w:t xml:space="preserve"> of regulating (illegal) caviar trade in the EU. This is because the two sub-disciplines to date, have largely overlooked and considerably under-theorised the political role of nonhuman animals and material-things in actively shaping geopolitical-ecological configurations. An exception, is </w:t>
      </w:r>
      <w:r>
        <w:rPr>
          <w:rFonts w:cs="Times New Roman"/>
          <w:noProof/>
          <w:sz w:val="22"/>
        </w:rPr>
        <w:fldChar w:fldCharType="begin" w:fldLock="1"/>
      </w:r>
      <w:r w:rsidR="00EC7F7E">
        <w:rPr>
          <w:rFonts w:cs="Times New Roman"/>
          <w:noProof/>
          <w:sz w:val="22"/>
        </w:rPr>
        <w:instrText>ADDIN CSL_CITATION {"citationItems":[{"id":"ITEM-1","itemData":{"DOI":"10.1108/S2040-726220180000019003","ISSN":"20407270","abstract":"In this chapter, the authors use emerging works on geopolitical ecologies to analyze the relations between tourism and the transboundary haze disaster in northern Thailand. The region’s ‘smoky season’, which occurs between February and April of each year, has become a recurring seasonal haze disaster that is reported to be the combined result of biomass burning and urban air pollution. Drawing on ethnographic research among urban tourism practitioners, as well as a critical discourse analysis of popular and social media reports and commentaries, the authors argue that geopolitical discourses of transboundary haze production are shaped by tourists and the tourism industry in ways that perpetuate inequitably distributed disaster risk. Transboundary haze, the authors further contend, has become an ecological actor that co-produces discourses of escape among mobile tourists and residents. This research contributes to emerging work that conceptualises the geopolitical ecologies of transboundary environmental disasters in relation to tourism mobilities in southeast Asia.","author":[{"dropping-particle":"","family":"Mostafanezhad","given":"Mary","non-dropping-particle":"","parse-names":false,"suffix":""},{"dropping-particle":"","family":"Evrard","given":"Olivier","non-dropping-particle":"","parse-names":false,"suffix":""}],"container-title":"Community, Environment and Disaster Risk Management","id":"ITEM-1","issued":{"date-parts":[["2018"]]},"page":"53-66","title":"Geopolitical ecologies of tourism and the transboundary haze disaster in thailand, laos and myanmar","type":"article-journal","volume":"19"},"uris":["http://www.mendeley.com/documents/?uuid=7d5c13a3-7f67-49c4-a67e-ea944b8e28c4"]}],"mendeley":{"formattedCitation":"(Mostafanezhad and Evrard, 2018)","manualFormatting":"Mostafanezhad and Evrard's (2018)","plainTextFormattedCitation":"(Mostafanezhad and Evrard, 2018)","previouslyFormattedCitation":"(Mostafanezhad and Evrard, 2018)"},"properties":{"noteIndex":0},"schema":"https://github.com/citation-style-language/schema/raw/master/csl-citation.json"}</w:instrText>
      </w:r>
      <w:r>
        <w:rPr>
          <w:rFonts w:cs="Times New Roman"/>
          <w:noProof/>
          <w:sz w:val="22"/>
        </w:rPr>
        <w:fldChar w:fldCharType="separate"/>
      </w:r>
      <w:r>
        <w:rPr>
          <w:rFonts w:cs="Times New Roman"/>
          <w:noProof/>
          <w:sz w:val="22"/>
        </w:rPr>
        <w:t>Mostafanezhad and Evrard's (</w:t>
      </w:r>
      <w:r w:rsidRPr="00D7749A">
        <w:rPr>
          <w:rFonts w:cs="Times New Roman"/>
          <w:noProof/>
          <w:sz w:val="22"/>
        </w:rPr>
        <w:t>2018)</w:t>
      </w:r>
      <w:r>
        <w:rPr>
          <w:rFonts w:cs="Times New Roman"/>
          <w:noProof/>
          <w:sz w:val="22"/>
        </w:rPr>
        <w:fldChar w:fldCharType="end"/>
      </w:r>
      <w:r>
        <w:rPr>
          <w:rFonts w:cs="Times New Roman"/>
          <w:noProof/>
          <w:sz w:val="22"/>
        </w:rPr>
        <w:t xml:space="preserve"> study into the geopolitical ecologies of tourism in Northern Thailand, in which the authors position the transboundary haze as a </w:t>
      </w:r>
      <w:r w:rsidR="00EC25F1">
        <w:rPr>
          <w:rFonts w:cs="Times New Roman"/>
          <w:noProof/>
          <w:sz w:val="22"/>
        </w:rPr>
        <w:t>geo</w:t>
      </w:r>
      <w:r>
        <w:rPr>
          <w:rFonts w:cs="Times New Roman"/>
          <w:noProof/>
          <w:sz w:val="22"/>
        </w:rPr>
        <w:t xml:space="preserve">political actor. But for the most-part, emerging work in environmental geopolitics and geopolitical ecology displays a notable lack of engagement with more-than-human theories and methodologies. This sidelining of the political subjectivities of nonhumans is particularly stark, given the wider adoption of more-than-human theories in both political ecology and critical geopolitics – and arguably the discipline of human geography as a whole; and also because the study of the geopolitics of the environment is by definition </w:t>
      </w:r>
      <w:r w:rsidRPr="00455393">
        <w:rPr>
          <w:rFonts w:cs="Times New Roman"/>
          <w:i/>
          <w:noProof/>
          <w:sz w:val="22"/>
        </w:rPr>
        <w:t>always</w:t>
      </w:r>
      <w:r>
        <w:rPr>
          <w:rFonts w:cs="Times New Roman"/>
          <w:noProof/>
          <w:sz w:val="22"/>
        </w:rPr>
        <w:t xml:space="preserve"> more-than-human. </w:t>
      </w:r>
    </w:p>
    <w:p w14:paraId="351F4959" w14:textId="679606ED" w:rsidR="001139CD" w:rsidRDefault="001139CD" w:rsidP="001139CD">
      <w:pPr>
        <w:widowControl w:val="0"/>
        <w:autoSpaceDE w:val="0"/>
        <w:autoSpaceDN w:val="0"/>
        <w:adjustRightInd w:val="0"/>
        <w:ind w:firstLine="720"/>
        <w:rPr>
          <w:rFonts w:cs="Times New Roman"/>
          <w:noProof/>
          <w:sz w:val="22"/>
        </w:rPr>
      </w:pPr>
      <w:r>
        <w:rPr>
          <w:rFonts w:cs="Times New Roman"/>
          <w:noProof/>
          <w:sz w:val="22"/>
        </w:rPr>
        <w:t>To this extent, I propose a theoretical intervention that can explain the nuanced</w:t>
      </w:r>
      <w:r w:rsidR="00EC25F1">
        <w:rPr>
          <w:rFonts w:cs="Times New Roman"/>
          <w:noProof/>
          <w:sz w:val="22"/>
        </w:rPr>
        <w:t xml:space="preserve"> implications</w:t>
      </w:r>
      <w:r>
        <w:rPr>
          <w:rFonts w:cs="Times New Roman"/>
          <w:noProof/>
          <w:sz w:val="22"/>
        </w:rPr>
        <w:t xml:space="preserve"> of caviar trade regulations in the EU; as well as guide future work on the more-than-human intersections of geopolitics and environmental change more broadly. This theoretical trajectory combines the foundational elements of environmental geopolitics and geopolitical ecology, with aspects of more-than-human scholarship in political ecology and critical geopolitics. In particular I engage with, and build upon, work that theorises the political subjectivities of nonhuman animals, and studies that conceptualise material-things as having vibrant, political energies and potentials. I draw upon more-than-human scholarship to emphasise multi-scalar geopolitical relationships between diverse human and nonhuman actors. This entails examining scales ranging from the molecular to the global, and assessing h</w:t>
      </w:r>
      <w:r w:rsidR="00470B75">
        <w:rPr>
          <w:rFonts w:cs="Times New Roman"/>
          <w:noProof/>
          <w:sz w:val="22"/>
        </w:rPr>
        <w:t>ow humans and nonhumans alike, “</w:t>
      </w:r>
      <w:r>
        <w:rPr>
          <w:rFonts w:cs="Times New Roman"/>
          <w:noProof/>
          <w:sz w:val="22"/>
        </w:rPr>
        <w:t>behave and misbehave in ecologie</w:t>
      </w:r>
      <w:r w:rsidR="00470B75">
        <w:rPr>
          <w:rFonts w:cs="Times New Roman"/>
          <w:noProof/>
          <w:sz w:val="22"/>
        </w:rPr>
        <w:t>s that are explicitly political”</w:t>
      </w:r>
      <w:r>
        <w:rPr>
          <w:rFonts w:cs="Times New Roman"/>
          <w:noProof/>
          <w:sz w:val="22"/>
        </w:rPr>
        <w:t xml:space="preserve"> </w:t>
      </w:r>
      <w:r>
        <w:rPr>
          <w:rFonts w:cs="Times New Roman"/>
          <w:noProof/>
          <w:sz w:val="22"/>
        </w:rPr>
        <w:fldChar w:fldCharType="begin" w:fldLock="1"/>
      </w:r>
      <w:r w:rsidR="00EC7F7E">
        <w:rPr>
          <w:rFonts w:cs="Times New Roman"/>
          <w:noProof/>
          <w:sz w:val="22"/>
        </w:rPr>
        <w:instrText>ADDIN CSL_CITATION {"citationItems":[{"id":"ITEM-1","itemData":{"DOI":"10.1016/j.geoforum.2018.03.017","ISSN":"00167185","abstract":"This critical review aims to facilitate explicit, ongoing consideration for how post-human geographies and political ecology stand to benefit one another empirically and theoretically. In it, we argue that post-human political ecologies are well-equipped to ensure that the broader post-human turn in geographical thought engages critically with the roles that humans and non-humans play in enactments of injustice – both as subjects of (in)justice and as beings whose actions have justice implications for myriad forms of life. By engaging with empirics drawn from research on tiger conservation in India, we deploy myth as a conceptual tool and as an heuristic device to illustrate how post-human political ecologies might further engage with the politics and power asymmetries embedded in conservation science and practice. To conclude, this critical review summarizes the merits of bringing the ‘cutting edge’ of post-human geographical literature into dialogue with the traditional concerns of political ecology and recaps the potential power that myth retains as an analytic in post-human political ecologies.","author":[{"dropping-particle":"","family":"Margulies","given":"Jared D.","non-dropping-particle":"","parse-names":false,"suffix":""},{"dropping-particle":"","family":"Bersaglio","given":"Brock","non-dropping-particle":"","parse-names":false,"suffix":""}],"container-title":"Geoforum","id":"ITEM-1","issue":"December 2017","issued":{"date-parts":[["2018"]]},"page":"103-106","publisher":"Elsevier","title":"Furthering post-human political ecologies","type":"article-journal","volume":"94"},"uris":["http://www.mendeley.com/documents/?uuid=3c9ea23f-d0b0-4634-bcfb-ec811fea3897"]}],"mendeley":{"formattedCitation":"(Margulies and Bersaglio, 2018)","manualFormatting":"(Margulies and Bersaglio, 2018: 104)","plainTextFormattedCitation":"(Margulies and Bersaglio, 2018)","previouslyFormattedCitation":"(Margulies and Bersaglio, 2018)"},"properties":{"noteIndex":0},"schema":"https://github.com/citation-style-language/schema/raw/master/csl-citation.json"}</w:instrText>
      </w:r>
      <w:r>
        <w:rPr>
          <w:rFonts w:cs="Times New Roman"/>
          <w:noProof/>
          <w:sz w:val="22"/>
        </w:rPr>
        <w:fldChar w:fldCharType="separate"/>
      </w:r>
      <w:r w:rsidRPr="00EE0BF0">
        <w:rPr>
          <w:rFonts w:cs="Times New Roman"/>
          <w:noProof/>
          <w:sz w:val="22"/>
        </w:rPr>
        <w:t>(Margulies and Bersaglio, 2018</w:t>
      </w:r>
      <w:r>
        <w:rPr>
          <w:rFonts w:cs="Times New Roman"/>
          <w:noProof/>
          <w:sz w:val="22"/>
        </w:rPr>
        <w:t>: 104</w:t>
      </w:r>
      <w:r w:rsidRPr="00EE0BF0">
        <w:rPr>
          <w:rFonts w:cs="Times New Roman"/>
          <w:noProof/>
          <w:sz w:val="22"/>
        </w:rPr>
        <w:t>)</w:t>
      </w:r>
      <w:r>
        <w:rPr>
          <w:rFonts w:cs="Times New Roman"/>
          <w:noProof/>
          <w:sz w:val="22"/>
        </w:rPr>
        <w:fldChar w:fldCharType="end"/>
      </w:r>
      <w:r>
        <w:rPr>
          <w:rFonts w:cs="Times New Roman"/>
          <w:noProof/>
          <w:sz w:val="22"/>
        </w:rPr>
        <w:t xml:space="preserve">. In sum, more-than-human geopolitical ecology is a theoretical approach designed to foreground and analyse the role of diverse nonhuman actors in co-producing the geopolitics of environmental change. Importantly, this theoretical approach does not privilege nonhuman actors, but situates them within the unique assemblage of forces – both human and nonhuman – which shape geopolitical-ecological configurations. </w:t>
      </w:r>
    </w:p>
    <w:p w14:paraId="0C4DB09B" w14:textId="32981504" w:rsidR="001139CD" w:rsidRDefault="001139CD" w:rsidP="001139CD">
      <w:pPr>
        <w:widowControl w:val="0"/>
        <w:autoSpaceDE w:val="0"/>
        <w:autoSpaceDN w:val="0"/>
        <w:adjustRightInd w:val="0"/>
        <w:ind w:firstLine="720"/>
        <w:rPr>
          <w:rFonts w:cs="Times New Roman"/>
          <w:noProof/>
          <w:sz w:val="22"/>
        </w:rPr>
      </w:pPr>
      <w:r>
        <w:rPr>
          <w:rFonts w:cs="Times New Roman"/>
          <w:noProof/>
          <w:sz w:val="22"/>
        </w:rPr>
        <w:t xml:space="preserve">Thus, my theoretical framework for more-than-human geopolitical ecology crystallises around the following five analytical concerns. First, I reiterate my ontological commitment to engaging with nonhumans such as sturgeon and caviar, as geopolitical actors with the capacity to influence geopolitical-ecological realities. The integration of more-than-human ontologies is built upon the second aspect of my theoretical framework, which centres around how ‘ecology’ is </w:t>
      </w:r>
      <w:r>
        <w:rPr>
          <w:rFonts w:cs="Times New Roman"/>
          <w:noProof/>
          <w:sz w:val="22"/>
        </w:rPr>
        <w:lastRenderedPageBreak/>
        <w:t xml:space="preserve">conceptualised in accounts of geopolitics of the environment. Drawing on approaches in geopolitical ecology, I understand ecology to refer to both how threats posed </w:t>
      </w:r>
      <w:r w:rsidRPr="009A4350">
        <w:rPr>
          <w:rFonts w:cs="Times New Roman"/>
          <w:i/>
          <w:noProof/>
          <w:sz w:val="22"/>
        </w:rPr>
        <w:t>to</w:t>
      </w:r>
      <w:r>
        <w:rPr>
          <w:rFonts w:cs="Times New Roman"/>
          <w:noProof/>
          <w:sz w:val="22"/>
        </w:rPr>
        <w:t xml:space="preserve"> nature, and </w:t>
      </w:r>
      <w:r w:rsidRPr="009A4350">
        <w:rPr>
          <w:rFonts w:cs="Times New Roman"/>
          <w:i/>
          <w:noProof/>
          <w:sz w:val="22"/>
        </w:rPr>
        <w:t>by</w:t>
      </w:r>
      <w:r>
        <w:rPr>
          <w:rFonts w:cs="Times New Roman"/>
          <w:noProof/>
          <w:sz w:val="22"/>
        </w:rPr>
        <w:t xml:space="preserve"> natural phenomenon, shape </w:t>
      </w:r>
      <w:r w:rsidR="00470B75">
        <w:rPr>
          <w:rFonts w:cs="Times New Roman"/>
          <w:noProof/>
          <w:sz w:val="22"/>
        </w:rPr>
        <w:t>international relations</w:t>
      </w:r>
      <w:r>
        <w:rPr>
          <w:rFonts w:cs="Times New Roman"/>
          <w:noProof/>
          <w:sz w:val="22"/>
        </w:rPr>
        <w:t>; and also how geopolitical interventions have material implications for nature. Importantly, through this conceptualisation of ecology, I emphasise how nonhuman nature is not merely an object tha</w:t>
      </w:r>
      <w:r w:rsidR="00470B75">
        <w:rPr>
          <w:rFonts w:cs="Times New Roman"/>
          <w:noProof/>
          <w:sz w:val="22"/>
        </w:rPr>
        <w:t xml:space="preserve">t is subjected to human forces, </w:t>
      </w:r>
      <w:r>
        <w:rPr>
          <w:rFonts w:cs="Times New Roman"/>
          <w:noProof/>
          <w:sz w:val="22"/>
        </w:rPr>
        <w:t xml:space="preserve">but that ecology/ecologies can respond to, and even disrupt geopolitical interventions. The third aspect of my theoretical framework emphasises the need to deconstruct the discourses which shape and solidify environmental features or phenomena as geopolitical issues. Using O’Lear’s (2018) conceptualisation of discourse as narrative, materiality, embodiment, and practice; I argue that it is necessary to pay attention to how nonhuman actors operate in ways that reinforce, disrupt, or outright challenge the discourses of environmental geopolitics. Following this, the fourth dimension of my theoretical framework asks in line with O’Lear (2018) how discourses of environmental geopolitics are stabilised using science, and/or concerns about risk and security. From a more-than-human perspective, this requires analysing how nonhuman actors are variably brought into, or marginalised by efforts to stabilise particular discourses. I ask how paying attention to nonhuman actors might open new avenues for discourse stabilisation, such as thinking about how nonhuman animals are increasingly brought under the remit of security; or alternatively, considering how nonhuman actors can unsettle efforts to stabilise discourse through science, risk, and security. Finally, the fifth aspect of my theoretical framework mobilises geopolitical ecology’s concern around assessing the inequalities that emerge from geopolitical interventions in nature. I assess how the discourses surrounding the geopolitics of environmental change produce unequal socio-economic and environmental impacts for both humans and nonhumans alike. </w:t>
      </w:r>
    </w:p>
    <w:p w14:paraId="59DF297B" w14:textId="7F37A794" w:rsidR="00CF44D0" w:rsidRDefault="001139CD" w:rsidP="00470B75">
      <w:pPr>
        <w:widowControl w:val="0"/>
        <w:autoSpaceDE w:val="0"/>
        <w:autoSpaceDN w:val="0"/>
        <w:adjustRightInd w:val="0"/>
        <w:ind w:firstLine="480"/>
        <w:rPr>
          <w:rFonts w:cs="Times New Roman"/>
          <w:noProof/>
          <w:sz w:val="22"/>
        </w:rPr>
      </w:pPr>
      <w:r>
        <w:rPr>
          <w:rFonts w:cs="Times New Roman"/>
          <w:noProof/>
          <w:sz w:val="22"/>
        </w:rPr>
        <w:t xml:space="preserve">In terms of operationalising my theoretical framework for more-than-human geopolitical ecology, </w:t>
      </w:r>
      <w:r>
        <w:rPr>
          <w:rFonts w:cs="Times New Roman"/>
          <w:noProof/>
          <w:sz w:val="22"/>
        </w:rPr>
        <w:fldChar w:fldCharType="begin" w:fldLock="1"/>
      </w:r>
      <w:r w:rsidR="00EB7906">
        <w:rPr>
          <w:rFonts w:cs="Times New Roman"/>
          <w:noProof/>
          <w:sz w:val="22"/>
        </w:rPr>
        <w:instrText>ADDIN CSL_CITATION {"citationItems":[{"id":"ITEM-1","itemData":{"author":[{"dropping-particle":"","family":"Massé","given":"Francis;","non-dropping-particle":"","parse-names":false,"suffix":""},{"dropping-particle":"","family":"Margulies","given":"Jared D.","non-dropping-particle":"","parse-names":false,"suffix":""}],"id":"ITEM-1","issued":{"date-parts":[["2020"]]},"page":"1-55","title":"---Secretary of State Hillary Clinton, Remarks at the Partnership Meeting on Wildlife Trafficking, 08/11/2012 1.","type":"article-journal"},"uris":["http://www.mendeley.com/documents/?uuid=76723a76-0b90-4a52-b43d-d54ce134bf3a"]}],"mendeley":{"formattedCitation":"(Francis; Massé and Margulies, 2020)","manualFormatting":"Massé and Margulies","plainTextFormattedCitation":"(Francis; Massé and Margulies, 2020)","previouslyFormattedCitation":"(Francis; Massé and Margulies, 2020)"},"properties":{"noteIndex":0},"schema":"https://github.com/citation-style-language/schema/raw/master/csl-citation.json"}</w:instrText>
      </w:r>
      <w:r>
        <w:rPr>
          <w:rFonts w:cs="Times New Roman"/>
          <w:noProof/>
          <w:sz w:val="22"/>
        </w:rPr>
        <w:fldChar w:fldCharType="separate"/>
      </w:r>
      <w:r>
        <w:rPr>
          <w:rFonts w:cs="Times New Roman"/>
          <w:noProof/>
          <w:sz w:val="22"/>
        </w:rPr>
        <w:t>Massé and Margulies</w:t>
      </w:r>
      <w:r>
        <w:rPr>
          <w:rFonts w:cs="Times New Roman"/>
          <w:noProof/>
          <w:sz w:val="22"/>
        </w:rPr>
        <w:fldChar w:fldCharType="end"/>
      </w:r>
      <w:r>
        <w:rPr>
          <w:rFonts w:cs="Times New Roman"/>
          <w:noProof/>
          <w:sz w:val="22"/>
        </w:rPr>
        <w:t xml:space="preserve"> suggest that geopolitical ecology research offers me</w:t>
      </w:r>
      <w:r w:rsidR="00470B75">
        <w:rPr>
          <w:rFonts w:cs="Times New Roman"/>
          <w:noProof/>
          <w:sz w:val="22"/>
        </w:rPr>
        <w:t>thodological opportunities for “</w:t>
      </w:r>
      <w:r>
        <w:rPr>
          <w:rFonts w:cs="Times New Roman"/>
          <w:noProof/>
          <w:sz w:val="22"/>
        </w:rPr>
        <w:t>tracing the entwined flows of financing and political intent in</w:t>
      </w:r>
      <w:r w:rsidR="00470B75">
        <w:rPr>
          <w:rFonts w:cs="Times New Roman"/>
          <w:noProof/>
          <w:sz w:val="22"/>
        </w:rPr>
        <w:t xml:space="preserve"> producing environmental change” (2020: 13)</w:t>
      </w:r>
      <w:r>
        <w:rPr>
          <w:rFonts w:cs="Times New Roman"/>
          <w:noProof/>
          <w:sz w:val="22"/>
        </w:rPr>
        <w:t xml:space="preserve">; and suggest one such method could be tracing discourse through ‘follow the policy’ methods. Indeed, I explain in the following chapter, how I conducted more-than-human geopolitical ecology research, by developing a follow-the-policy methodology. This method enables me to trace the myriad geopolitical-ecological impacts arising from the creation and transposition of caviar trade regulations within the European Union. </w:t>
      </w:r>
    </w:p>
    <w:p w14:paraId="2A62DB73" w14:textId="77777777" w:rsidR="00460259" w:rsidRPr="000E3A4A" w:rsidRDefault="00460259" w:rsidP="00460259">
      <w:pPr>
        <w:pStyle w:val="Heading1"/>
      </w:pPr>
      <w:bookmarkStart w:id="25" w:name="_Toc453224198"/>
      <w:r w:rsidRPr="000E3A4A">
        <w:lastRenderedPageBreak/>
        <w:t>Chapter 3: Methodology</w:t>
      </w:r>
      <w:bookmarkEnd w:id="25"/>
    </w:p>
    <w:p w14:paraId="2D8986B9" w14:textId="77777777" w:rsidR="00460259" w:rsidRPr="000E3A4A" w:rsidRDefault="00460259" w:rsidP="00460259">
      <w:pPr>
        <w:pStyle w:val="Heading2"/>
      </w:pPr>
      <w:bookmarkStart w:id="26" w:name="_Toc453224199"/>
      <w:r w:rsidRPr="000E3A4A">
        <w:t>3.0 Introduction</w:t>
      </w:r>
      <w:bookmarkEnd w:id="26"/>
      <w:r w:rsidRPr="000E3A4A">
        <w:t xml:space="preserve"> </w:t>
      </w:r>
    </w:p>
    <w:p w14:paraId="100226AD" w14:textId="1742A4EF" w:rsidR="00460259" w:rsidRPr="000E3A4A" w:rsidRDefault="00460259" w:rsidP="00460259">
      <w:pPr>
        <w:rPr>
          <w:rFonts w:cs="Times New Roman"/>
          <w:sz w:val="22"/>
        </w:rPr>
      </w:pPr>
      <w:r w:rsidRPr="000E3A4A">
        <w:rPr>
          <w:rFonts w:cs="Times New Roman"/>
          <w:sz w:val="22"/>
        </w:rPr>
        <w:t xml:space="preserve">This chapter outlines how I conducted more-than-human geopolitical ecology research. My methodology is grounded in the qualitative research tradition, taking influence from approaches in critical social sciences and </w:t>
      </w:r>
      <w:r w:rsidR="003F1A77">
        <w:rPr>
          <w:rFonts w:cs="Times New Roman"/>
          <w:sz w:val="22"/>
        </w:rPr>
        <w:t xml:space="preserve">human geography in particular. </w:t>
      </w:r>
      <w:r w:rsidRPr="000E3A4A">
        <w:rPr>
          <w:rFonts w:cs="Times New Roman"/>
          <w:sz w:val="22"/>
        </w:rPr>
        <w:t xml:space="preserve">I understand methodology to involve a consideration of not only the specific methods that are deployed in the research process; but also to entail paying careful attention to the personal reflections and experiences of the researcher, broader methodological debates, and the process of reasoning that informs how research questions are produced and how researchers go about attempting to answer them </w:t>
      </w:r>
      <w:r w:rsidRPr="000E3A4A">
        <w:rPr>
          <w:rFonts w:cs="Times New Roman"/>
          <w:sz w:val="22"/>
        </w:rPr>
        <w:fldChar w:fldCharType="begin" w:fldLock="1"/>
      </w:r>
      <w:r w:rsidR="00EC7F7E">
        <w:rPr>
          <w:rFonts w:cs="Times New Roman"/>
          <w:sz w:val="22"/>
        </w:rPr>
        <w:instrText>ADDIN CSL_CITATION {"citationItems":[{"id":"ITEM-1","itemData":{"DOI":"10.4135/9781446221235","ISBN":"9781446221235","abstract":"Practising Human Geography is critical introduction to disciplinary debates about the practice of human geography, that is informed by an inquiry into how geographers actually do research. In examining those methods and practices that are integral to doing geography, the text presents a theoretically-informed reflection on the construction and interpretation of geographical data - including factual and \"fictional\" sources; the use of core research methodologies; and the interpretative role of the researcher. Framed by an historical overview how ideas of practising human geography have changed, the following three sections offer an comprehensive and integrated overview of research methodologies. Illustrated throughout.","author":[{"dropping-particle":"","family":"Cloke","given":"Paul J.","non-dropping-particle":"","parse-names":false,"suffix":""},{"dropping-particle":"","family":"Cook","given":"Ian","non-dropping-particle":"","parse-names":false,"suffix":""},{"dropping-particle":"","family":"Crang","given":"Philip","non-dropping-particle":"","parse-names":false,"suffix":""},{"dropping-particle":"","family":"Goodwin","given":"Mark A.","non-dropping-particle":"","parse-names":false,"suffix":""},{"dropping-particle":"","family":"Painter","given":"Joe","non-dropping-particle":"","parse-names":false,"suffix":""},{"dropping-particle":"","family":"Philo","given":"Christopher Philo","non-dropping-particle":"","parse-names":false,"suffix":""}],"container-title":"Practising Human Geography","id":"ITEM-1","issued":{"date-parts":[["2004"]]},"number-of-pages":"1-416","title":"Practising human geography","type":"book"},"uris":["http://www.mendeley.com/documents/?uuid=66236910-6a3c-3710-96cd-a2c9b49c1c52"]}],"mendeley":{"formattedCitation":"(Cloke &lt;i&gt;et al.&lt;/i&gt;, 2004)","manualFormatting":"(Cloke et al., 2004:5)","plainTextFormattedCitation":"(Cloke et al., 2004)","previouslyFormattedCitation":"(Cloke &lt;i&gt;et al.&lt;/i&gt;, 2004)"},"properties":{"noteIndex":0},"schema":"https://github.com/citation-style-language/schema/raw/master/csl-citation.json"}</w:instrText>
      </w:r>
      <w:r w:rsidRPr="000E3A4A">
        <w:rPr>
          <w:rFonts w:cs="Times New Roman"/>
          <w:sz w:val="22"/>
        </w:rPr>
        <w:fldChar w:fldCharType="separate"/>
      </w:r>
      <w:r w:rsidRPr="000E3A4A">
        <w:rPr>
          <w:rFonts w:cs="Times New Roman"/>
          <w:noProof/>
          <w:sz w:val="22"/>
        </w:rPr>
        <w:t xml:space="preserve">(Cloke </w:t>
      </w:r>
      <w:r w:rsidRPr="000E3A4A">
        <w:rPr>
          <w:rFonts w:cs="Times New Roman"/>
          <w:i/>
          <w:noProof/>
          <w:sz w:val="22"/>
        </w:rPr>
        <w:t>et al.</w:t>
      </w:r>
      <w:r w:rsidRPr="000E3A4A">
        <w:rPr>
          <w:rFonts w:cs="Times New Roman"/>
          <w:noProof/>
          <w:sz w:val="22"/>
        </w:rPr>
        <w:t>, 2004:5)</w:t>
      </w:r>
      <w:r w:rsidRPr="000E3A4A">
        <w:rPr>
          <w:rFonts w:cs="Times New Roman"/>
          <w:sz w:val="22"/>
        </w:rPr>
        <w:fldChar w:fldCharType="end"/>
      </w:r>
      <w:r w:rsidRPr="000E3A4A">
        <w:rPr>
          <w:rFonts w:cs="Times New Roman"/>
          <w:sz w:val="22"/>
        </w:rPr>
        <w:t xml:space="preserve">. In what follows, I outline my methodological trajectory, detailing the qualitative research methods I used and also reflecting on how the methodological decisions I made relate to and inform the theoretical framework of this thesis. </w:t>
      </w:r>
    </w:p>
    <w:p w14:paraId="3D92688E" w14:textId="67F60930" w:rsidR="00460259" w:rsidRPr="000E3A4A" w:rsidRDefault="00460259" w:rsidP="00460259">
      <w:pPr>
        <w:rPr>
          <w:rFonts w:cs="Times New Roman"/>
          <w:sz w:val="22"/>
        </w:rPr>
      </w:pPr>
      <w:r w:rsidRPr="000E3A4A">
        <w:rPr>
          <w:rFonts w:cs="Times New Roman"/>
          <w:sz w:val="22"/>
        </w:rPr>
        <w:tab/>
        <w:t xml:space="preserve">There exists no blueprint for how to </w:t>
      </w:r>
      <w:r w:rsidRPr="000E3A4A">
        <w:rPr>
          <w:rFonts w:cs="Times New Roman"/>
          <w:i/>
          <w:sz w:val="22"/>
        </w:rPr>
        <w:t>do</w:t>
      </w:r>
      <w:r w:rsidR="003F1A77">
        <w:rPr>
          <w:rFonts w:cs="Times New Roman"/>
          <w:sz w:val="22"/>
        </w:rPr>
        <w:t xml:space="preserve"> research that espouses a geopolitical ecology</w:t>
      </w:r>
      <w:r w:rsidRPr="000E3A4A">
        <w:rPr>
          <w:rFonts w:cs="Times New Roman"/>
          <w:sz w:val="22"/>
        </w:rPr>
        <w:t xml:space="preserve"> theoretical framework; and there is certainly no methodological blueprint for research that theoretically combines geopolitical ecology with more-than-human approaches. I therefore respond to the push in human geography to experiment methodologically </w:t>
      </w:r>
      <w:r w:rsidRPr="000E3A4A">
        <w:rPr>
          <w:rFonts w:cs="Times New Roman"/>
          <w:sz w:val="22"/>
        </w:rPr>
        <w:fldChar w:fldCharType="begin" w:fldLock="1"/>
      </w:r>
      <w:r w:rsidR="00EC7F7E">
        <w:rPr>
          <w:rFonts w:cs="Times New Roman"/>
          <w:sz w:val="22"/>
        </w:rPr>
        <w:instrText>ADDIN CSL_CITATION {"citationItems":[{"id":"ITEM-1","itemData":{"DOI":"10.1177/0309132516664439","ISSN":"03091325","abstract":"© 2016, © The Author(s) 2016. Various identified ‘turns’ in human geography, such as relational, non-representational, material and performative, urge and enable geographers to rethink complex people-nature relationships as contingent and layered processes, and the world as projects of human and more-than-human inhabitation. This shift challenges researchers to do geography differently, or in other words, invites alterations in thinking and methods. This progress report focuses on how qualitative researchers in human geography are grappling with the challenge of more-than-human research methodologies. We chart analyses of more-than-human worlds that are reliant on conventional methodological approaches, as well as more innovative methodological approaches which extend more-than-human understandings whilst recognizing their own limits. The report finally considers a small but growing body of work that takes an additional methodological step in developing human–more-than-human collaborative research relationships that are actively engaging with power relationships by reconsidering the author-ity of their research. We conclude that although the more-than-human ‘turn’ is being thoroughly debated and engaged with in theory, the implications of this have not carried through to the same extent in terms of praxis.","author":[{"dropping-particle":"","family":"Dowling","given":"Robyn","non-dropping-particle":"","parse-names":false,"suffix":""},{"dropping-particle":"","family":"Lloyd","given":"Kate","non-dropping-particle":"","parse-names":false,"suffix":""},{"dropping-particle":"","family":"Suchet-Pearson","given":"Sandra","non-dropping-particle":"","parse-names":false,"suffix":""}],"container-title":"Progress in Human Geography","id":"ITEM-1","issue":"6","issued":{"date-parts":[["2017"]]},"page":"823-831","title":"Qualitative methods II: ‘More-than-human’ methodologies and/in praxis","type":"article-journal","volume":"41"},"uris":["http://www.mendeley.com/documents/?uuid=097877bc-f98d-35f6-961d-585c4ee2fc21"]},{"id":"ITEM-2","itemData":{"DOI":"10.1177/0309132515596880","abstract":"In this first of a series of three progress reports on qualitative methods we scope recent qualitative research in human geography through the prism of the interview. Across diverse subfields the interview persists as the dominant means of understanding, though increasingly supplemented or complemented by other means such as diaries and autobiography. Capturing social life as it happens is emerging in response to theoretical developments that encourage new methodological thinking, and includes cities and buildings being thought of as methodological resources as well as sites. These point to concerns with the materiality and inventiveness of method that will be explored in subsequent reports.","author":[{"dropping-particle":"","family":"Dowling","given":"Robyn","non-dropping-particle":"","parse-names":false,"suffix":""},{"dropping-particle":"","family":"Lloyd","given":"Kate","non-dropping-particle":"","parse-names":false,"suffix":""},{"dropping-particle":"","family":"Suchet-Pearson","given":"Sandie","non-dropping-particle":"","parse-names":false,"suffix":""}],"id":"ITEM-2","issued":{"date-parts":[["0"]]},"title":"Qualitative methods 1: Enriching the interview","type":"article-journal"},"uris":["http://www.mendeley.com/documents/?uuid=416d701e-9e74-3578-9245-9667d0b8f89b"]},{"id":"ITEM-3","itemData":{"DOI":"10.1111/tran.12322","ISSN":"14755661","author":[{"dropping-particle":"","family":"Williams","given":"Nina","non-dropping-particle":"","parse-names":false,"suffix":""},{"dropping-particle":"","family":"Patchett","given":"Merle","non-dropping-particle":"","parse-names":false,"suffix":""},{"dropping-particle":"","family":"Lapworth","given":"Andrew","non-dropping-particle":"","parse-names":false,"suffix":""},{"dropping-particle":"","family":"Roberts","given":"Thomas","non-dropping-particle":"","parse-names":false,"suffix":""},{"dropping-particle":"","family":"Keating","given":"Thomas","non-dropping-particle":"","parse-names":false,"suffix":""}],"container-title":"Transactions of the Institute of British Geographers","id":"ITEM-3","issue":"May","issued":{"date-parts":[["2019"]]},"page":"1-7","title":"Practising post-humanism in geographical research","type":"article-journal"},"uris":["http://www.mendeley.com/documents/?uuid=51756f56-3433-435a-82a8-d8cef8967e0f"]}],"mendeley":{"formattedCitation":"(Dowling, Lloyd and Suchet-Pearson, 2017, no date; Williams &lt;i&gt;et al.&lt;/i&gt;, 2019)","manualFormatting":"(Dowling et al., 2017, 2018; Williams et al., 2019)","plainTextFormattedCitation":"(Dowling, Lloyd and Suchet-Pearson, 2017, no date; Williams et al., 2019)","previouslyFormattedCitation":"(Dowling, Lloyd and Suchet-Pearson, 2017, no date; Williams &lt;i&gt;et al.&lt;/i&gt;, 2019)"},"properties":{"noteIndex":0},"schema":"https://github.com/citation-style-language/schema/raw/master/csl-citation.json"}</w:instrText>
      </w:r>
      <w:r w:rsidRPr="000E3A4A">
        <w:rPr>
          <w:rFonts w:cs="Times New Roman"/>
          <w:sz w:val="22"/>
        </w:rPr>
        <w:fldChar w:fldCharType="separate"/>
      </w:r>
      <w:r w:rsidRPr="000E3A4A">
        <w:rPr>
          <w:rFonts w:cs="Times New Roman"/>
          <w:noProof/>
          <w:sz w:val="22"/>
        </w:rPr>
        <w:t xml:space="preserve">(Dowling </w:t>
      </w:r>
      <w:r w:rsidRPr="000E3A4A">
        <w:rPr>
          <w:rFonts w:cs="Times New Roman"/>
          <w:i/>
          <w:noProof/>
          <w:sz w:val="22"/>
        </w:rPr>
        <w:t>et al</w:t>
      </w:r>
      <w:r w:rsidRPr="000E3A4A">
        <w:rPr>
          <w:rFonts w:cs="Times New Roman"/>
          <w:noProof/>
          <w:sz w:val="22"/>
        </w:rPr>
        <w:t xml:space="preserve">., 2017, 2018; Williams </w:t>
      </w:r>
      <w:r w:rsidRPr="000E3A4A">
        <w:rPr>
          <w:rFonts w:cs="Times New Roman"/>
          <w:i/>
          <w:noProof/>
          <w:sz w:val="22"/>
        </w:rPr>
        <w:t>et al.</w:t>
      </w:r>
      <w:r w:rsidRPr="000E3A4A">
        <w:rPr>
          <w:rFonts w:cs="Times New Roman"/>
          <w:noProof/>
          <w:sz w:val="22"/>
        </w:rPr>
        <w:t>, 2019)</w:t>
      </w:r>
      <w:r w:rsidRPr="000E3A4A">
        <w:rPr>
          <w:rFonts w:cs="Times New Roman"/>
          <w:sz w:val="22"/>
        </w:rPr>
        <w:fldChar w:fldCharType="end"/>
      </w:r>
      <w:r w:rsidRPr="000E3A4A">
        <w:rPr>
          <w:rFonts w:cs="Times New Roman"/>
          <w:sz w:val="22"/>
        </w:rPr>
        <w:t xml:space="preserve">, by developing my own methodology for doing more-than-human geopolitical ecology. The methodology that emerges is a non-linear, sometimes messy </w:t>
      </w:r>
      <w:r w:rsidRPr="000E3A4A">
        <w:rPr>
          <w:rFonts w:cs="Times New Roman"/>
          <w:sz w:val="22"/>
        </w:rPr>
        <w:fldChar w:fldCharType="begin" w:fldLock="1"/>
      </w:r>
      <w:r w:rsidRPr="000E3A4A">
        <w:rPr>
          <w:rFonts w:cs="Times New Roman"/>
          <w:sz w:val="22"/>
        </w:rPr>
        <w:instrText>ADDIN CSL_CITATION {"citationItems":[{"id":"ITEM-1","itemData":{"DOI":"10.5565/120307","ISSN":"1578-8946","abstract":"Look at the picture above, and at the question posed by the caption. This book is about that caption, and about what happens when social science tries to describe things that are complex, diffuse and messy. The answer, I will argue, is that it tends to make a mess of it. This is because simple clear descriptions don’t work if what they are describing is not itself very coherent. The very attempt to be clear simply increases the mess. So the book is an attempt to imagine what it might be to remake social science in ways better equipped to deal with mess, confusion and relative disorder.","author":[{"dropping-particle":"","family":"Law","given":"John","non-dropping-particle":"","parse-names":false,"suffix":""}],"container-title":"Athenea digital","id":"ITEM-1","issue":"14","issued":{"date-parts":[["2004"]]},"title":"After Method : mess in social science research","type":"report","volume":"0"},"uris":["http://www.mendeley.com/documents/?uuid=0a088a53-8c89-3a1e-8a99-34d4345caf1a"]}],"mendeley":{"formattedCitation":"(Law, 2004)","plainTextFormattedCitation":"(Law, 2004)","previouslyFormattedCitation":"(Law, 2004)"},"properties":{"noteIndex":0},"schema":"https://github.com/citation-style-language/schema/raw/master/csl-citation.json"}</w:instrText>
      </w:r>
      <w:r w:rsidRPr="000E3A4A">
        <w:rPr>
          <w:rFonts w:cs="Times New Roman"/>
          <w:sz w:val="22"/>
        </w:rPr>
        <w:fldChar w:fldCharType="separate"/>
      </w:r>
      <w:r w:rsidRPr="000E3A4A">
        <w:rPr>
          <w:rFonts w:cs="Times New Roman"/>
          <w:noProof/>
          <w:sz w:val="22"/>
        </w:rPr>
        <w:t>(Law, 2004)</w:t>
      </w:r>
      <w:r w:rsidRPr="000E3A4A">
        <w:rPr>
          <w:rFonts w:cs="Times New Roman"/>
          <w:sz w:val="22"/>
        </w:rPr>
        <w:fldChar w:fldCharType="end"/>
      </w:r>
      <w:r w:rsidRPr="000E3A4A">
        <w:rPr>
          <w:rFonts w:cs="Times New Roman"/>
          <w:sz w:val="22"/>
        </w:rPr>
        <w:t xml:space="preserve">, story of following in multiple forms. I set out to follow caviar by using a follow the thing methodology which has been applied to myriad commodities such as papaya and hot sauce </w:t>
      </w:r>
      <w:r w:rsidRPr="000E3A4A">
        <w:rPr>
          <w:rFonts w:cs="Times New Roman"/>
          <w:sz w:val="22"/>
        </w:rPr>
        <w:fldChar w:fldCharType="begin" w:fldLock="1"/>
      </w:r>
      <w:r w:rsidRPr="000E3A4A">
        <w:rPr>
          <w:rFonts w:cs="Times New Roman"/>
          <w:sz w:val="22"/>
        </w:rPr>
        <w:instrText>ADDIN CSL_CITATION {"citationItems":[{"id":"ITEM-1","itemData":{"DOI":"10.1111/j.1467-8330.2004.00441.x","ISSN":"14678330","abstract":"In a recent round table about Antipode’s radical geographies, contributors argued that the journal needed more papers which stimulated debate, were accessible to academics and non- academics alike, didn’t ‘‘preach to the cognoscenti’’, were written to fit into radical teaching agendas, and were diverse and eclectic in style (Waterstone 2002:663; Hague 2002). This paper has been written to fit this bill. It outlines the findings of multi-locale ethnographic research into the globalization of food, focusing on a supply chain stretching from UK supermarket shelves to a Jamaican farm, and concluding in a North London flat. It addresses perspectives and critiques from the growing literature on the geographies of commodities, but presents these academic arguments ‘‘between the lines’’ of a series of overlapping vignettes about people who were (un)knowingly connected to each other through the international trade in fresh papaya, and an entangled range of economic, political, social, cultural, agri- cultural and other processes also shaping these connections in the early 1990s. The research on which it is based was initially energized by David Harvey’s (1990:422) call for radical geographers to ‘‘get behind the veil, the fetishism of the market’’, to make powerful, impor- tant, disturbing connections between Western consumers and the distant strangers whose contributions to their lives were invisible, unnoticed, and largely unappreciated. Harvey argued that radical geographers should attempt to de-fetishise commodities, re-connect consumers and producers, tell fuller stories of social reproduction, and thereby provoke moral and ethical questions for participants in this exploitation who might think they’re decent people. This paper has been written to provoke such questions, to provide mater- ials to think through and with, for geography’s ongoing debates about the politics of consumption.","author":[{"dropping-particle":"","family":"Cook","given":"Ian","non-dropping-particle":"","parse-names":false,"suffix":""}],"container-title":"Antipode","id":"ITEM-1","issue":"4","issued":{"date-parts":[["2004"]]},"page":"642-664","title":"Follow the thing: Papaya","type":"article-journal","volume":"36"},"uris":["http://www.mendeley.com/documents/?uuid=61c0e70c-fb8a-46d4-8c78-37e3ab6ee3c3"]}],"mendeley":{"formattedCitation":"(Cook, 2004)","manualFormatting":"(Cook, 2004; Cook &amp; Harrison, 2007)","plainTextFormattedCitation":"(Cook, 2004)","previouslyFormattedCitation":"(Cook, 2004)"},"properties":{"noteIndex":0},"schema":"https://github.com/citation-style-language/schema/raw/master/csl-citation.json"}</w:instrText>
      </w:r>
      <w:r w:rsidRPr="000E3A4A">
        <w:rPr>
          <w:rFonts w:cs="Times New Roman"/>
          <w:sz w:val="22"/>
        </w:rPr>
        <w:fldChar w:fldCharType="separate"/>
      </w:r>
      <w:r w:rsidRPr="000E3A4A">
        <w:rPr>
          <w:rFonts w:cs="Times New Roman"/>
          <w:noProof/>
          <w:sz w:val="22"/>
        </w:rPr>
        <w:t>(Cook, 2004; Cook &amp; Harrison, 2007)</w:t>
      </w:r>
      <w:r w:rsidRPr="000E3A4A">
        <w:rPr>
          <w:rFonts w:cs="Times New Roman"/>
          <w:sz w:val="22"/>
        </w:rPr>
        <w:fldChar w:fldCharType="end"/>
      </w:r>
      <w:r w:rsidRPr="000E3A4A">
        <w:rPr>
          <w:rFonts w:cs="Times New Roman"/>
          <w:sz w:val="22"/>
        </w:rPr>
        <w:t xml:space="preserve">. However for reasons explained in the chapter, this methodology proved untenable. Ultimately though, my initial exploration into follow the thing methods paved the way for my eventual decision to follow the policy </w:t>
      </w:r>
      <w:r w:rsidRPr="000E3A4A">
        <w:rPr>
          <w:rFonts w:cs="Times New Roman"/>
          <w:sz w:val="22"/>
        </w:rPr>
        <w:fldChar w:fldCharType="begin" w:fldLock="1"/>
      </w:r>
      <w:r w:rsidR="00EC7F7E">
        <w:rPr>
          <w:rFonts w:cs="Times New Roman"/>
          <w:sz w:val="22"/>
        </w:rPr>
        <w:instrText>ADDIN CSL_CITATION {"citationItems":[{"id":"ITEM-1","itemData":{"DOI":"10.1068/a44179","ISSN":"0308518X","abstract":"The paper reflects on the methodological challenges involved in research on the movement and mutation of fast-moving policies, through globalizing networks and across translocal settings. Inspired by the 'follow the thing' methods and by the global ethnography program, it outlines a distended case-study approach to the study of policy mobiilities","author":[{"dropping-particle":"","family":"Peck","given":"Jamie","non-dropping-particle":"","parse-names":false,"suffix":""},{"dropping-particle":"","family":"Theodore","given":"Nik","non-dropping-particle":"","parse-names":false,"suffix":""}],"container-title":"Environment and Planning A","id":"ITEM-1","issue":"1","issued":{"date-parts":[["2012"]]},"page":"21-30","title":"Follow the policy: A distended case approach","type":"article-journal","volume":"44"},"uris":["http://www.mendeley.com/documents/?uuid=5b8ed9ea-1bba-3e46-b815-21f36c135e0a"]}],"mendeley":{"formattedCitation":"(Peck and Theodore, 2012)","manualFormatting":"(Peck and Theodore, 2012; 2015)","plainTextFormattedCitation":"(Peck and Theodore, 2012)","previouslyFormattedCitation":"(Peck and Theodore, 2012)"},"properties":{"noteIndex":0},"schema":"https://github.com/citation-style-language/schema/raw/master/csl-citation.json"}</w:instrText>
      </w:r>
      <w:r w:rsidRPr="000E3A4A">
        <w:rPr>
          <w:rFonts w:cs="Times New Roman"/>
          <w:sz w:val="22"/>
        </w:rPr>
        <w:fldChar w:fldCharType="separate"/>
      </w:r>
      <w:r w:rsidRPr="000E3A4A">
        <w:rPr>
          <w:rFonts w:cs="Times New Roman"/>
          <w:noProof/>
          <w:sz w:val="22"/>
        </w:rPr>
        <w:t>(Peck and Theodore, 2012; 2015)</w:t>
      </w:r>
      <w:r w:rsidRPr="000E3A4A">
        <w:rPr>
          <w:rFonts w:cs="Times New Roman"/>
          <w:sz w:val="22"/>
        </w:rPr>
        <w:fldChar w:fldCharType="end"/>
      </w:r>
      <w:r w:rsidRPr="000E3A4A">
        <w:rPr>
          <w:rFonts w:cs="Times New Roman"/>
          <w:sz w:val="22"/>
        </w:rPr>
        <w:t>. My methodology therefore explains how and w</w:t>
      </w:r>
      <w:r w:rsidR="002F6C5A">
        <w:rPr>
          <w:rFonts w:cs="Times New Roman"/>
          <w:sz w:val="22"/>
        </w:rPr>
        <w:t>hy I came to follow the policies</w:t>
      </w:r>
      <w:r w:rsidRPr="000E3A4A">
        <w:rPr>
          <w:rFonts w:cs="Times New Roman"/>
          <w:sz w:val="22"/>
        </w:rPr>
        <w:t xml:space="preserve"> designed to regulate the caviar trade in the EU. In particular I explain how I adapted </w:t>
      </w:r>
      <w:r w:rsidRPr="000E3A4A">
        <w:rPr>
          <w:rFonts w:cs="Times New Roman"/>
          <w:sz w:val="22"/>
        </w:rPr>
        <w:fldChar w:fldCharType="begin" w:fldLock="1"/>
      </w:r>
      <w:r w:rsidRPr="000E3A4A">
        <w:rPr>
          <w:rFonts w:cs="Times New Roman"/>
          <w:sz w:val="22"/>
        </w:rPr>
        <w:instrText>ADDIN CSL_CITATION {"citationItems":[{"id":"ITEM-1","itemData":{"DOI":"10.1177/0308518X15605329","ISSN":"14723409","abstract":"Policy flows are not quantifiable and calculating processes but part of the uneven movement of ideas and experiences that involves power and personalities. Processes of learning and policy circulation have thus proven difficult to study especially as the exchanges taking place between actors and localities rarely lead directly to uptake. This paper outlines a conceptual and methodological framework for conducting policy mobilities research by attending to the plethora of ordinary practices – be it through engagements with fellow practitioners, their toolbox of material solutions, or a particular moment of discovery – that form the assemblages of learning. The paper then unveils a set of procedures for unravelling the assemblage, first by “following the people” and their understandings of mobile policy; second, by “following the materials” to experiment with a Latourian approach to materiality; and finally, by “following the meetings”, that is, the conferences, workshops and seminars where the people and m...","author":[{"dropping-particle":"","family":"Wood","given":"Astrid","non-dropping-particle":"","parse-names":false,"suffix":""}],"container-title":"Environment and Planning A","id":"ITEM-1","issue":"2","issued":{"date-parts":[["2016"]]},"page":"391-406","title":"Tracing policy movements: Methods for studying learning and policy circulation","type":"article-journal","volume":"48"},"uris":["http://www.mendeley.com/documents/?uuid=b0d87ed8-2990-33de-85cc-93fa716e5a24"]}],"mendeley":{"formattedCitation":"(Wood, 2016)","manualFormatting":"Wood's (2016)","plainTextFormattedCitation":"(Wood, 2016)","previouslyFormattedCitation":"(Wood, 2016)"},"properties":{"noteIndex":0},"schema":"https://github.com/citation-style-language/schema/raw/master/csl-citation.json"}</w:instrText>
      </w:r>
      <w:r w:rsidRPr="000E3A4A">
        <w:rPr>
          <w:rFonts w:cs="Times New Roman"/>
          <w:sz w:val="22"/>
        </w:rPr>
        <w:fldChar w:fldCharType="separate"/>
      </w:r>
      <w:r w:rsidRPr="000E3A4A">
        <w:rPr>
          <w:rFonts w:cs="Times New Roman"/>
          <w:noProof/>
          <w:sz w:val="22"/>
        </w:rPr>
        <w:t>Wood's (2016)</w:t>
      </w:r>
      <w:r w:rsidRPr="000E3A4A">
        <w:rPr>
          <w:rFonts w:cs="Times New Roman"/>
          <w:sz w:val="22"/>
        </w:rPr>
        <w:fldChar w:fldCharType="end"/>
      </w:r>
      <w:r w:rsidRPr="000E3A4A">
        <w:rPr>
          <w:rFonts w:cs="Times New Roman"/>
          <w:sz w:val="22"/>
        </w:rPr>
        <w:t xml:space="preserve"> framework of following the people, materials</w:t>
      </w:r>
      <w:r w:rsidR="00863CFF">
        <w:rPr>
          <w:rFonts w:cs="Times New Roman"/>
          <w:sz w:val="22"/>
        </w:rPr>
        <w:t>,</w:t>
      </w:r>
      <w:r w:rsidRPr="000E3A4A">
        <w:rPr>
          <w:rFonts w:cs="Times New Roman"/>
          <w:sz w:val="22"/>
        </w:rPr>
        <w:t xml:space="preserve"> and meetings that constitute the process of policy circulation, to suit the specificities of my case. </w:t>
      </w:r>
    </w:p>
    <w:p w14:paraId="6470F128" w14:textId="77777777" w:rsidR="00863CFF" w:rsidRDefault="00460259" w:rsidP="00460259">
      <w:pPr>
        <w:rPr>
          <w:rFonts w:cs="Times New Roman"/>
          <w:sz w:val="22"/>
        </w:rPr>
      </w:pPr>
      <w:r w:rsidRPr="000E3A4A">
        <w:rPr>
          <w:rFonts w:cs="Times New Roman"/>
          <w:sz w:val="22"/>
        </w:rPr>
        <w:tab/>
        <w:t xml:space="preserve"> Throughout this methodology chapter I am openly reflexive and cognisant of the challenges I faced in undertaking multi-method, multi-sited qualitative research, without a methodological blueprint to follow. The methods I employed were forced to undergo adaptation as unforeseen barriers prevented m</w:t>
      </w:r>
      <w:r w:rsidR="00863CFF">
        <w:rPr>
          <w:rFonts w:cs="Times New Roman"/>
          <w:sz w:val="22"/>
        </w:rPr>
        <w:t xml:space="preserve">e from following policy, caviar, </w:t>
      </w:r>
      <w:r w:rsidRPr="000E3A4A">
        <w:rPr>
          <w:rFonts w:cs="Times New Roman"/>
          <w:sz w:val="22"/>
        </w:rPr>
        <w:t>or sturgeon in a straightforward manner. Being reflexive is an integral aspect of rigorous qualitative researc</w:t>
      </w:r>
      <w:r w:rsidR="00863CFF">
        <w:rPr>
          <w:rFonts w:cs="Times New Roman"/>
          <w:sz w:val="22"/>
        </w:rPr>
        <w:t>h, and requires the researcher to give:</w:t>
      </w:r>
    </w:p>
    <w:p w14:paraId="4EF34D43" w14:textId="6A545D1D" w:rsidR="00863CFF" w:rsidRDefault="002F6C5A" w:rsidP="00863CFF">
      <w:pPr>
        <w:pStyle w:val="Quote"/>
      </w:pPr>
      <w:r>
        <w:t>C</w:t>
      </w:r>
      <w:r w:rsidR="00460259" w:rsidRPr="000E3A4A">
        <w:t xml:space="preserve">areful consideration to precisely what it is that they are doing in their own projects: the conceptual, the practical, political and ethical implications arising for these projects, for themselves, for the people and places under study, and perhaps </w:t>
      </w:r>
      <w:r w:rsidR="00863CFF">
        <w:t>even for society more generally</w:t>
      </w:r>
      <w:r w:rsidR="00460259" w:rsidRPr="000E3A4A">
        <w:t xml:space="preserve"> (Cloke </w:t>
      </w:r>
      <w:r w:rsidR="00460259" w:rsidRPr="000E3A4A">
        <w:rPr>
          <w:i/>
        </w:rPr>
        <w:t>et al</w:t>
      </w:r>
      <w:r w:rsidR="00460259" w:rsidRPr="000E3A4A">
        <w:t xml:space="preserve">., 2004:22). </w:t>
      </w:r>
    </w:p>
    <w:p w14:paraId="34C1E1C9" w14:textId="6AC1BA03" w:rsidR="00460259" w:rsidRPr="000E3A4A" w:rsidRDefault="00460259" w:rsidP="00460259">
      <w:pPr>
        <w:rPr>
          <w:rFonts w:cs="Times New Roman"/>
          <w:sz w:val="22"/>
        </w:rPr>
      </w:pPr>
      <w:r w:rsidRPr="000E3A4A">
        <w:rPr>
          <w:rFonts w:cs="Times New Roman"/>
          <w:sz w:val="22"/>
        </w:rPr>
        <w:lastRenderedPageBreak/>
        <w:t xml:space="preserve">To </w:t>
      </w:r>
      <w:r w:rsidR="00863CFF">
        <w:rPr>
          <w:rFonts w:cs="Times New Roman"/>
          <w:sz w:val="22"/>
        </w:rPr>
        <w:t xml:space="preserve">this extent, I reflect upon the </w:t>
      </w:r>
      <w:r w:rsidRPr="000E3A4A">
        <w:rPr>
          <w:rFonts w:cs="Times New Roman"/>
          <w:sz w:val="22"/>
        </w:rPr>
        <w:t xml:space="preserve">‘conceptual, practical, political and ethical challenges’ that I encountered when trying to develop an innovative methodology for doing more-than-human geopolitical-ecology research. </w:t>
      </w:r>
    </w:p>
    <w:p w14:paraId="0CFF9977" w14:textId="62F716DF" w:rsidR="00460259" w:rsidRPr="000E3A4A" w:rsidRDefault="00460259" w:rsidP="00460259">
      <w:pPr>
        <w:rPr>
          <w:rFonts w:cs="Times New Roman"/>
          <w:sz w:val="22"/>
        </w:rPr>
      </w:pPr>
      <w:r w:rsidRPr="000E3A4A">
        <w:rPr>
          <w:rFonts w:cs="Times New Roman"/>
          <w:sz w:val="22"/>
        </w:rPr>
        <w:tab/>
        <w:t xml:space="preserve">The chapter centres on my experience of data collection. </w:t>
      </w:r>
      <w:r w:rsidR="002F6C5A">
        <w:rPr>
          <w:rFonts w:cs="Times New Roman"/>
          <w:sz w:val="22"/>
        </w:rPr>
        <w:t>Section 3.1</w:t>
      </w:r>
      <w:r w:rsidRPr="000E3A4A">
        <w:rPr>
          <w:rFonts w:cs="Times New Roman"/>
          <w:sz w:val="22"/>
        </w:rPr>
        <w:t xml:space="preserve"> describes my vision for ‘follow the thing: caviar’ and explains why this methodology was untenable in practice, but how it paved the way for my adoption of follow the policy. In section 3.2 I explain what follow the policy is, and how I </w:t>
      </w:r>
      <w:r w:rsidR="00E27AE8">
        <w:rPr>
          <w:rFonts w:cs="Times New Roman"/>
          <w:sz w:val="22"/>
        </w:rPr>
        <w:t>operationalis</w:t>
      </w:r>
      <w:r w:rsidR="00E27AE8" w:rsidRPr="000E3A4A">
        <w:rPr>
          <w:rFonts w:cs="Times New Roman"/>
          <w:sz w:val="22"/>
        </w:rPr>
        <w:t>ed</w:t>
      </w:r>
      <w:r w:rsidRPr="000E3A4A">
        <w:rPr>
          <w:rFonts w:cs="Times New Roman"/>
          <w:sz w:val="22"/>
        </w:rPr>
        <w:t xml:space="preserve"> it in order to examine the geopolitical-ecological impacts of caviar trade po</w:t>
      </w:r>
      <w:r w:rsidR="002F6C5A">
        <w:rPr>
          <w:rFonts w:cs="Times New Roman"/>
          <w:sz w:val="22"/>
        </w:rPr>
        <w:t xml:space="preserve">licies in the EU. In particular, </w:t>
      </w:r>
      <w:r w:rsidRPr="000E3A4A">
        <w:rPr>
          <w:rFonts w:cs="Times New Roman"/>
          <w:sz w:val="22"/>
        </w:rPr>
        <w:t>I describe how I achieved this methodology through following: people, sturgeon, materials</w:t>
      </w:r>
      <w:r w:rsidR="002F6C5A">
        <w:rPr>
          <w:rFonts w:cs="Times New Roman"/>
          <w:sz w:val="22"/>
        </w:rPr>
        <w:t>,</w:t>
      </w:r>
      <w:r w:rsidRPr="000E3A4A">
        <w:rPr>
          <w:rFonts w:cs="Times New Roman"/>
          <w:sz w:val="22"/>
        </w:rPr>
        <w:t xml:space="preserve"> and events. I justify why the various qualitative methods were appropriate, by situating each of them in the broader methodological literature and reflecting on how I adapted these methods to fit the specificities of my research context. In section 3.3 I reflect on the power relations, positionality</w:t>
      </w:r>
      <w:r w:rsidR="00090A18">
        <w:rPr>
          <w:rFonts w:cs="Times New Roman"/>
          <w:sz w:val="22"/>
        </w:rPr>
        <w:t>,</w:t>
      </w:r>
      <w:r w:rsidRPr="000E3A4A">
        <w:rPr>
          <w:rFonts w:cs="Times New Roman"/>
          <w:sz w:val="22"/>
        </w:rPr>
        <w:t xml:space="preserve"> and ethical considerations that I was confronted with during the research process. I describe how I dealt with these issues, and how attention to power, positionality</w:t>
      </w:r>
      <w:r w:rsidR="00090A18">
        <w:rPr>
          <w:rFonts w:cs="Times New Roman"/>
          <w:sz w:val="22"/>
        </w:rPr>
        <w:t>,</w:t>
      </w:r>
      <w:r w:rsidRPr="000E3A4A">
        <w:rPr>
          <w:rFonts w:cs="Times New Roman"/>
          <w:sz w:val="22"/>
        </w:rPr>
        <w:t xml:space="preserve"> and ethics enriches my work. In section 3.4 I explain my analytical framework and the use of critical discourse analysis to interpret the results from my empirical data. I demonstrate how my analytical decisions were shaped by my own experiences in the field and also how the analysis aligns with my theoretical framework. </w:t>
      </w:r>
    </w:p>
    <w:p w14:paraId="44AF1B9C" w14:textId="77777777" w:rsidR="00460259" w:rsidRPr="000E3A4A" w:rsidRDefault="00460259" w:rsidP="00460259">
      <w:pPr>
        <w:pStyle w:val="Notasubsection"/>
      </w:pPr>
    </w:p>
    <w:p w14:paraId="0CC2FE0D" w14:textId="77777777" w:rsidR="00460259" w:rsidRPr="000E3A4A" w:rsidRDefault="00460259" w:rsidP="00460259">
      <w:pPr>
        <w:pStyle w:val="Notasubsection"/>
        <w:rPr>
          <w:b/>
        </w:rPr>
      </w:pPr>
      <w:r w:rsidRPr="000E3A4A">
        <w:rPr>
          <w:b/>
        </w:rPr>
        <w:t>Data Collection</w:t>
      </w:r>
    </w:p>
    <w:p w14:paraId="2F98EC0D" w14:textId="77777777" w:rsidR="00460259" w:rsidRPr="000E3A4A" w:rsidRDefault="00460259" w:rsidP="00460259">
      <w:pPr>
        <w:pStyle w:val="Heading2"/>
      </w:pPr>
      <w:bookmarkStart w:id="27" w:name="_Toc453224200"/>
      <w:r w:rsidRPr="000E3A4A">
        <w:t>3.1. Follow the thing: Caviar</w:t>
      </w:r>
      <w:bookmarkEnd w:id="27"/>
      <w:r w:rsidRPr="000E3A4A">
        <w:t xml:space="preserve"> </w:t>
      </w:r>
    </w:p>
    <w:p w14:paraId="18A47276" w14:textId="7AB6A1FD" w:rsidR="00460259" w:rsidRPr="000E3A4A" w:rsidRDefault="00460259" w:rsidP="00460259">
      <w:pPr>
        <w:rPr>
          <w:rFonts w:cs="Times New Roman"/>
          <w:sz w:val="22"/>
        </w:rPr>
      </w:pPr>
      <w:r w:rsidRPr="000E3A4A">
        <w:rPr>
          <w:rFonts w:cs="Times New Roman"/>
          <w:sz w:val="22"/>
        </w:rPr>
        <w:t xml:space="preserve">At the outset of data collection I intended to undertake a ‘follow the thing’ methodology </w:t>
      </w:r>
      <w:r w:rsidRPr="000E3A4A">
        <w:rPr>
          <w:rFonts w:cs="Times New Roman"/>
          <w:sz w:val="22"/>
        </w:rPr>
        <w:fldChar w:fldCharType="begin" w:fldLock="1"/>
      </w:r>
      <w:r w:rsidR="00EC7F7E">
        <w:rPr>
          <w:rFonts w:cs="Times New Roman"/>
          <w:sz w:val="22"/>
        </w:rPr>
        <w:instrText>ADDIN CSL_CITATION {"citationItems":[{"id":"ITEM-1","itemData":{"DOI":"10.1111/j.1467-8330.2004.00441.x","ISSN":"14678330","abstract":"In a recent round table about Antipode’s radical geographies, contributors argued that the journal needed more papers which stimulated debate, were accessible to academics and non- academics alike, didn’t ‘‘preach to the cognoscenti’’, were written to fit into radical teaching agendas, and were diverse and eclectic in style (Waterstone 2002:663; Hague 2002). This paper has been written to fit this bill. It outlines the findings of multi-locale ethnographic research into the globalization of food, focusing on a supply chain stretching from UK supermarket shelves to a Jamaican farm, and concluding in a North London flat. It addresses perspectives and critiques from the growing literature on the geographies of commodities, but presents these academic arguments ‘‘between the lines’’ of a series of overlapping vignettes about people who were (un)knowingly connected to each other through the international trade in fresh papaya, and an entangled range of economic, political, social, cultural, agri- cultural and other processes also shaping these connections in the early 1990s. The research on which it is based was initially energized by David Harvey’s (1990:422) call for radical geographers to ‘‘get behind the veil, the fetishism of the market’’, to make powerful, impor- tant, disturbing connections between Western consumers and the distant strangers whose contributions to their lives were invisible, unnoticed, and largely unappreciated. Harvey argued that radical geographers should attempt to de-fetishise commodities, re-connect consumers and producers, tell fuller stories of social reproduction, and thereby provoke moral and ethical questions for participants in this exploitation who might think they’re decent people. This paper has been written to provoke such questions, to provide mater- ials to think through and with, for geography’s ongoing debates about the politics of consumption.","author":[{"dropping-particle":"","family":"Cook","given":"Ian","non-dropping-particle":"","parse-names":false,"suffix":""}],"container-title":"Antipode","id":"ITEM-1","issue":"4","issued":{"date-parts":[["2004"]]},"page":"642-664","title":"Follow the thing: Papaya","type":"article-journal","volume":"36"},"uris":["http://www.mendeley.com/documents/?uuid=61c0e70c-fb8a-46d4-8c78-37e3ab6ee3c3"]},{"id":"ITEM-2","itemData":{"DOI":"10.1177/1206331206296384","ISSN":"12063312","abstract":"In food studies, there are few examples of multi-site ethnographies exploring the hazy relations between commodity producers, consumers, and those in between (see Cook et al., 2006). This article attempts to add to this literature by tracing relations between one North London family cooking fishcakes on a Friday night, and the changing fortunes of a group of farmers in a rural Jamaica town ripping up sugar cane to grow hot peppers: a key ingredient in a bottle of Pepup 'West Indian Hot Pepper Sauce' that connected their lives. (The names of places, people, and companies have been changed in this article to preserve the anonymity of those taking part in our research.) This article maps out a constellation of people, plants, bugs, diseases, recipes, politics, trade agreements, and histories, whose multiple, complex entanglements and disjunctures animate this 'thing' and its travels. And, in doing so, the article draws upon and contributes to political/academic debates about: (a) conducting 'follow the thing' ethnographies in which commodities and their biographies are the organizing principles of post-disciplinary research (Sayer, 2003; Marcus, 1995); (b) producing detailed case studies that illustrate how capitalist relations not only could be, but are, diverse, different, surprising (Leyshon et al., 2003; Miller, D. 1998); (c) presenting evocative, engaging, affecting but jarring accounts of connected lives that readers can hopefully identify with and get wrapped up in as they read (Agger, 2002; Heyman, 2000); and (d) theorizing together, between the lines, marxist, poststructuralist, and postcolonial approaches to food and its globalized, uneven geographies (see Castree, 2002; Cook &amp; Harrison, 2003; Kirsch &amp; Mitchell, 2004). ©2007 Sage Publications.","author":[{"dropping-particle":"","family":"Cook","given":"Ian","non-dropping-particle":"","parse-names":false,"suffix":""},{"dropping-particle":"","family":"Harrison","given":"Michelle","non-dropping-particle":"","parse-names":false,"suffix":""}],"container-title":"Space and Culture","id":"ITEM-2","issue":"1","issued":{"date-parts":[["2007"]]},"page":"40-63","publisher":"Kirsch &amp; Mitchell","title":"Follow the thing: \"West Indian hot pepper sauce\"","type":"article-journal","volume":"10"},"uris":["http://www.mendeley.com/documents/?uuid=3571d54d-27ce-3139-b3d0-e403e124ea41"]},{"id":"ITEM-3","itemData":{"DOI":"10.1080/10253866.2015.1094935","ISBN":"1472572858","ISSN":"1025-3866","abstract":"\"From raw materials on municipal rubbish dumps in the Far East, to newly re-made products and a journey across the seas, to bargain stores in Europe and North America and eventually to the homes of consumers, this is the complex story behind society's simplest and cheapest commodities. Weaving together compelling narratives from individuals at different parts of the commodity chain, including waste peddlers, wholesalers, stores owners and shoppers, this book considers the places and people at the heart of these localized, yet immense global networks. Following eight key objects, On the Commodity Trail combines ethnographies of material culture with a broader consideration of commodity culture at a time of global recession. This study explores the prevalence of the bargain store in our towns and cities and delves into the colourful and illuminating histories behind the objects on the shelf\"-- Introduction: 8 Bargain Store Commodities and their Journeys -- 1. The Dump: Shanghai and Tianjin as Graveyards and Birthplaces of Commodities -- 2. The 'Commodity City': Yiwu, the World's Factory of Bargains -- 3. The Container Port: The Abundant Spaces of Felixstowe and Los Angeles -- 4. The Bargain Store: Buying and Selling in the West's Spaces of 'Cheap' Conclusion: ... And Back to the Dump?","author":[{"dropping-particle":"","family":"Hulme","given":"Alison","non-dropping-particle":"","parse-names":false,"suffix":""}],"container-title":"Consumption Markets &amp; Culture","id":"ITEM-3","issue":"1","issued":{"date-parts":[["2015"]]},"number-of-pages":"84-86","title":"On the commodity trail: the journey of a bargain product from East to West","type":"book","volume":"20"},"uris":["http://www.mendeley.com/documents/?uuid=eaad3cb7-7ed6-348e-aa35-692a929623cb"]},{"id":"ITEM-4","itemData":{"DOI":"10.1068/d8410","ISSN":"02637758","abstract":"In an attempt to resist and surmount the mystifications of commodity fetishism, scholars have gone to great lengths to trace the social and spatial pathways of various physical, consumable commodities. By contrast, there have been relatively limited efforts to similarly defetishise what Marx called the god of commodities\" ömoneyöand there has been no systematic, theoretically informed consideration of what the defetishisation of money might actually entail. From an explicitly Marxian perspective this paper aims to make a modest contribution in such a direction. It has two central objectives: to demonstrate why money merits defetishisation and to explore, at a largely theoretical level, how such an exercise might proceed, what primary challenges it would confront, and where the main opportunities for progress are likely to lie. © 2011 Pion Ltd and its Licensors.","author":[{"dropping-particle":"","family":"Christophers","given":"Brett","non-dropping-particle":"","parse-names":false,"suffix":""}],"container-title":"Environment and Planning D: Society and Space","id":"ITEM-4","issue":"6","issued":{"date-parts":[["2011"]]},"page":"1068-1084","title":"Follow the thing: Money","type":"article-journal","volume":"29"},"uris":["http://www.mendeley.com/documents/?uuid=63b571f8-75d8-3655-86bf-7128f0c54c37"]},{"id":"ITEM-5","itemData":{"DOI":"10.1111/j.1475-4762.2011.01018.x","ISSN":"00040894","abstract":"This paper discusses research on electronic waste in Canada and Bangladesh. We engage with ongoing debates in geography and the broader social sciences on the need to move beyond linearity in the analysis of commodity/value chains and global production networks. Our analysis suggests that the problem of linearity may be an artefact of theoretical and methodological presuppositions, which explains its longevity as an issue in methodological approaches and empirical research. Recent theoretical insights from actor network theory, combined with our own research on electronic waste, provide a potential solution to the problem of linearity. Our research points to the need for a focus on 'actions', not just 'things', in tracing economic activity. This signals a shift away from beginnings and endings in production network approaches to analyses that are concerned with boundaries and edges. © 2011 The Authors. Area © 2011 Royal Geographical Society (with the Institute of British Geographers).","author":[{"dropping-particle":"","family":"Lepawsky","given":"Josh","non-dropping-particle":"","parse-names":false,"suffix":""},{"dropping-particle":"","family":"Mather","given":"Charles","non-dropping-particle":"","parse-names":false,"suffix":""}],"container-title":"Area","id":"ITEM-5","issue":"3","issued":{"date-parts":[["2011"]]},"page":"242-249","title":"From beginnings and endings to boundaries and edges: Rethinking circulation and exchange through electronic waste","type":"article-journal","volume":"43"},"uris":["http://www.mendeley.com/documents/?uuid=2235c0ad-f63c-473d-b939-31eb2d1ea8ee"]}],"mendeley":{"formattedCitation":"(Cook, 2004; Cook and Harrison, 2007; Christophers, 2011; Lepawsky and Mather, 2011; Hulme, 2015)","plainTextFormattedCitation":"(Cook, 2004; Cook and Harrison, 2007; Christophers, 2011; Lepawsky and Mather, 2011; Hulme, 2015)","previouslyFormattedCitation":"(Cook, 2004; Cook and Harrison, 2007; Christophers, 2011; Lepawsky and Mather, 2011; Hulme, 2015)"},"properties":{"noteIndex":0},"schema":"https://github.com/citation-style-language/schema/raw/master/csl-citation.json"}</w:instrText>
      </w:r>
      <w:r w:rsidRPr="000E3A4A">
        <w:rPr>
          <w:rFonts w:cs="Times New Roman"/>
          <w:sz w:val="22"/>
        </w:rPr>
        <w:fldChar w:fldCharType="separate"/>
      </w:r>
      <w:r w:rsidR="00042533" w:rsidRPr="00042533">
        <w:rPr>
          <w:rFonts w:cs="Times New Roman"/>
          <w:noProof/>
          <w:sz w:val="22"/>
        </w:rPr>
        <w:t>(Cook, 2004; Cook and Harrison, 2007; Christophers, 2011; Lepawsky and Mather, 2011; Hulme, 2015)</w:t>
      </w:r>
      <w:r w:rsidRPr="000E3A4A">
        <w:rPr>
          <w:rFonts w:cs="Times New Roman"/>
          <w:sz w:val="22"/>
        </w:rPr>
        <w:fldChar w:fldCharType="end"/>
      </w:r>
      <w:r w:rsidRPr="000E3A4A">
        <w:rPr>
          <w:rFonts w:cs="Times New Roman"/>
          <w:sz w:val="22"/>
        </w:rPr>
        <w:t xml:space="preserve"> that would involve following caviar across the production network in the European Union. Follow the thing methodologies take</w:t>
      </w:r>
      <w:r w:rsidR="00E27AE8">
        <w:rPr>
          <w:rFonts w:cs="Times New Roman"/>
          <w:sz w:val="22"/>
        </w:rPr>
        <w:t xml:space="preserve"> ultimate inspiration from the scholarship of Marx, </w:t>
      </w:r>
      <w:r w:rsidRPr="000E3A4A">
        <w:rPr>
          <w:rFonts w:cs="Times New Roman"/>
          <w:sz w:val="22"/>
        </w:rPr>
        <w:t xml:space="preserve">and more recently </w:t>
      </w:r>
      <w:r w:rsidRPr="000E3A4A">
        <w:rPr>
          <w:rFonts w:cs="Times New Roman"/>
          <w:sz w:val="22"/>
        </w:rPr>
        <w:fldChar w:fldCharType="begin" w:fldLock="1"/>
      </w:r>
      <w:r w:rsidRPr="000E3A4A">
        <w:rPr>
          <w:rFonts w:cs="Times New Roman"/>
          <w:sz w:val="22"/>
        </w:rPr>
        <w:instrText>ADDIN CSL_CITATION {"citationItems":[{"id":"ITEM-1","itemData":{"DOI":"10.2307/2802852","ISBN":"0521357268","ISSN":"00251496","abstract":"The contributors to this volume examine how things are sold and traded in a variety of social and cultural settings, both present and past. Bridging the disciplines of social history, cultural anthropology, and economics, the volume marks a major step in our understanding of the cultural basis of economic life and the sociology of culture.","author":[{"dropping-particle":"","family":"Appadurai","given":"Arjun","non-dropping-particle":"","parse-names":false,"suffix":""}],"container-title":"Man","id":"ITEM-1","issue":"2","issued":{"date-parts":[["1986"]]},"number-of-pages":"408","title":"The Social Life of Things: Commodities in Cultural Perspective.","type":"book","volume":"23"},"uris":["http://www.mendeley.com/documents/?uuid=df509b1b-d0b7-3f80-bf66-2537e83d0201"]}],"mendeley":{"formattedCitation":"(Appadurai, 1986)","manualFormatting":"Appadurai (1986)","plainTextFormattedCitation":"(Appadurai, 1986)","previouslyFormattedCitation":"(Appadurai, 1986)"},"properties":{"noteIndex":0},"schema":"https://github.com/citation-style-language/schema/raw/master/csl-citation.json"}</w:instrText>
      </w:r>
      <w:r w:rsidRPr="000E3A4A">
        <w:rPr>
          <w:rFonts w:cs="Times New Roman"/>
          <w:sz w:val="22"/>
        </w:rPr>
        <w:fldChar w:fldCharType="separate"/>
      </w:r>
      <w:r w:rsidRPr="000E3A4A">
        <w:rPr>
          <w:rFonts w:cs="Times New Roman"/>
          <w:noProof/>
          <w:sz w:val="22"/>
        </w:rPr>
        <w:t>Appadurai (1986)</w:t>
      </w:r>
      <w:r w:rsidRPr="000E3A4A">
        <w:rPr>
          <w:rFonts w:cs="Times New Roman"/>
          <w:sz w:val="22"/>
        </w:rPr>
        <w:fldChar w:fldCharType="end"/>
      </w:r>
      <w:r w:rsidRPr="000E3A4A">
        <w:rPr>
          <w:rFonts w:cs="Times New Roman"/>
          <w:sz w:val="22"/>
        </w:rPr>
        <w:t xml:space="preserve">, </w:t>
      </w:r>
      <w:r w:rsidRPr="000E3A4A">
        <w:rPr>
          <w:rFonts w:cs="Times New Roman"/>
          <w:sz w:val="22"/>
        </w:rPr>
        <w:fldChar w:fldCharType="begin" w:fldLock="1"/>
      </w:r>
      <w:r w:rsidRPr="000E3A4A">
        <w:rPr>
          <w:rFonts w:cs="Times New Roman"/>
          <w:sz w:val="22"/>
        </w:rPr>
        <w:instrText>ADDIN CSL_CITATION {"citationItems":[{"id":"ITEM-1","itemData":{"ISBN":"154.59.124.32","abstract":"10:44 UTC JSTOR is a not-for-profit service that helps scholars, researchers, and students discover, use, and build upon a wide range of content in a trusted digital archive. We use information technology and tools to increase productivity and facilitate new forms of scholarship. For more information about JSTOR, please contact support@jstor.org.","author":[{"dropping-particle":"","family":"Harvey","given":"David","non-dropping-particle":"","parse-names":false,"suffix":""}],"container-title":"Source: Annals of the Association of American Geographers","id":"ITEM-1","issue":"3","issued":{"date-parts":[["1990"]]},"number-of-pages":"418-434","title":"Between Space and Time: Reflections on the Geographical Imagination","type":"report","volume":"80"},"uris":["http://www.mendeley.com/documents/?uuid=6e02bc03-1d02-369e-bdee-22c83e8129c3"]}],"mendeley":{"formattedCitation":"(Harvey, 1990)","manualFormatting":"Harvey (1990)","plainTextFormattedCitation":"(Harvey, 1990)","previouslyFormattedCitation":"(Harvey, 1990)"},"properties":{"noteIndex":0},"schema":"https://github.com/citation-style-language/schema/raw/master/csl-citation.json"}</w:instrText>
      </w:r>
      <w:r w:rsidRPr="000E3A4A">
        <w:rPr>
          <w:rFonts w:cs="Times New Roman"/>
          <w:sz w:val="22"/>
        </w:rPr>
        <w:fldChar w:fldCharType="separate"/>
      </w:r>
      <w:r w:rsidRPr="000E3A4A">
        <w:rPr>
          <w:rFonts w:cs="Times New Roman"/>
          <w:noProof/>
          <w:sz w:val="22"/>
        </w:rPr>
        <w:t>Harvey (1990)</w:t>
      </w:r>
      <w:r w:rsidRPr="000E3A4A">
        <w:rPr>
          <w:rFonts w:cs="Times New Roman"/>
          <w:sz w:val="22"/>
        </w:rPr>
        <w:fldChar w:fldCharType="end"/>
      </w:r>
      <w:r w:rsidRPr="000E3A4A">
        <w:rPr>
          <w:rFonts w:cs="Times New Roman"/>
          <w:sz w:val="22"/>
        </w:rPr>
        <w:t xml:space="preserve"> and </w:t>
      </w:r>
      <w:r w:rsidRPr="000E3A4A">
        <w:rPr>
          <w:rFonts w:cs="Times New Roman"/>
          <w:sz w:val="22"/>
        </w:rPr>
        <w:fldChar w:fldCharType="begin" w:fldLock="1"/>
      </w:r>
      <w:r w:rsidRPr="000E3A4A">
        <w:rPr>
          <w:rFonts w:cs="Times New Roman"/>
          <w:sz w:val="22"/>
        </w:rPr>
        <w:instrText>ADDIN CSL_CITATION {"citationItems":[{"id":"ITEM-1","itemData":{"author":[{"dropping-particle":"","family":"Marcus","given":"George E","non-dropping-particle":"","parse-names":false,"suffix":""}],"id":"ITEM-1","issued":{"date-parts":[["1995"]]},"title":"ETHNOGRAPHY IN/OF THE WORLD SYSTEM: The Emergence of Multi-Sited Ethnography","type":"report"},"uris":["http://www.mendeley.com/documents/?uuid=a3aeaadd-dbc2-3a33-87ec-b115b752a62f"]}],"mendeley":{"formattedCitation":"(Marcus, 1995)","manualFormatting":"Marcus (1995)","plainTextFormattedCitation":"(Marcus, 1995)","previouslyFormattedCitation":"(Marcus, 1995)"},"properties":{"noteIndex":0},"schema":"https://github.com/citation-style-language/schema/raw/master/csl-citation.json"}</w:instrText>
      </w:r>
      <w:r w:rsidRPr="000E3A4A">
        <w:rPr>
          <w:rFonts w:cs="Times New Roman"/>
          <w:sz w:val="22"/>
        </w:rPr>
        <w:fldChar w:fldCharType="separate"/>
      </w:r>
      <w:r w:rsidRPr="000E3A4A">
        <w:rPr>
          <w:rFonts w:cs="Times New Roman"/>
          <w:noProof/>
          <w:sz w:val="22"/>
        </w:rPr>
        <w:t>Marcus (1995)</w:t>
      </w:r>
      <w:r w:rsidRPr="000E3A4A">
        <w:rPr>
          <w:rFonts w:cs="Times New Roman"/>
          <w:sz w:val="22"/>
        </w:rPr>
        <w:fldChar w:fldCharType="end"/>
      </w:r>
      <w:r w:rsidRPr="000E3A4A">
        <w:rPr>
          <w:rFonts w:cs="Times New Roman"/>
          <w:sz w:val="22"/>
        </w:rPr>
        <w:t>. These methodologies seek to de-fetishize commodi</w:t>
      </w:r>
      <w:r w:rsidR="00E27AE8">
        <w:rPr>
          <w:rFonts w:cs="Times New Roman"/>
          <w:sz w:val="22"/>
        </w:rPr>
        <w:t xml:space="preserve">ties, by bringing to light the “social and spatial pathways” </w:t>
      </w:r>
      <w:r w:rsidRPr="000E3A4A">
        <w:rPr>
          <w:rFonts w:cs="Times New Roman"/>
          <w:sz w:val="22"/>
        </w:rPr>
        <w:t>(Christophers, 2011: 1069) of their production a</w:t>
      </w:r>
      <w:r w:rsidR="00E27AE8">
        <w:rPr>
          <w:rFonts w:cs="Times New Roman"/>
          <w:sz w:val="22"/>
        </w:rPr>
        <w:t>nd circulation. The goal is to “</w:t>
      </w:r>
      <w:r w:rsidRPr="000E3A4A">
        <w:rPr>
          <w:rFonts w:cs="Times New Roman"/>
          <w:sz w:val="22"/>
        </w:rPr>
        <w:t>reconnect consume</w:t>
      </w:r>
      <w:r w:rsidR="00E27AE8">
        <w:rPr>
          <w:rFonts w:cs="Times New Roman"/>
          <w:sz w:val="22"/>
        </w:rPr>
        <w:t>rs and producers”</w:t>
      </w:r>
      <w:r w:rsidRPr="000E3A4A">
        <w:rPr>
          <w:rFonts w:cs="Times New Roman"/>
          <w:sz w:val="22"/>
        </w:rPr>
        <w:t xml:space="preserve"> (Cook, 2004: 642), by revealing the hidden socio-spatial geographies of the commodities we use and consume.</w:t>
      </w:r>
    </w:p>
    <w:p w14:paraId="77C7D422" w14:textId="4B9B922E" w:rsidR="00460259" w:rsidRPr="000E3A4A" w:rsidRDefault="00460259" w:rsidP="00460259">
      <w:pPr>
        <w:ind w:firstLine="720"/>
        <w:rPr>
          <w:rFonts w:cs="Times New Roman"/>
          <w:sz w:val="22"/>
        </w:rPr>
      </w:pPr>
      <w:r w:rsidRPr="000E3A4A">
        <w:rPr>
          <w:rFonts w:cs="Times New Roman"/>
          <w:sz w:val="22"/>
        </w:rPr>
        <w:t>My methodology for ‘Follow the thing: Caviar’ similarly sought to de-fetishize caviar as a commodity. By following caviar, my methodology would draw attention to the overlooke</w:t>
      </w:r>
      <w:r w:rsidR="00E27AE8">
        <w:rPr>
          <w:rFonts w:cs="Times New Roman"/>
          <w:sz w:val="22"/>
        </w:rPr>
        <w:t xml:space="preserve">d social, spatial, geopolitical, </w:t>
      </w:r>
      <w:r w:rsidRPr="000E3A4A">
        <w:rPr>
          <w:rFonts w:cs="Times New Roman"/>
          <w:sz w:val="22"/>
        </w:rPr>
        <w:t>and ecological contexts of caviar’s production and circulation in the European Union. In particular, the aim was to reconnect consumers and producers by making legible the broader impact(s) of the caviar trade regulations upon both legal and illegal production and circulation of caviar</w:t>
      </w:r>
      <w:r w:rsidR="00E27AE8">
        <w:rPr>
          <w:rFonts w:cs="Times New Roman"/>
          <w:sz w:val="22"/>
        </w:rPr>
        <w:t xml:space="preserve"> in the EU. Thus, I set out to “</w:t>
      </w:r>
      <w:r w:rsidRPr="000E3A4A">
        <w:rPr>
          <w:rFonts w:cs="Times New Roman"/>
          <w:sz w:val="22"/>
        </w:rPr>
        <w:t>trace backwa</w:t>
      </w:r>
      <w:r w:rsidR="00E27AE8">
        <w:rPr>
          <w:rFonts w:cs="Times New Roman"/>
          <w:sz w:val="22"/>
        </w:rPr>
        <w:t>rds the commodity’s life-course”</w:t>
      </w:r>
      <w:r w:rsidRPr="000E3A4A">
        <w:rPr>
          <w:rFonts w:cs="Times New Roman"/>
          <w:sz w:val="22"/>
        </w:rPr>
        <w:t xml:space="preserve"> </w:t>
      </w:r>
      <w:r w:rsidRPr="000E3A4A">
        <w:rPr>
          <w:rFonts w:cs="Times New Roman"/>
          <w:sz w:val="22"/>
        </w:rPr>
        <w:fldChar w:fldCharType="begin" w:fldLock="1"/>
      </w:r>
      <w:r w:rsidRPr="000E3A4A">
        <w:rPr>
          <w:rFonts w:cs="Times New Roman"/>
          <w:sz w:val="22"/>
        </w:rPr>
        <w:instrText>ADDIN CSL_CITATION {"citationItems":[{"id":"ITEM-1","itemData":{"DOI":"10.1068/d8410","ISSN":"02637758","abstract":"In an attempt to resist and surmount the mystifications of commodity fetishism, scholars have gone to great lengths to trace the social and spatial pathways of various physical, consumable commodities. By contrast, there have been relatively limited efforts to similarly defetishise what Marx called the god of commodities\" ömoneyöand there has been no systematic, theoretically informed consideration of what the defetishisation of money might actually entail. From an explicitly Marxian perspective this paper aims to make a modest contribution in such a direction. It has two central objectives: to demonstrate why money merits defetishisation and to explore, at a largely theoretical level, how such an exercise might proceed, what primary challenges it would confront, and where the main opportunities for progress are likely to lie. © 2011 Pion Ltd and its Licensors.","author":[{"dropping-particle":"","family":"Christophers","given":"Brett","non-dropping-particle":"","parse-names":false,"suffix":""}],"container-title":"Environment and Planning D: Society and Space","id":"ITEM-1","issue":"6","issued":{"date-parts":[["2011"]]},"page":"1068-1084","title":"Follow the thing: Money","type":"article-journal","volume":"29"},"uris":["http://www.mendeley.com/documents/?uuid=63b571f8-75d8-3655-86bf-7128f0c54c37"]}],"mendeley":{"formattedCitation":"(Christophers, 2011)","manualFormatting":"(Christophers, 2011: 1068)","plainTextFormattedCitation":"(Christophers, 2011)","previouslyFormattedCitation":"(Christophers, 2011)"},"properties":{"noteIndex":0},"schema":"https://github.com/citation-style-language/schema/raw/master/csl-citation.json"}</w:instrText>
      </w:r>
      <w:r w:rsidRPr="000E3A4A">
        <w:rPr>
          <w:rFonts w:cs="Times New Roman"/>
          <w:sz w:val="22"/>
        </w:rPr>
        <w:fldChar w:fldCharType="separate"/>
      </w:r>
      <w:r w:rsidRPr="000E3A4A">
        <w:rPr>
          <w:rFonts w:cs="Times New Roman"/>
          <w:noProof/>
          <w:sz w:val="22"/>
        </w:rPr>
        <w:t>(Christophers, 2011: 1068)</w:t>
      </w:r>
      <w:r w:rsidRPr="000E3A4A">
        <w:rPr>
          <w:rFonts w:cs="Times New Roman"/>
          <w:sz w:val="22"/>
        </w:rPr>
        <w:fldChar w:fldCharType="end"/>
      </w:r>
      <w:r w:rsidRPr="000E3A4A">
        <w:rPr>
          <w:rFonts w:cs="Times New Roman"/>
          <w:sz w:val="22"/>
        </w:rPr>
        <w:t xml:space="preserve"> starting from caviar end-user markets in cities such as London and Brussels, and ending </w:t>
      </w:r>
      <w:r w:rsidRPr="000E3A4A">
        <w:rPr>
          <w:rFonts w:cs="Times New Roman"/>
          <w:sz w:val="22"/>
        </w:rPr>
        <w:lastRenderedPageBreak/>
        <w:t xml:space="preserve">in the geographically dispersed source locations across the EU. However, practically operationalizing the methodology for ‘follow the thing: Caviar’ did not go to plan. In fact, I quickly realised that </w:t>
      </w:r>
      <w:r w:rsidR="00E27AE8">
        <w:rPr>
          <w:rFonts w:cs="Times New Roman"/>
          <w:sz w:val="22"/>
        </w:rPr>
        <w:t>caviar is an “unfollowable thing”</w:t>
      </w:r>
      <w:r w:rsidRPr="000E3A4A">
        <w:rPr>
          <w:rFonts w:cs="Times New Roman"/>
          <w:sz w:val="22"/>
        </w:rPr>
        <w:t xml:space="preserve"> (Hulme, 2017).</w:t>
      </w:r>
    </w:p>
    <w:p w14:paraId="48221031" w14:textId="35107BAF" w:rsidR="00460259" w:rsidRPr="000E3A4A" w:rsidRDefault="00460259" w:rsidP="00460259">
      <w:pPr>
        <w:ind w:firstLine="720"/>
        <w:rPr>
          <w:rFonts w:cs="Times New Roman"/>
          <w:sz w:val="22"/>
        </w:rPr>
      </w:pPr>
      <w:r w:rsidRPr="000E3A4A">
        <w:rPr>
          <w:rFonts w:cs="Times New Roman"/>
          <w:sz w:val="22"/>
        </w:rPr>
        <w:t>Initially, I was able to easily locate caviar for sale in high-end restaurants and delicatessens; exclusive retail outlets such as Harrods; duty-free stores in airports; and online marketplaces such as eBay and Amazon. In theory tracing the commodity trajectories of caviar backwards should have been straightforward due to the universal caviar labelling system</w:t>
      </w:r>
      <w:r w:rsidR="006E677A" w:rsidRPr="005B292F">
        <w:rPr>
          <w:rStyle w:val="FootnoteReference"/>
        </w:rPr>
        <w:footnoteReference w:id="7"/>
      </w:r>
      <w:r w:rsidRPr="000E3A4A">
        <w:rPr>
          <w:rFonts w:cs="Times New Roman"/>
          <w:sz w:val="22"/>
        </w:rPr>
        <w:t xml:space="preserve"> implemented as law in the EU - and in some cases it was. For example</w:t>
      </w:r>
      <w:r w:rsidR="006E677A">
        <w:rPr>
          <w:rFonts w:cs="Times New Roman"/>
          <w:sz w:val="22"/>
        </w:rPr>
        <w:t>, the universal caviar label</w:t>
      </w:r>
      <w:r w:rsidRPr="000E3A4A">
        <w:rPr>
          <w:rFonts w:cs="Times New Roman"/>
          <w:sz w:val="22"/>
        </w:rPr>
        <w:t xml:space="preserve"> was the starting point that enabled me to trace the social and spatial life of a tin of caviar backwards from retailer, to wholesaler, to repackager, to producer. However for the most part, the following process was not straightforward. For example, I posed as an interested caviar buyer on eBay, and contacted online retailers to request details - and where possible photographs - of the CITES labels on the caviar tins. A small minority of online retailers replied with the information I requested, thereby enabling me to continue following the commodity. On the contrary, other retailers replied stating that their caviar had no label at all. Some merely reiterated the same information from their online posting, for example stating their caviar was ‘Farmed from China’, but providing no corresponding photograph of the label, or information on CITES codes. I even had an unexpected phone-call from one retailer who told me</w:t>
      </w:r>
      <w:r w:rsidR="006E677A">
        <w:rPr>
          <w:rFonts w:cs="Times New Roman"/>
          <w:sz w:val="22"/>
        </w:rPr>
        <w:t xml:space="preserve"> that they were able to source “the premium caviar”</w:t>
      </w:r>
      <w:r w:rsidRPr="000E3A4A">
        <w:rPr>
          <w:rFonts w:cs="Times New Roman"/>
          <w:sz w:val="22"/>
        </w:rPr>
        <w:t>, and could ens</w:t>
      </w:r>
      <w:r w:rsidR="006E677A">
        <w:rPr>
          <w:rFonts w:cs="Times New Roman"/>
          <w:sz w:val="22"/>
        </w:rPr>
        <w:t>ure that the CITES labels were “sound”</w:t>
      </w:r>
      <w:r w:rsidRPr="000E3A4A">
        <w:rPr>
          <w:rFonts w:cs="Times New Roman"/>
          <w:sz w:val="22"/>
        </w:rPr>
        <w:t xml:space="preserve">. Reading between the lines, I could only take this to mean wild – therefore illegal - caviar with falsified CITES labels. Without buying the tins of caviar and seeing the labels first-hand, I was unable to follow the caviar further. If I did purchase the caviar and it arrived with falsified CITES labels then I would likely follow the commodity in the wrong direction. Moreover, if I purchased caviar and it arrived with no labels then it would have been impossible to follow the commodity further, and more importantly I would have been engaging in illegal activity. </w:t>
      </w:r>
    </w:p>
    <w:p w14:paraId="5DD3FABF" w14:textId="761B4FE8" w:rsidR="00460259" w:rsidRPr="000E3A4A" w:rsidRDefault="00460259" w:rsidP="00460259">
      <w:pPr>
        <w:ind w:firstLine="720"/>
        <w:rPr>
          <w:rFonts w:cs="Times New Roman"/>
          <w:sz w:val="22"/>
        </w:rPr>
      </w:pPr>
      <w:r w:rsidRPr="000E3A4A">
        <w:rPr>
          <w:rFonts w:cs="Times New Roman"/>
          <w:sz w:val="22"/>
        </w:rPr>
        <w:t>These experiences acted as a proverbial light-bulb moment for me. I realised I had reached a roadblock with the ‘Follow the thing: Caviar’ methodology. On the one hand, the methodology appeared to function well when following legal caviar commodities that were labelled according to the regulations. In these instances, I could demonstrably gain a sense of the impact of the caviar trade regulations on the socio-spatial geographies of legal caviar commodities. On the other hand, I realised that my methodology would not work in practice for illegal caviar commodities. This was problematic given that understanding</w:t>
      </w:r>
      <w:r w:rsidR="006E677A">
        <w:rPr>
          <w:rFonts w:cs="Times New Roman"/>
          <w:sz w:val="22"/>
        </w:rPr>
        <w:t xml:space="preserve"> dynamics of</w:t>
      </w:r>
      <w:r w:rsidRPr="000E3A4A">
        <w:rPr>
          <w:rFonts w:cs="Times New Roman"/>
          <w:sz w:val="22"/>
        </w:rPr>
        <w:t xml:space="preserve"> illegal caviar trade in the EU</w:t>
      </w:r>
      <w:r w:rsidR="006E677A">
        <w:rPr>
          <w:rFonts w:cs="Times New Roman"/>
          <w:sz w:val="22"/>
        </w:rPr>
        <w:t xml:space="preserve"> </w:t>
      </w:r>
      <w:r w:rsidRPr="000E3A4A">
        <w:rPr>
          <w:rFonts w:cs="Times New Roman"/>
          <w:sz w:val="22"/>
        </w:rPr>
        <w:t xml:space="preserve">was integral to the thesis aims and research questions. Perhaps naively I anticipated that I might be able to locate and identify illicit caviar and then trace the commodity flows. In fact, my plan to follow flows of illegal caviar were </w:t>
      </w:r>
      <w:r w:rsidRPr="000E3A4A">
        <w:rPr>
          <w:rFonts w:cs="Times New Roman"/>
          <w:sz w:val="22"/>
        </w:rPr>
        <w:lastRenderedPageBreak/>
        <w:t xml:space="preserve">fruitless and never got off the ground. I struggled to locate and identify illicit caviar precisely because the networks trading in illegal caviar products are highly organised, impenetrable, and adept at ensuring illegal caviar evades detection. </w:t>
      </w:r>
    </w:p>
    <w:p w14:paraId="28474E26" w14:textId="53B56791" w:rsidR="00460259" w:rsidRPr="000E3A4A" w:rsidRDefault="00460259" w:rsidP="00896A88">
      <w:pPr>
        <w:widowControl w:val="0"/>
        <w:autoSpaceDE w:val="0"/>
        <w:autoSpaceDN w:val="0"/>
        <w:adjustRightInd w:val="0"/>
        <w:ind w:firstLine="720"/>
        <w:rPr>
          <w:rFonts w:cs="Times New Roman"/>
          <w:sz w:val="22"/>
        </w:rPr>
      </w:pPr>
      <w:r w:rsidRPr="000E3A4A">
        <w:rPr>
          <w:rFonts w:cs="Times New Roman"/>
          <w:sz w:val="22"/>
        </w:rPr>
        <w:t xml:space="preserve">Based upon the hurdles that following illegal caviar presented me with, I decided to reassess my methodology. My experiences of attempting to follow both legal and illegal caviar pointed to the significance of the caviar labelling system. The labels on tins of caviar proved vital in enabling me to trace the commodity journey of legal product; but the lack of labels or fraudulent labels stymied my attempts to follow illegal caviar product. To this extent, the labelling system peaked my interest as a possible avenue to investigate further. I was curious about the </w:t>
      </w:r>
      <w:r w:rsidR="002F6C5A">
        <w:rPr>
          <w:rFonts w:cs="Times New Roman"/>
          <w:sz w:val="22"/>
        </w:rPr>
        <w:t>inconsistencies</w:t>
      </w:r>
      <w:r w:rsidRPr="000E3A4A">
        <w:rPr>
          <w:rFonts w:cs="Times New Roman"/>
          <w:sz w:val="22"/>
        </w:rPr>
        <w:t xml:space="preserve"> in the labelling system</w:t>
      </w:r>
      <w:r w:rsidR="002F6C5A">
        <w:rPr>
          <w:rFonts w:cs="Times New Roman"/>
          <w:sz w:val="22"/>
        </w:rPr>
        <w:t xml:space="preserve">, which </w:t>
      </w:r>
      <w:r w:rsidRPr="000E3A4A">
        <w:rPr>
          <w:rFonts w:cs="Times New Roman"/>
          <w:sz w:val="22"/>
        </w:rPr>
        <w:t xml:space="preserve">appeared to allow illegal caviar to masquerade as legal product. As such, I decided to shift my attention more squarely towards the caviar trade policies. I decided to follow the caviar trade regulations in a similar vein to how I intended to follow the commodity. I therefore identified ‘follow the policy’ </w:t>
      </w:r>
      <w:r w:rsidRPr="000E3A4A">
        <w:rPr>
          <w:rFonts w:cs="Times New Roman"/>
          <w:sz w:val="22"/>
        </w:rPr>
        <w:fldChar w:fldCharType="begin" w:fldLock="1"/>
      </w:r>
      <w:r w:rsidR="00EC7F7E">
        <w:rPr>
          <w:rFonts w:cs="Times New Roman"/>
          <w:sz w:val="22"/>
        </w:rPr>
        <w:instrText>ADDIN CSL_CITATION {"citationItems":[{"id":"ITEM-1","itemData":{"DOI":"10.1068/a44179","ISSN":"0308518X","abstract":"The paper reflects on the methodological challenges involved in research on the movement and mutation of fast-moving policies, through globalizing networks and across translocal settings. Inspired by the 'follow the thing' methods and by the global ethnography program, it outlines a distended case-study approach to the study of policy mobiilities","author":[{"dropping-particle":"","family":"Peck","given":"Jamie","non-dropping-particle":"","parse-names":false,"suffix":""},{"dropping-particle":"","family":"Theodore","given":"Nik","non-dropping-particle":"","parse-names":false,"suffix":""}],"container-title":"Environment and Planning A","id":"ITEM-1","issue":"1","issued":{"date-parts":[["2012"]]},"page":"21-30","title":"Follow the policy: A distended case approach","type":"article-journal","volume":"44"},"uris":["http://www.mendeley.com/documents/?uuid=5b8ed9ea-1bba-3e46-b815-21f36c135e0a"]},{"id":"ITEM-2","itemData":{"DOI":"10.1177/0094306116671949mm","ISBN":"9781452944074","ISSN":"0094-3061","abstract":"We inhabit a perpetually accelerating and increasingly interconnected world, with new ideas, fads, and fashions moving at social-media speed. New policy ideas, especially “ideas that work,” are now able to find not only a worldwide audience but also transnational salience in remarkably short order. Fast Policy is the first systematic treatment of this phenomenon, one that compares processes of policy development across two rapidly moving fields that emerged in the Global South and have quickly been adopted worldwide? conditional cash transfers (a social policy program that conditions payments on behavioral compliance) and participatory budgeting (a form of citizen-centric urban governance). Jamie Peck and Nik Theodore critically analyze the growing transnational connectivity between policymaking arenas and modes of policy development, assessing the implications of these developments for contemporary policymaking. Emphasizing that policy models do not simply travel intact from sites of invention to sites of emulation, they problematize fast policy as a phenomenon that is real and consequential yet prone to misrepresentation. Based on fieldwork conducted across six continents and in fifteen countries, Fast Policy is an essential resource in providing an extended theoretical discussion of policy mobility and in presenting a methodology for ethnographic research on global social policy.","author":[{"dropping-particle":"","family":"Peck","given":"Jamie","non-dropping-particle":"","parse-names":false,"suffix":""},{"dropping-particle":"","family":"Theodore","given":"Nik","non-dropping-particle":"","parse-names":false,"suffix":""}],"container-title":"Fast Policy: Experimental Statecraft at the Thresholds of Neoliberalism","id":"ITEM-2","issued":{"date-parts":[["2015"]]},"number-of-pages":"1-300","title":"Fast policy: Experimental statecraft at the thresholds of neoliberalism","type":"book"},"uris":["http://www.mendeley.com/documents/?uuid=5bb82d66-1531-3d64-bc72-cbb3af0cd865"]}],"mendeley":{"formattedCitation":"(Peck and Theodore, 2012, 2015)","plainTextFormattedCitation":"(Peck and Theodore, 2012, 2015)","previouslyFormattedCitation":"(Peck and Theodore, 2012, 2015)"},"properties":{"noteIndex":0},"schema":"https://github.com/citation-style-language/schema/raw/master/csl-citation.json"}</w:instrText>
      </w:r>
      <w:r w:rsidRPr="000E3A4A">
        <w:rPr>
          <w:rFonts w:cs="Times New Roman"/>
          <w:sz w:val="22"/>
        </w:rPr>
        <w:fldChar w:fldCharType="separate"/>
      </w:r>
      <w:r w:rsidR="00042533" w:rsidRPr="00042533">
        <w:rPr>
          <w:rFonts w:cs="Times New Roman"/>
          <w:noProof/>
          <w:sz w:val="22"/>
        </w:rPr>
        <w:t>(Peck and Theodore, 2012, 2015)</w:t>
      </w:r>
      <w:r w:rsidRPr="000E3A4A">
        <w:rPr>
          <w:rFonts w:cs="Times New Roman"/>
          <w:sz w:val="22"/>
        </w:rPr>
        <w:fldChar w:fldCharType="end"/>
      </w:r>
      <w:r w:rsidRPr="000E3A4A">
        <w:rPr>
          <w:rFonts w:cs="Times New Roman"/>
          <w:sz w:val="22"/>
        </w:rPr>
        <w:t xml:space="preserve"> as an appropriate methodology to apply to this new analytical focus. Through following the caviar trade policies, I planned to ‘de-fetishize’ the regulations by illuminating the gaps and grey areas that enable illegal caviar trade to continue. Moreover, I intended to interrogate the overlooked social, spatial, geopolitical and ecological impacts created by the </w:t>
      </w:r>
      <w:r w:rsidR="00896A88">
        <w:rPr>
          <w:rFonts w:cs="Times New Roman"/>
          <w:sz w:val="22"/>
        </w:rPr>
        <w:t xml:space="preserve">oversights and ambiguities in </w:t>
      </w:r>
      <w:r w:rsidRPr="000E3A4A">
        <w:rPr>
          <w:rFonts w:cs="Times New Roman"/>
          <w:sz w:val="22"/>
        </w:rPr>
        <w:t xml:space="preserve">EU caviar trade regulations. Importantly, my methodology to follow and locate gaps in caviar trade policy </w:t>
      </w:r>
      <w:r w:rsidR="00231E76">
        <w:rPr>
          <w:rFonts w:cs="Times New Roman"/>
          <w:sz w:val="22"/>
        </w:rPr>
        <w:t xml:space="preserve">makes </w:t>
      </w:r>
      <w:r w:rsidRPr="000E3A4A">
        <w:rPr>
          <w:rFonts w:cs="Times New Roman"/>
          <w:sz w:val="22"/>
        </w:rPr>
        <w:t xml:space="preserve">space for examining the more-than-human impacts of the caviar trade policies in the European Union. </w:t>
      </w:r>
    </w:p>
    <w:p w14:paraId="528DDCB3" w14:textId="77777777" w:rsidR="00460259" w:rsidRPr="000E3A4A" w:rsidRDefault="00460259" w:rsidP="00460259">
      <w:pPr>
        <w:rPr>
          <w:rFonts w:cs="Times New Roman"/>
          <w:sz w:val="22"/>
        </w:rPr>
      </w:pPr>
    </w:p>
    <w:p w14:paraId="27589127" w14:textId="77777777" w:rsidR="00460259" w:rsidRPr="000E3A4A" w:rsidRDefault="00460259" w:rsidP="00460259">
      <w:pPr>
        <w:pStyle w:val="Heading2"/>
      </w:pPr>
      <w:bookmarkStart w:id="28" w:name="_Toc453224201"/>
      <w:r w:rsidRPr="000E3A4A">
        <w:t>3.2 Operationalizing Follow the Policy</w:t>
      </w:r>
      <w:bookmarkEnd w:id="28"/>
      <w:r w:rsidRPr="000E3A4A">
        <w:t xml:space="preserve"> </w:t>
      </w:r>
    </w:p>
    <w:p w14:paraId="0BC53BA5" w14:textId="05D9823D" w:rsidR="00460259" w:rsidRPr="000E3A4A" w:rsidRDefault="00460259" w:rsidP="00460259">
      <w:pPr>
        <w:rPr>
          <w:rFonts w:cs="Times New Roman"/>
          <w:sz w:val="22"/>
        </w:rPr>
      </w:pPr>
      <w:r w:rsidRPr="000E3A4A">
        <w:rPr>
          <w:rFonts w:cs="Times New Roman"/>
          <w:sz w:val="22"/>
        </w:rPr>
        <w:t>Peck &amp; Theodore’s ‘follow the policy’ is directly inspired by follow the thing method</w:t>
      </w:r>
      <w:r w:rsidR="00E46189">
        <w:rPr>
          <w:rFonts w:cs="Times New Roman"/>
          <w:sz w:val="22"/>
        </w:rPr>
        <w:t>s, in that the method involves “</w:t>
      </w:r>
      <w:r w:rsidRPr="000E3A4A">
        <w:rPr>
          <w:rFonts w:cs="Times New Roman"/>
          <w:sz w:val="22"/>
        </w:rPr>
        <w:t>exploring the social lives of globalizin</w:t>
      </w:r>
      <w:r w:rsidR="00E46189">
        <w:rPr>
          <w:rFonts w:cs="Times New Roman"/>
          <w:sz w:val="22"/>
        </w:rPr>
        <w:t>g policy models”</w:t>
      </w:r>
      <w:r w:rsidRPr="000E3A4A">
        <w:rPr>
          <w:rFonts w:cs="Times New Roman"/>
          <w:sz w:val="22"/>
        </w:rPr>
        <w:t>, (Peck &amp; Theodore, 2012: 23) much like follow the thing methodologies involve explicating the social lives</w:t>
      </w:r>
      <w:r w:rsidR="00E46189">
        <w:rPr>
          <w:rFonts w:cs="Times New Roman"/>
          <w:sz w:val="22"/>
        </w:rPr>
        <w:t xml:space="preserve"> of commodities. Examining the social lives</w:t>
      </w:r>
      <w:r w:rsidRPr="000E3A4A">
        <w:rPr>
          <w:rFonts w:cs="Times New Roman"/>
          <w:sz w:val="22"/>
        </w:rPr>
        <w:t xml:space="preserve"> of globalizing policy models involves tracing how policies travel, translate, and evolve as they circulate across policy networks. It also in</w:t>
      </w:r>
      <w:r w:rsidR="00E46189">
        <w:rPr>
          <w:rFonts w:cs="Times New Roman"/>
          <w:sz w:val="22"/>
        </w:rPr>
        <w:t>volves paying attention to the “</w:t>
      </w:r>
      <w:r w:rsidRPr="000E3A4A">
        <w:rPr>
          <w:rFonts w:cs="Times New Roman"/>
          <w:sz w:val="22"/>
        </w:rPr>
        <w:t xml:space="preserve">social and ideological contexts of the policy-making process, to the politics of policy knowledge production, or to the more indeterminate zones of policy implementation </w:t>
      </w:r>
      <w:r w:rsidR="00E46189">
        <w:rPr>
          <w:rFonts w:cs="Times New Roman"/>
          <w:sz w:val="22"/>
        </w:rPr>
        <w:t>and practice”</w:t>
      </w:r>
      <w:r w:rsidRPr="000E3A4A">
        <w:rPr>
          <w:rFonts w:cs="Times New Roman"/>
          <w:sz w:val="22"/>
        </w:rPr>
        <w:t xml:space="preserve"> (Peck &amp; Theodore, 2012:23). Arguably</w:t>
      </w:r>
      <w:r w:rsidR="00E46189">
        <w:rPr>
          <w:rFonts w:cs="Times New Roman"/>
          <w:sz w:val="22"/>
        </w:rPr>
        <w:t>, I suggest that examining the social lives</w:t>
      </w:r>
      <w:r w:rsidRPr="000E3A4A">
        <w:rPr>
          <w:rFonts w:cs="Times New Roman"/>
          <w:sz w:val="22"/>
        </w:rPr>
        <w:t xml:space="preserve"> of policy should extend beyond just examining </w:t>
      </w:r>
      <w:r w:rsidRPr="000E3A4A">
        <w:rPr>
          <w:rFonts w:cs="Times New Roman"/>
          <w:i/>
          <w:sz w:val="22"/>
        </w:rPr>
        <w:t>how</w:t>
      </w:r>
      <w:r w:rsidRPr="000E3A4A">
        <w:rPr>
          <w:rFonts w:cs="Times New Roman"/>
          <w:sz w:val="22"/>
        </w:rPr>
        <w:t xml:space="preserve"> policies travel, translate, evolve and are implemented; and should also involve examining the broader more-tha</w:t>
      </w:r>
      <w:r w:rsidR="00E46189">
        <w:rPr>
          <w:rFonts w:cs="Times New Roman"/>
          <w:sz w:val="22"/>
        </w:rPr>
        <w:t>n-human implications</w:t>
      </w:r>
      <w:r w:rsidRPr="000E3A4A">
        <w:rPr>
          <w:rFonts w:cs="Times New Roman"/>
          <w:sz w:val="22"/>
        </w:rPr>
        <w:t xml:space="preserve"> of these policy circulations. </w:t>
      </w:r>
    </w:p>
    <w:p w14:paraId="288DDE71" w14:textId="4ABA62D3" w:rsidR="00460259" w:rsidRPr="000E3A4A" w:rsidRDefault="00460259" w:rsidP="00460259">
      <w:pPr>
        <w:ind w:firstLine="720"/>
        <w:rPr>
          <w:rFonts w:cs="Times New Roman"/>
          <w:sz w:val="22"/>
        </w:rPr>
      </w:pPr>
      <w:r w:rsidRPr="000E3A4A">
        <w:rPr>
          <w:rFonts w:cs="Times New Roman"/>
          <w:sz w:val="22"/>
        </w:rPr>
        <w:t>As such, the methodology I employ to follow the policy is not merely a descriptive exercise of charting policy mobilities across g</w:t>
      </w:r>
      <w:r w:rsidR="00E46189">
        <w:rPr>
          <w:rFonts w:cs="Times New Roman"/>
          <w:sz w:val="22"/>
        </w:rPr>
        <w:t>eographical space; but entails “</w:t>
      </w:r>
      <w:r w:rsidRPr="000E3A4A">
        <w:rPr>
          <w:rFonts w:cs="Times New Roman"/>
          <w:sz w:val="22"/>
        </w:rPr>
        <w:t>tracing power, exploring how it is constituted, how equality and inequality are constructed in practice, and through the processes of policy making</w:t>
      </w:r>
      <w:r w:rsidR="00E46189">
        <w:rPr>
          <w:rFonts w:cs="Times New Roman"/>
          <w:sz w:val="22"/>
        </w:rPr>
        <w:t xml:space="preserve">” </w:t>
      </w:r>
      <w:r w:rsidRPr="000E3A4A">
        <w:rPr>
          <w:rFonts w:cs="Times New Roman"/>
          <w:sz w:val="22"/>
        </w:rPr>
        <w:fldChar w:fldCharType="begin" w:fldLock="1"/>
      </w:r>
      <w:r w:rsidR="00EC7F7E">
        <w:rPr>
          <w:rFonts w:cs="Times New Roman"/>
          <w:sz w:val="22"/>
        </w:rPr>
        <w:instrText>ADDIN CSL_CITATION {"citationItems":[{"id":"ITEM-1","itemData":{"DOI":"10.1068/a44176","ISSN":"0308518X","abstract":"(2012). Guest Editorial: Researching the geographies of policy mobility: confronting the methodological challenges. Environment and Planning A, 44(1) pp. 5-12. For guidance on citations see FAQs.","author":[{"dropping-particle":"","family":"Cochrane","given":"Allan","non-dropping-particle":"","parse-names":false,"suffix":""},{"dropping-particle":"","family":"Ward","given":"Kevin","non-dropping-particle":"","parse-names":false,"suffix":""}],"container-title":"Environment and Planning A","id":"ITEM-1","issue":"1","issued":{"date-parts":[["2012"]]},"page":"5-12","title":"Researching the geographies of policy mobility: Confronting the methodological challenges","type":"article-journal","volume":"44"},"uris":["http://www.mendeley.com/documents/?uuid=15295ab3-9e54-3a1c-b540-25e3647ac47b"]}],"mendeley":{"formattedCitation":"(Cochrane and Ward, 2012)","manualFormatting":"(Cochrane and Ward, 2012: 9)","plainTextFormattedCitation":"(Cochrane and Ward, 2012)","previouslyFormattedCitation":"(Cochrane and Ward, 2012)"},"properties":{"noteIndex":0},"schema":"https://github.com/citation-style-language/schema/raw/master/csl-citation.json"}</w:instrText>
      </w:r>
      <w:r w:rsidRPr="000E3A4A">
        <w:rPr>
          <w:rFonts w:cs="Times New Roman"/>
          <w:sz w:val="22"/>
        </w:rPr>
        <w:fldChar w:fldCharType="separate"/>
      </w:r>
      <w:r w:rsidRPr="000E3A4A">
        <w:rPr>
          <w:rFonts w:cs="Times New Roman"/>
          <w:noProof/>
          <w:sz w:val="22"/>
        </w:rPr>
        <w:t>(Cochrane and Ward, 2012: 9)</w:t>
      </w:r>
      <w:r w:rsidRPr="000E3A4A">
        <w:rPr>
          <w:rFonts w:cs="Times New Roman"/>
          <w:sz w:val="22"/>
        </w:rPr>
        <w:fldChar w:fldCharType="end"/>
      </w:r>
      <w:r w:rsidRPr="000E3A4A">
        <w:rPr>
          <w:rFonts w:cs="Times New Roman"/>
          <w:sz w:val="22"/>
        </w:rPr>
        <w:t xml:space="preserve">. Although the method is rooted in critical political </w:t>
      </w:r>
      <w:r w:rsidRPr="000E3A4A">
        <w:rPr>
          <w:rFonts w:cs="Times New Roman"/>
          <w:sz w:val="22"/>
        </w:rPr>
        <w:lastRenderedPageBreak/>
        <w:t xml:space="preserve">economy and has typically been applied to fast-moving economic policies (Peck &amp; Theodore, 2015), the imperative to deconstruct the underlying power dynamics of policymaking and circulation means that the method has the potential to align well with issues of concern in (geo)political ecology. To this extent, I applied the follow the policy methodology to EU environmental policymaking, in particular focusing on the unequal impacts of policies that regulate trade in caviar. </w:t>
      </w:r>
    </w:p>
    <w:p w14:paraId="659B630D" w14:textId="71530E0C" w:rsidR="00460259" w:rsidRPr="000E3A4A" w:rsidRDefault="00460259" w:rsidP="00460259">
      <w:pPr>
        <w:rPr>
          <w:rFonts w:cs="Times New Roman"/>
          <w:sz w:val="22"/>
        </w:rPr>
      </w:pPr>
      <w:r w:rsidRPr="000E3A4A">
        <w:rPr>
          <w:rFonts w:cs="Times New Roman"/>
          <w:sz w:val="22"/>
        </w:rPr>
        <w:tab/>
        <w:t>My methodology for follow the policy takes EU caviar trade regulations as the starting point and uses mixed qualitative methods to explore the social lives of these policies, by following their creation and implementation ‘laterally’ (Peck &amp; Theodore, 2012) across different contexts in the European Union. My empirical case of EU environmental policy is qualitatively different to the types of economic policy studied by Peck &amp; Theodore (2012, 2015). However the methodology can be productively applied to this case, due to the specific nature of policymaking in the EU. EU regulations are negotiated and produced centrally by the EU institutions, and then transposed into the nati</w:t>
      </w:r>
      <w:r w:rsidR="00E46189">
        <w:rPr>
          <w:rFonts w:cs="Times New Roman"/>
          <w:sz w:val="22"/>
        </w:rPr>
        <w:t>onal legislation of the Member S</w:t>
      </w:r>
      <w:r w:rsidRPr="000E3A4A">
        <w:rPr>
          <w:rFonts w:cs="Times New Roman"/>
          <w:sz w:val="22"/>
        </w:rPr>
        <w:t>tates. This process of transposition creates potential for variability in the trajectories of policy as it circulates between EU Member States. Thus</w:t>
      </w:r>
      <w:r w:rsidR="00E46189">
        <w:rPr>
          <w:rFonts w:cs="Times New Roman"/>
          <w:sz w:val="22"/>
        </w:rPr>
        <w:t>,</w:t>
      </w:r>
      <w:r w:rsidRPr="000E3A4A">
        <w:rPr>
          <w:rFonts w:cs="Times New Roman"/>
          <w:sz w:val="22"/>
        </w:rPr>
        <w:t xml:space="preserve"> in line with Peck &amp; Theodore I</w:t>
      </w:r>
      <w:r w:rsidR="00E46189">
        <w:rPr>
          <w:rFonts w:cs="Times New Roman"/>
          <w:sz w:val="22"/>
        </w:rPr>
        <w:t xml:space="preserve"> employed a distended case study approach</w:t>
      </w:r>
      <w:r w:rsidRPr="000E3A4A">
        <w:rPr>
          <w:rFonts w:cs="Times New Roman"/>
          <w:sz w:val="22"/>
        </w:rPr>
        <w:t xml:space="preserve"> in my rese</w:t>
      </w:r>
      <w:r w:rsidR="00E46189">
        <w:rPr>
          <w:rFonts w:cs="Times New Roman"/>
          <w:sz w:val="22"/>
        </w:rPr>
        <w:t>arch design. This necessitates “</w:t>
      </w:r>
      <w:r w:rsidRPr="000E3A4A">
        <w:rPr>
          <w:rFonts w:cs="Times New Roman"/>
          <w:sz w:val="22"/>
        </w:rPr>
        <w:t>methodological travel, along the paths ca</w:t>
      </w:r>
      <w:r w:rsidR="00E46189">
        <w:rPr>
          <w:rFonts w:cs="Times New Roman"/>
          <w:sz w:val="22"/>
        </w:rPr>
        <w:t>rved by the policies themselves”</w:t>
      </w:r>
      <w:r w:rsidRPr="000E3A4A">
        <w:rPr>
          <w:rFonts w:cs="Times New Roman"/>
          <w:sz w:val="22"/>
        </w:rPr>
        <w:t xml:space="preserve"> (</w:t>
      </w:r>
      <w:r w:rsidR="00896A88">
        <w:rPr>
          <w:rFonts w:cs="Times New Roman"/>
          <w:sz w:val="22"/>
        </w:rPr>
        <w:t xml:space="preserve">Peck &amp; Theodore, </w:t>
      </w:r>
      <w:r w:rsidRPr="000E3A4A">
        <w:rPr>
          <w:rFonts w:cs="Times New Roman"/>
          <w:sz w:val="22"/>
        </w:rPr>
        <w:t>2012: 24); and results in visiting multiple locations. As such, my research is multi-sited, cov</w:t>
      </w:r>
      <w:r w:rsidR="00E46189">
        <w:rPr>
          <w:rFonts w:cs="Times New Roman"/>
          <w:sz w:val="22"/>
        </w:rPr>
        <w:t>ering multiple EU Member S</w:t>
      </w:r>
      <w:r w:rsidRPr="000E3A4A">
        <w:rPr>
          <w:rFonts w:cs="Times New Roman"/>
          <w:sz w:val="22"/>
        </w:rPr>
        <w:t>tates. Through this methodologica</w:t>
      </w:r>
      <w:r w:rsidR="00E46189">
        <w:rPr>
          <w:rFonts w:cs="Times New Roman"/>
          <w:sz w:val="22"/>
        </w:rPr>
        <w:t>l travel my research connected “</w:t>
      </w:r>
      <w:r w:rsidRPr="000E3A4A">
        <w:rPr>
          <w:rFonts w:cs="Times New Roman"/>
          <w:sz w:val="22"/>
        </w:rPr>
        <w:t>places of policy invention not only with spaces of circulation and centres of translation, but also with the prosaic nether</w:t>
      </w:r>
      <w:r w:rsidR="00E46189">
        <w:rPr>
          <w:rFonts w:cs="Times New Roman"/>
          <w:sz w:val="22"/>
        </w:rPr>
        <w:t>worlds of policy implementation”</w:t>
      </w:r>
      <w:r w:rsidRPr="000E3A4A">
        <w:rPr>
          <w:rFonts w:cs="Times New Roman"/>
          <w:sz w:val="22"/>
        </w:rPr>
        <w:t xml:space="preserve"> (ibid). It is these netherworlds of policy implementation that reveal interesting geopolitical stories of failure, power</w:t>
      </w:r>
      <w:r w:rsidR="00E46189">
        <w:rPr>
          <w:rFonts w:cs="Times New Roman"/>
          <w:sz w:val="22"/>
        </w:rPr>
        <w:t>,</w:t>
      </w:r>
      <w:r w:rsidRPr="000E3A4A">
        <w:rPr>
          <w:rFonts w:cs="Times New Roman"/>
          <w:sz w:val="22"/>
        </w:rPr>
        <w:t xml:space="preserve"> and contestation in the process of policy implementation in the EU. </w:t>
      </w:r>
    </w:p>
    <w:p w14:paraId="1533C6F0" w14:textId="58F6A6BB" w:rsidR="00460259" w:rsidRPr="000E3A4A" w:rsidRDefault="00460259" w:rsidP="00460259">
      <w:pPr>
        <w:ind w:firstLine="720"/>
        <w:rPr>
          <w:rFonts w:cs="Times New Roman"/>
          <w:sz w:val="22"/>
        </w:rPr>
      </w:pPr>
      <w:r w:rsidRPr="000E3A4A">
        <w:rPr>
          <w:rFonts w:cs="Times New Roman"/>
          <w:sz w:val="22"/>
        </w:rPr>
        <w:t>To this extent, I started my main body of fieldwork</w:t>
      </w:r>
      <w:r w:rsidRPr="005B292F">
        <w:rPr>
          <w:rStyle w:val="FootnoteReference"/>
        </w:rPr>
        <w:footnoteReference w:id="8"/>
      </w:r>
      <w:r w:rsidRPr="000E3A4A">
        <w:rPr>
          <w:rFonts w:cs="Times New Roman"/>
          <w:sz w:val="22"/>
        </w:rPr>
        <w:t xml:space="preserve"> in February 2018, in a site of policy invention: </w:t>
      </w:r>
      <w:r w:rsidR="00E46189">
        <w:rPr>
          <w:rFonts w:cs="Times New Roman"/>
          <w:sz w:val="22"/>
        </w:rPr>
        <w:t>Brussels, Belgium. From here I studied-out in a multi-directional fashion: I followed</w:t>
      </w:r>
      <w:r w:rsidRPr="000E3A4A">
        <w:rPr>
          <w:rFonts w:cs="Times New Roman"/>
          <w:sz w:val="22"/>
        </w:rPr>
        <w:t xml:space="preserve"> the trajecto</w:t>
      </w:r>
      <w:r w:rsidR="00E46189">
        <w:rPr>
          <w:rFonts w:cs="Times New Roman"/>
          <w:sz w:val="22"/>
        </w:rPr>
        <w:t>ries of caviar trade policy to “</w:t>
      </w:r>
      <w:r w:rsidRPr="000E3A4A">
        <w:rPr>
          <w:rFonts w:cs="Times New Roman"/>
          <w:sz w:val="22"/>
        </w:rPr>
        <w:t>spaces of intensive exchange but also those of contingent connection, marginalization, and exclusi</w:t>
      </w:r>
      <w:r w:rsidR="00E46189">
        <w:rPr>
          <w:rFonts w:cs="Times New Roman"/>
          <w:sz w:val="22"/>
        </w:rPr>
        <w:t>on”</w:t>
      </w:r>
      <w:r w:rsidRPr="000E3A4A">
        <w:rPr>
          <w:rFonts w:cs="Times New Roman"/>
          <w:sz w:val="22"/>
        </w:rPr>
        <w:t xml:space="preserve"> (ibid: 28). I physicall</w:t>
      </w:r>
      <w:r w:rsidR="00E46189">
        <w:rPr>
          <w:rFonts w:cs="Times New Roman"/>
          <w:sz w:val="22"/>
        </w:rPr>
        <w:t>y followed the policy across 6 Member S</w:t>
      </w:r>
      <w:r w:rsidRPr="000E3A4A">
        <w:rPr>
          <w:rFonts w:cs="Times New Roman"/>
          <w:sz w:val="22"/>
        </w:rPr>
        <w:t>tates in the European Union: UK, Austria, Belgium, Netherlands, Romania and Poland. I conducted roughly 12 weeks of fieldwork, ranging from 3 days to 4 weeks in each country</w:t>
      </w:r>
      <w:r w:rsidRPr="005B292F">
        <w:rPr>
          <w:rStyle w:val="FootnoteReference"/>
        </w:rPr>
        <w:footnoteReference w:id="9"/>
      </w:r>
      <w:r w:rsidRPr="000E3A4A">
        <w:rPr>
          <w:rFonts w:cs="Times New Roman"/>
          <w:sz w:val="22"/>
        </w:rPr>
        <w:t xml:space="preserve">. I was </w:t>
      </w:r>
      <w:r w:rsidRPr="000E3A4A">
        <w:rPr>
          <w:rFonts w:cs="Times New Roman"/>
          <w:sz w:val="22"/>
        </w:rPr>
        <w:lastRenderedPageBreak/>
        <w:t>also able to virtually follow the policy related to caviar trade (thanks to the technological affordances of Skype) to non-EU states such as Switzerland, Ukraine and USA</w:t>
      </w:r>
      <w:r w:rsidRPr="005B292F">
        <w:rPr>
          <w:rStyle w:val="FootnoteReference"/>
        </w:rPr>
        <w:footnoteReference w:id="10"/>
      </w:r>
      <w:r w:rsidRPr="000E3A4A">
        <w:rPr>
          <w:rFonts w:cs="Times New Roman"/>
          <w:sz w:val="22"/>
        </w:rPr>
        <w:t xml:space="preserve">.  </w:t>
      </w:r>
    </w:p>
    <w:p w14:paraId="7E639729" w14:textId="428A115A" w:rsidR="00460259" w:rsidRPr="000E3A4A" w:rsidRDefault="00460259" w:rsidP="00460259">
      <w:pPr>
        <w:rPr>
          <w:rFonts w:cs="Times New Roman"/>
          <w:sz w:val="22"/>
        </w:rPr>
      </w:pPr>
      <w:r w:rsidRPr="000E3A4A">
        <w:rPr>
          <w:rFonts w:cs="Times New Roman"/>
          <w:sz w:val="22"/>
        </w:rPr>
        <w:tab/>
        <w:t>It is important to note that the spatial geography that emerged from my follow the policy methodology is partial and not an exhaustive reflection of how caviar trade policy travels and is translated across the European Union. Through the process of policy following I also identified Bulgaria, Germany</w:t>
      </w:r>
      <w:r w:rsidR="00EA4160">
        <w:rPr>
          <w:rFonts w:cs="Times New Roman"/>
          <w:sz w:val="22"/>
        </w:rPr>
        <w:t>,</w:t>
      </w:r>
      <w:r w:rsidRPr="000E3A4A">
        <w:rPr>
          <w:rFonts w:cs="Times New Roman"/>
          <w:sz w:val="22"/>
        </w:rPr>
        <w:t xml:space="preserve"> and France as EU Member States in which I could follow the policy to. However access to people and events, and the time constraints of conducting PhD fieldwork were the factors that determined the final geography of my study, and ultimately prevented me from further extending my methodology to these countries. </w:t>
      </w:r>
    </w:p>
    <w:p w14:paraId="4DAB0604" w14:textId="37259938" w:rsidR="00460259" w:rsidRPr="000E3A4A" w:rsidRDefault="00460259" w:rsidP="00460259">
      <w:pPr>
        <w:ind w:firstLine="720"/>
        <w:rPr>
          <w:rFonts w:cs="Times New Roman"/>
          <w:sz w:val="22"/>
        </w:rPr>
      </w:pPr>
      <w:r w:rsidRPr="000E3A4A">
        <w:rPr>
          <w:rFonts w:cs="Times New Roman"/>
          <w:sz w:val="22"/>
        </w:rPr>
        <w:t xml:space="preserve">At times, I found the geographically unscripted nature of this methodology difficult to manage, and sometimes frustrating. I recall following the policy to the Netherlands, where I conducted 10 interviews. However, many of these interviews turned out to be very generalised around wildlife crime and EU wildlife trade policy, rather than focused on caviar trade policy. When pushing interviewees towards questions on caviar policy, many </w:t>
      </w:r>
      <w:r w:rsidR="00EA4160">
        <w:rPr>
          <w:rFonts w:cs="Times New Roman"/>
          <w:sz w:val="22"/>
        </w:rPr>
        <w:t>told me that if I wanted to “talk caviar”</w:t>
      </w:r>
      <w:r w:rsidRPr="000E3A4A">
        <w:rPr>
          <w:rFonts w:cs="Times New Roman"/>
          <w:sz w:val="22"/>
        </w:rPr>
        <w:t xml:space="preserve"> I should travel elsewhere in the EU and interview other people. Following policy led me to the Netherlands, but at the time I worried that I should have been somewhere else. Peck &amp; Theodore acknowledge that this feeling of needing to be elsewhere often runs through follow the policy research. Howe</w:t>
      </w:r>
      <w:r w:rsidR="00EA4160">
        <w:rPr>
          <w:rFonts w:cs="Times New Roman"/>
          <w:sz w:val="22"/>
        </w:rPr>
        <w:t>ver they note that practically “</w:t>
      </w:r>
      <w:r w:rsidRPr="000E3A4A">
        <w:rPr>
          <w:rFonts w:cs="Times New Roman"/>
          <w:sz w:val="22"/>
        </w:rPr>
        <w:t>it is not always possible to ‘be there’, when in the study of global policy networks there is a constant imperat</w:t>
      </w:r>
      <w:r w:rsidR="00EA4160">
        <w:rPr>
          <w:rFonts w:cs="Times New Roman"/>
          <w:sz w:val="22"/>
        </w:rPr>
        <w:t>ive to also ‘be’ somewhere else”</w:t>
      </w:r>
      <w:r w:rsidRPr="000E3A4A">
        <w:rPr>
          <w:rFonts w:cs="Times New Roman"/>
          <w:sz w:val="22"/>
        </w:rPr>
        <w:t xml:space="preserve"> (2012: 25). As such, they suggest that due to the potentially boundless geographical nature of t</w:t>
      </w:r>
      <w:r w:rsidR="00EA4160">
        <w:rPr>
          <w:rFonts w:cs="Times New Roman"/>
          <w:sz w:val="22"/>
        </w:rPr>
        <w:t>he methodology, methodological “saturation” is sometimes “practically unattainable”</w:t>
      </w:r>
      <w:r w:rsidRPr="000E3A4A">
        <w:rPr>
          <w:rFonts w:cs="Times New Roman"/>
          <w:sz w:val="22"/>
        </w:rPr>
        <w:t xml:space="preserve"> (ibid). Admittedly, I did not r</w:t>
      </w:r>
      <w:r w:rsidR="00EA4160">
        <w:rPr>
          <w:rFonts w:cs="Times New Roman"/>
          <w:sz w:val="22"/>
        </w:rPr>
        <w:t>each methodological saturation</w:t>
      </w:r>
      <w:r w:rsidRPr="000E3A4A">
        <w:rPr>
          <w:rFonts w:cs="Times New Roman"/>
          <w:sz w:val="22"/>
        </w:rPr>
        <w:t xml:space="preserve">. I did however accept an end-point to the geographical scope of my research, as I recognised that I could not feasibly follow caviar trade policy everywhere in the EU. </w:t>
      </w:r>
    </w:p>
    <w:p w14:paraId="3512A6B0" w14:textId="43F5B4C4" w:rsidR="00460259" w:rsidRPr="000E3A4A" w:rsidRDefault="00460259" w:rsidP="00460259">
      <w:pPr>
        <w:rPr>
          <w:rFonts w:cs="Times New Roman"/>
          <w:sz w:val="22"/>
        </w:rPr>
      </w:pPr>
      <w:r w:rsidRPr="000E3A4A">
        <w:rPr>
          <w:rFonts w:cs="Times New Roman"/>
          <w:sz w:val="22"/>
        </w:rPr>
        <w:tab/>
        <w:t>When collecting data, I adapted Astrid Wood’s (2016) framework for tracing policy circulations. Wood (2016) proposes that one should follow the people, follow the materials, and follow the meetings, in order to chart the processes of policy circulation and learning. Alongside following the people, materials</w:t>
      </w:r>
      <w:r w:rsidR="00332E7D">
        <w:rPr>
          <w:rFonts w:cs="Times New Roman"/>
          <w:sz w:val="22"/>
        </w:rPr>
        <w:t>,</w:t>
      </w:r>
      <w:r w:rsidRPr="000E3A4A">
        <w:rPr>
          <w:rFonts w:cs="Times New Roman"/>
          <w:sz w:val="22"/>
        </w:rPr>
        <w:t xml:space="preserve"> and meetings, I also incorporated ‘follow the sturgeon’ into my methodology. In doing so, my methodology for policy following more squarely aligns with my more-than-human theoretical orientation. I now t</w:t>
      </w:r>
      <w:r w:rsidR="00332E7D">
        <w:rPr>
          <w:rFonts w:cs="Times New Roman"/>
          <w:sz w:val="22"/>
        </w:rPr>
        <w:t xml:space="preserve">ake people, sturgeon, materials, </w:t>
      </w:r>
      <w:r w:rsidRPr="000E3A4A">
        <w:rPr>
          <w:rFonts w:cs="Times New Roman"/>
          <w:sz w:val="22"/>
        </w:rPr>
        <w:t xml:space="preserve">and meetings in turn, describing the combination of qualitative methods I used to follow them. I followed people, sturgeon, </w:t>
      </w:r>
      <w:r w:rsidRPr="000E3A4A">
        <w:rPr>
          <w:rFonts w:cs="Times New Roman"/>
          <w:sz w:val="22"/>
        </w:rPr>
        <w:lastRenderedPageBreak/>
        <w:t xml:space="preserve">materials and meetings as a way of: identifying the gaps and grey areas in caviar trade policies; interrogating what the broader </w:t>
      </w:r>
      <w:r w:rsidR="00332E7D">
        <w:rPr>
          <w:rFonts w:cs="Times New Roman"/>
          <w:sz w:val="22"/>
        </w:rPr>
        <w:t xml:space="preserve">geopolitical-ecological implications </w:t>
      </w:r>
      <w:r w:rsidRPr="000E3A4A">
        <w:rPr>
          <w:rFonts w:cs="Times New Roman"/>
          <w:sz w:val="22"/>
        </w:rPr>
        <w:t>of these policy idiosyncrasies have been; explicating the role of the nonhuman in shaping the impacts of the policies. Underlying this methodology is a consideration of how power is exercised and contested in the production, circulation</w:t>
      </w:r>
      <w:r w:rsidR="00332E7D">
        <w:rPr>
          <w:rFonts w:cs="Times New Roman"/>
          <w:sz w:val="22"/>
        </w:rPr>
        <w:t>,</w:t>
      </w:r>
      <w:r w:rsidRPr="000E3A4A">
        <w:rPr>
          <w:rFonts w:cs="Times New Roman"/>
          <w:sz w:val="22"/>
        </w:rPr>
        <w:t xml:space="preserve"> and implementation of caviar trade policies in the EU. </w:t>
      </w:r>
    </w:p>
    <w:p w14:paraId="2791829C" w14:textId="77777777" w:rsidR="00460259" w:rsidRPr="000E3A4A" w:rsidRDefault="00460259" w:rsidP="00460259">
      <w:pPr>
        <w:rPr>
          <w:rFonts w:cs="Times New Roman"/>
          <w:sz w:val="22"/>
        </w:rPr>
      </w:pPr>
    </w:p>
    <w:p w14:paraId="144C57E4" w14:textId="77777777" w:rsidR="00460259" w:rsidRPr="000E3A4A" w:rsidRDefault="00460259" w:rsidP="00460259">
      <w:pPr>
        <w:pStyle w:val="Heading3"/>
      </w:pPr>
      <w:bookmarkStart w:id="29" w:name="_Toc453224202"/>
      <w:r w:rsidRPr="000E3A4A">
        <w:t>3.2.1 Follow the people</w:t>
      </w:r>
      <w:bookmarkEnd w:id="29"/>
    </w:p>
    <w:p w14:paraId="4FD488AA" w14:textId="1CCAB96C" w:rsidR="00460259" w:rsidRPr="000E3A4A" w:rsidRDefault="00460259" w:rsidP="00460259">
      <w:pPr>
        <w:rPr>
          <w:rFonts w:cs="Times New Roman"/>
          <w:sz w:val="22"/>
        </w:rPr>
      </w:pPr>
      <w:r w:rsidRPr="000E3A4A">
        <w:rPr>
          <w:rFonts w:cs="Times New Roman"/>
          <w:sz w:val="22"/>
        </w:rPr>
        <w:t>Following the peo</w:t>
      </w:r>
      <w:r w:rsidR="00332E7D">
        <w:rPr>
          <w:rFonts w:cs="Times New Roman"/>
          <w:sz w:val="22"/>
        </w:rPr>
        <w:t>ple “</w:t>
      </w:r>
      <w:r w:rsidRPr="000E3A4A">
        <w:rPr>
          <w:rFonts w:cs="Times New Roman"/>
          <w:sz w:val="22"/>
        </w:rPr>
        <w:t>involves face-to-face engagements, typicall</w:t>
      </w:r>
      <w:r w:rsidR="00332E7D">
        <w:rPr>
          <w:rFonts w:cs="Times New Roman"/>
          <w:sz w:val="22"/>
        </w:rPr>
        <w:t>y taking the form of interviews”</w:t>
      </w:r>
      <w:r w:rsidRPr="000E3A4A">
        <w:rPr>
          <w:rFonts w:cs="Times New Roman"/>
          <w:sz w:val="22"/>
        </w:rPr>
        <w:t xml:space="preserve"> (Wood, 2016: 395). Rather than shadowing people’s movements, follow the people as envisaged by Wood takes a grounded </w:t>
      </w:r>
      <w:r w:rsidR="00332E7D">
        <w:rPr>
          <w:rFonts w:cs="Times New Roman"/>
          <w:sz w:val="22"/>
        </w:rPr>
        <w:t>approach, asking interlocutors “</w:t>
      </w:r>
      <w:r w:rsidRPr="000E3A4A">
        <w:rPr>
          <w:rFonts w:cs="Times New Roman"/>
          <w:sz w:val="22"/>
        </w:rPr>
        <w:t>to interpret and reflect on their own d</w:t>
      </w:r>
      <w:r w:rsidR="00332E7D">
        <w:rPr>
          <w:rFonts w:cs="Times New Roman"/>
          <w:sz w:val="22"/>
        </w:rPr>
        <w:t>ecisions and learning processes”</w:t>
      </w:r>
      <w:r w:rsidRPr="000E3A4A">
        <w:rPr>
          <w:rFonts w:cs="Times New Roman"/>
          <w:sz w:val="22"/>
        </w:rPr>
        <w:t xml:space="preserve"> (2016: 395) that connect them to the policy circulation process. To do this, I used semi-structured interviews as my primary method of data collection. Interviews provide a means of “understanding interpretations, experiences and spatialities of social life” (Dowling </w:t>
      </w:r>
      <w:r w:rsidRPr="00C6158D">
        <w:rPr>
          <w:rFonts w:cs="Times New Roman"/>
          <w:i/>
          <w:sz w:val="22"/>
        </w:rPr>
        <w:t>et al</w:t>
      </w:r>
      <w:r w:rsidR="00C6158D">
        <w:rPr>
          <w:rFonts w:cs="Times New Roman"/>
          <w:i/>
          <w:sz w:val="22"/>
        </w:rPr>
        <w:t>.</w:t>
      </w:r>
      <w:r w:rsidRPr="000E3A4A">
        <w:rPr>
          <w:rFonts w:cs="Times New Roman"/>
          <w:sz w:val="22"/>
        </w:rPr>
        <w:t xml:space="preserve">, 2016: 680). I used interviews to explore how my interlocutors were variably connected to, and impacted by EU caviar trade policies. </w:t>
      </w:r>
    </w:p>
    <w:p w14:paraId="278BBC7F" w14:textId="77777777" w:rsidR="00460259" w:rsidRPr="000E3A4A" w:rsidRDefault="00460259" w:rsidP="00460259">
      <w:pPr>
        <w:rPr>
          <w:rFonts w:cs="Times New Roman"/>
          <w:sz w:val="22"/>
        </w:rPr>
      </w:pPr>
      <w:r w:rsidRPr="000E3A4A">
        <w:rPr>
          <w:rFonts w:cs="Times New Roman"/>
          <w:sz w:val="22"/>
        </w:rPr>
        <w:tab/>
        <w:t>I conducted 40 formal interviews, with a total of 51 interlocutors</w:t>
      </w:r>
      <w:r w:rsidRPr="005B292F">
        <w:rPr>
          <w:rStyle w:val="FootnoteReference"/>
        </w:rPr>
        <w:footnoteReference w:id="11"/>
      </w:r>
      <w:r w:rsidRPr="000E3A4A">
        <w:rPr>
          <w:rFonts w:cs="Times New Roman"/>
          <w:sz w:val="22"/>
        </w:rPr>
        <w:t xml:space="preserve"> between December 2017 and May 2019. My main body of fieldwork commenced in February 2018 and ended in August 2018. The 40 interviews were geographically split as follows: Netherlands (10); Romania (9); Belgium (8); UK (6); USA (3); Austria (2); Switzerland (1); Ukraine (1). I loosely categorised the 51 interlocutors into six broad sectors based upon their occupations: Policy (11); NGO (10); Industry (9); Law Enforcement (9); Researchers (9); Judicial (3). These categorisations served a necessary methodological purpose by enabling me to simplify and quantifiably demarcate between the major occupational groupings either affecting and/or affected by caviar trade policy. By categorising individuals I could keep track of the evenness of coverage I achieved across the different key sectors. Ultimately my interviewees constitute a diverse sample, representing a continuum of views and professions linked to the caviar trade. My sample produced rich insights, but I do not claim that my findings are generalizable or that the views of the individuals interviewed are representative of the different sectors as a whole. </w:t>
      </w:r>
    </w:p>
    <w:p w14:paraId="36CB2CB4" w14:textId="5CB1298D" w:rsidR="00460259" w:rsidRPr="000E3A4A" w:rsidRDefault="00460259" w:rsidP="00460259">
      <w:pPr>
        <w:ind w:firstLine="720"/>
        <w:rPr>
          <w:rFonts w:cs="Times New Roman"/>
          <w:sz w:val="22"/>
        </w:rPr>
      </w:pPr>
      <w:r w:rsidRPr="000E3A4A">
        <w:rPr>
          <w:rFonts w:cs="Times New Roman"/>
          <w:sz w:val="22"/>
        </w:rPr>
        <w:t xml:space="preserve">Furthermore, it is important to note that the above categories are abstractions, and do not fully reflect the diversity of the interlocutors. For some individuals it was difficult to fit them into a neatly bounded category, as they wore multiple ‘hats’. For example, I interviewed three individuals currently working as wildlife crime consultants, but coded them as either ‘policy’, ‘law enforcement’ or ‘NGO’ given that their ‘past’ identities were the capacity in which they were talking to me. Moreover, it is </w:t>
      </w:r>
      <w:r w:rsidRPr="000E3A4A">
        <w:rPr>
          <w:rFonts w:cs="Times New Roman"/>
          <w:sz w:val="22"/>
        </w:rPr>
        <w:lastRenderedPageBreak/>
        <w:t>important to note that the individuals placed under the broad categories were heterogeneous in terms of occupation, class, gender, nationality</w:t>
      </w:r>
      <w:r w:rsidR="00E43193">
        <w:rPr>
          <w:rFonts w:cs="Times New Roman"/>
          <w:sz w:val="22"/>
        </w:rPr>
        <w:t>,</w:t>
      </w:r>
      <w:r w:rsidRPr="000E3A4A">
        <w:rPr>
          <w:rFonts w:cs="Times New Roman"/>
          <w:sz w:val="22"/>
        </w:rPr>
        <w:t xml:space="preserve"> and other indices of difference.  To counter the abstraction of the categories that the interviewees are placed under here, I contextualise all quotations used in the thesis with information related to the lived experience of the interlocutors. This includes occupati</w:t>
      </w:r>
      <w:r w:rsidR="00E43193">
        <w:rPr>
          <w:rFonts w:cs="Times New Roman"/>
          <w:sz w:val="22"/>
        </w:rPr>
        <w:t>on, gender, nationality, and month and country</w:t>
      </w:r>
      <w:r w:rsidRPr="000E3A4A">
        <w:rPr>
          <w:rFonts w:cs="Times New Roman"/>
          <w:sz w:val="22"/>
        </w:rPr>
        <w:t xml:space="preserve"> of the interview. However I am careful to ensure that no identifying information is provided. </w:t>
      </w:r>
    </w:p>
    <w:p w14:paraId="2B7EC3B1" w14:textId="33FC70C8" w:rsidR="00460259" w:rsidRPr="000E3A4A" w:rsidRDefault="00460259" w:rsidP="00460259">
      <w:pPr>
        <w:rPr>
          <w:rFonts w:cs="Times New Roman"/>
          <w:sz w:val="22"/>
        </w:rPr>
      </w:pPr>
      <w:r w:rsidRPr="000E3A4A">
        <w:rPr>
          <w:rFonts w:cs="Times New Roman"/>
          <w:sz w:val="22"/>
        </w:rPr>
        <w:tab/>
        <w:t>I commenced the follow the people component of my policy following methodology by conducting an initial scoping exercise to identify key individuals and organisations directly linked to caviar trade policy. I combined online searches with the information I received from the programme and list of attendees for the 8</w:t>
      </w:r>
      <w:r w:rsidRPr="000E3A4A">
        <w:rPr>
          <w:rFonts w:cs="Times New Roman"/>
          <w:sz w:val="22"/>
          <w:vertAlign w:val="superscript"/>
        </w:rPr>
        <w:t>th</w:t>
      </w:r>
      <w:r w:rsidRPr="000E3A4A">
        <w:rPr>
          <w:rFonts w:cs="Times New Roman"/>
          <w:sz w:val="22"/>
        </w:rPr>
        <w:t xml:space="preserve"> International Sturgeon Symposium (ISS8) held at the University of Life Sciences and Natural Resources (BOKU)</w:t>
      </w:r>
      <w:r w:rsidR="00E43193">
        <w:rPr>
          <w:rFonts w:cs="Times New Roman"/>
          <w:sz w:val="22"/>
        </w:rPr>
        <w:t xml:space="preserve"> </w:t>
      </w:r>
      <w:r w:rsidRPr="000E3A4A">
        <w:rPr>
          <w:rFonts w:cs="Times New Roman"/>
          <w:sz w:val="22"/>
        </w:rPr>
        <w:t>in Vienna</w:t>
      </w:r>
      <w:r w:rsidR="00E43193">
        <w:rPr>
          <w:rFonts w:cs="Times New Roman"/>
          <w:sz w:val="22"/>
        </w:rPr>
        <w:t xml:space="preserve"> </w:t>
      </w:r>
      <w:r w:rsidRPr="000E3A4A">
        <w:rPr>
          <w:rFonts w:cs="Times New Roman"/>
          <w:sz w:val="22"/>
        </w:rPr>
        <w:t>in September 2017</w:t>
      </w:r>
      <w:r w:rsidRPr="005B292F">
        <w:rPr>
          <w:rStyle w:val="FootnoteReference"/>
        </w:rPr>
        <w:footnoteReference w:id="12"/>
      </w:r>
      <w:r w:rsidRPr="000E3A4A">
        <w:rPr>
          <w:rFonts w:cs="Times New Roman"/>
          <w:sz w:val="22"/>
        </w:rPr>
        <w:t xml:space="preserve">. By attending the symposium sessions at ISS8 and engaging in informal meetings and discussions at the conference, I began populating a list of prominent figures that I wished to formally interview. Through this scoping at ISS8 and three preliminary Skype and telephone interviews, I began to identify caviar trade policy hotspots or what Peck &amp; Theodore (2012) might term sites of ‘intensive exchange’. </w:t>
      </w:r>
    </w:p>
    <w:p w14:paraId="39263006" w14:textId="77777777" w:rsidR="00460259" w:rsidRPr="000E3A4A" w:rsidRDefault="00460259" w:rsidP="00460259">
      <w:pPr>
        <w:ind w:firstLine="720"/>
        <w:rPr>
          <w:rFonts w:cs="Times New Roman"/>
          <w:sz w:val="22"/>
        </w:rPr>
      </w:pPr>
      <w:r w:rsidRPr="000E3A4A">
        <w:rPr>
          <w:rFonts w:cs="Times New Roman"/>
          <w:sz w:val="22"/>
        </w:rPr>
        <w:t xml:space="preserve">Brussels emerged as the key starting point for policy following. As such, I started to follow the people in Brussels and began face-to-face interviews there in February 2018. My criteria for identifying appropriate people to interview were as follows: </w:t>
      </w:r>
    </w:p>
    <w:p w14:paraId="090D1E0A" w14:textId="77777777" w:rsidR="00460259" w:rsidRPr="000E3A4A" w:rsidRDefault="00460259" w:rsidP="00460259">
      <w:pPr>
        <w:rPr>
          <w:rFonts w:cs="Times New Roman"/>
          <w:sz w:val="22"/>
        </w:rPr>
      </w:pPr>
      <w:r w:rsidRPr="000E3A4A">
        <w:rPr>
          <w:rFonts w:cs="Times New Roman"/>
          <w:sz w:val="22"/>
        </w:rPr>
        <w:t xml:space="preserve">a) Policymakers and/or government representatives responsible for producing regional/national legislation related to caviar trade </w:t>
      </w:r>
    </w:p>
    <w:p w14:paraId="57462086" w14:textId="77777777" w:rsidR="00460259" w:rsidRPr="000E3A4A" w:rsidRDefault="00460259" w:rsidP="00460259">
      <w:pPr>
        <w:rPr>
          <w:rFonts w:cs="Times New Roman"/>
          <w:sz w:val="22"/>
        </w:rPr>
      </w:pPr>
      <w:r w:rsidRPr="000E3A4A">
        <w:rPr>
          <w:rFonts w:cs="Times New Roman"/>
          <w:sz w:val="22"/>
        </w:rPr>
        <w:t xml:space="preserve">b) Caviar industry representatives </w:t>
      </w:r>
    </w:p>
    <w:p w14:paraId="385AAC0B" w14:textId="77777777" w:rsidR="00460259" w:rsidRPr="000E3A4A" w:rsidRDefault="00460259" w:rsidP="00460259">
      <w:pPr>
        <w:rPr>
          <w:rFonts w:cs="Times New Roman"/>
          <w:sz w:val="22"/>
        </w:rPr>
      </w:pPr>
      <w:r w:rsidRPr="000E3A4A">
        <w:rPr>
          <w:rFonts w:cs="Times New Roman"/>
          <w:sz w:val="22"/>
        </w:rPr>
        <w:t xml:space="preserve">c) NGO representatives working on sturgeon conservation and caviar trade issues </w:t>
      </w:r>
    </w:p>
    <w:p w14:paraId="0986E30A" w14:textId="77777777" w:rsidR="00460259" w:rsidRPr="000E3A4A" w:rsidRDefault="00460259" w:rsidP="00460259">
      <w:pPr>
        <w:rPr>
          <w:rFonts w:cs="Times New Roman"/>
          <w:sz w:val="22"/>
        </w:rPr>
      </w:pPr>
      <w:r w:rsidRPr="000E3A4A">
        <w:rPr>
          <w:rFonts w:cs="Times New Roman"/>
          <w:sz w:val="22"/>
        </w:rPr>
        <w:t xml:space="preserve">d) Enforcement officers responsible for enforcing the caviar trade regulations </w:t>
      </w:r>
    </w:p>
    <w:p w14:paraId="16C09D39" w14:textId="77777777" w:rsidR="00460259" w:rsidRPr="000E3A4A" w:rsidRDefault="00460259" w:rsidP="00460259">
      <w:pPr>
        <w:rPr>
          <w:rFonts w:cs="Times New Roman"/>
          <w:sz w:val="22"/>
        </w:rPr>
      </w:pPr>
      <w:r w:rsidRPr="000E3A4A">
        <w:rPr>
          <w:rFonts w:cs="Times New Roman"/>
          <w:sz w:val="22"/>
        </w:rPr>
        <w:t xml:space="preserve">e) Other individuals whose work had brought them into contact with caviar trade policy </w:t>
      </w:r>
    </w:p>
    <w:p w14:paraId="765C5C16" w14:textId="4735E767" w:rsidR="00460259" w:rsidRPr="000E3A4A" w:rsidRDefault="00460259" w:rsidP="00460259">
      <w:pPr>
        <w:rPr>
          <w:rFonts w:cs="Times New Roman"/>
          <w:sz w:val="22"/>
        </w:rPr>
      </w:pPr>
      <w:r w:rsidRPr="000E3A4A">
        <w:rPr>
          <w:rFonts w:cs="Times New Roman"/>
          <w:sz w:val="22"/>
        </w:rPr>
        <w:t xml:space="preserve">I began by approaching individuals from the main target groups: policy, industry, NGOs and enforcement. From there, I employed a snowball sampling technique whereby my interviewees played an active role in identifying and/or putting me in touch with other individuals that may be of interest to my research. Through this snowball sampling method I followed policy laterally across the European Union, moving in a multi-directional manner starting in Belgium and spanning the </w:t>
      </w:r>
      <w:r w:rsidRPr="000E3A4A">
        <w:rPr>
          <w:rFonts w:cs="Times New Roman"/>
          <w:sz w:val="22"/>
        </w:rPr>
        <w:lastRenderedPageBreak/>
        <w:t>Netherlands, Romania, UK, and Poland; as well as spanning different cities and regions within these countries.</w:t>
      </w:r>
      <w:r w:rsidR="003B4E13">
        <w:rPr>
          <w:rFonts w:cs="Times New Roman"/>
          <w:sz w:val="22"/>
        </w:rPr>
        <w:t xml:space="preserve"> </w:t>
      </w:r>
    </w:p>
    <w:p w14:paraId="5045A3AA" w14:textId="43331C41" w:rsidR="00460259" w:rsidRPr="000E3A4A" w:rsidRDefault="00460259" w:rsidP="00EB7906">
      <w:pPr>
        <w:ind w:firstLine="720"/>
        <w:rPr>
          <w:rFonts w:cs="Times New Roman"/>
          <w:sz w:val="22"/>
        </w:rPr>
      </w:pPr>
      <w:r w:rsidRPr="000E3A4A">
        <w:rPr>
          <w:rFonts w:cs="Times New Roman"/>
          <w:sz w:val="22"/>
        </w:rPr>
        <w:t xml:space="preserve">Even when using a snowballing sampling method, arranging and conducting interviews is a time-consuming, labour intensive, and sometimes </w:t>
      </w:r>
      <w:r w:rsidR="003B4E13">
        <w:rPr>
          <w:rFonts w:cs="Times New Roman"/>
          <w:sz w:val="22"/>
        </w:rPr>
        <w:t xml:space="preserve">difficult </w:t>
      </w:r>
      <w:r w:rsidRPr="000E3A4A">
        <w:rPr>
          <w:rFonts w:cs="Times New Roman"/>
          <w:sz w:val="22"/>
        </w:rPr>
        <w:t>process. For example, I encountered</w:t>
      </w:r>
      <w:r w:rsidR="003B4E13">
        <w:rPr>
          <w:rFonts w:cs="Times New Roman"/>
          <w:sz w:val="22"/>
        </w:rPr>
        <w:t xml:space="preserve"> problems in arranging interviews in Romania, as I didn’t have an authoritative grasp of the institutionalised </w:t>
      </w:r>
      <w:r w:rsidR="00DD18B9">
        <w:rPr>
          <w:rFonts w:cs="Times New Roman"/>
          <w:sz w:val="22"/>
        </w:rPr>
        <w:t>protocols of arranging interviews with government agencies and civil society organisations in the country. I made requests for interviews via email as standard, but on arriving in Roma</w:t>
      </w:r>
      <w:r w:rsidR="00781BF9">
        <w:rPr>
          <w:rFonts w:cs="Times New Roman"/>
          <w:sz w:val="22"/>
        </w:rPr>
        <w:t>nia most of these emails had gone</w:t>
      </w:r>
      <w:r w:rsidR="00DD18B9">
        <w:rPr>
          <w:rFonts w:cs="Times New Roman"/>
          <w:sz w:val="22"/>
        </w:rPr>
        <w:t xml:space="preserve"> unanswered. By chance</w:t>
      </w:r>
      <w:r w:rsidR="00781BF9">
        <w:rPr>
          <w:rFonts w:cs="Times New Roman"/>
          <w:sz w:val="22"/>
        </w:rPr>
        <w:t xml:space="preserve"> after a few days in the country</w:t>
      </w:r>
      <w:r w:rsidR="00DD18B9">
        <w:rPr>
          <w:rFonts w:cs="Times New Roman"/>
          <w:sz w:val="22"/>
        </w:rPr>
        <w:t xml:space="preserve">, a potential interviewee responded to my interview request via WhatsApp, and subsequently informed me that </w:t>
      </w:r>
      <w:r w:rsidR="00781BF9">
        <w:rPr>
          <w:rFonts w:cs="Times New Roman"/>
          <w:sz w:val="22"/>
        </w:rPr>
        <w:t xml:space="preserve">arranging meetings via phone at relatively short-notice, was the norm. From then on I adapted my approach and was more forthcoming in contacting interlocutors via WhatsApp or phone-call, although this was out of my comfort-zone. My lack of knowledge around the etiquette of organising interviews in Romania ultimately meant that I was unable to interview some key individuals that I had initially identified, as I only had limited time in the country. However </w:t>
      </w:r>
      <w:r w:rsidR="00EB7906">
        <w:rPr>
          <w:rFonts w:cs="Times New Roman"/>
          <w:sz w:val="22"/>
        </w:rPr>
        <w:t xml:space="preserve">the experience was instructive, as it demonstrated the need to be an adaptable researcher when in the field. </w:t>
      </w:r>
      <w:r w:rsidRPr="000E3A4A">
        <w:rPr>
          <w:rFonts w:cs="Times New Roman"/>
          <w:sz w:val="22"/>
        </w:rPr>
        <w:t xml:space="preserve"> </w:t>
      </w:r>
    </w:p>
    <w:p w14:paraId="1AA48B59" w14:textId="22483B0D" w:rsidR="00460259" w:rsidRPr="000E3A4A" w:rsidRDefault="00460259" w:rsidP="00460259">
      <w:pPr>
        <w:ind w:firstLine="720"/>
        <w:rPr>
          <w:rFonts w:cs="Times New Roman"/>
          <w:sz w:val="22"/>
        </w:rPr>
      </w:pPr>
      <w:r w:rsidRPr="000E3A4A">
        <w:rPr>
          <w:rFonts w:cs="Times New Roman"/>
          <w:sz w:val="22"/>
        </w:rPr>
        <w:t xml:space="preserve">In terms of accessing individuals from my main target groups - policy, industry, enforcement, and NGOs – I generally found individuals in the caviar industry less receptive to engaging in interviews. As an outsider it was difficult to gain access to individuals in this sector. Unlike NGO representatives or policymakers whose emails and phone numbers are easily identifiable, most caviar companies only publish generic company email addresses or phone numbers online. I found that the emails I sent to these generic addresses mostly went unanswered. Furthermore, I came to understand that within the caviar industry there is a noticeable atmosphere of mistrust and hostility between some companies. On a few occasions I had to reassure individuals that I was not a ‘mole’ for a competitor company. Despite reassuring individuals that I was not looking to uncover illegal activity, and that all participants would be given anonymity, ultimately I think the critical nature of my research topic dissuaded many caviar industry representatives from taking part in the research. In the end, the caviar industry representatives that I interviewed (with one exception), I had either previously met in person or was directly put in touch with by another interviewee. The difficulty I had in accessing caviar industry representatives should not be seen as a limitation of the research. I found the process of attempting to locate and organise interviews with individuals in the caviar sector incredibly frustrating, but equally interesting as my experiences were revealing about the mysterious and guarded nature of the sector. Moreover, the setbacks I faced in trying to organise interviews with individuals from the caviar sector ultimately shaped my research trajectory, by driving me to further investigate the grey areas in caviar trade policy and specifically the legal-illegal interface in the caviar industry. In this respect, being unable to follow people in the caviar industry peaked my interest in </w:t>
      </w:r>
      <w:r w:rsidRPr="000E3A4A">
        <w:rPr>
          <w:rFonts w:cs="Times New Roman"/>
          <w:sz w:val="22"/>
        </w:rPr>
        <w:lastRenderedPageBreak/>
        <w:t>investigating some of the hidden power dynamics in caviar policy circulation. Namely, how</w:t>
      </w:r>
      <w:r w:rsidR="007B2E0B">
        <w:rPr>
          <w:rFonts w:cs="Times New Roman"/>
          <w:sz w:val="22"/>
        </w:rPr>
        <w:t xml:space="preserve"> some</w:t>
      </w:r>
      <w:r w:rsidRPr="000E3A4A">
        <w:rPr>
          <w:rFonts w:cs="Times New Roman"/>
          <w:sz w:val="22"/>
        </w:rPr>
        <w:t xml:space="preserve"> industry actors seek to find ways to challenge or resist the mandates of the legislations. </w:t>
      </w:r>
    </w:p>
    <w:p w14:paraId="35829FF6" w14:textId="77777777" w:rsidR="00460259" w:rsidRPr="000E3A4A" w:rsidRDefault="00460259" w:rsidP="00460259">
      <w:pPr>
        <w:rPr>
          <w:rFonts w:cs="Times New Roman"/>
          <w:sz w:val="22"/>
        </w:rPr>
      </w:pPr>
    </w:p>
    <w:p w14:paraId="6F3F76E8" w14:textId="77777777" w:rsidR="00460259" w:rsidRPr="000E3A4A" w:rsidRDefault="00460259" w:rsidP="00460259">
      <w:pPr>
        <w:pStyle w:val="Notasubsection"/>
      </w:pPr>
      <w:r w:rsidRPr="000E3A4A">
        <w:t xml:space="preserve">Semi-structured interviews </w:t>
      </w:r>
    </w:p>
    <w:p w14:paraId="70C19A9D" w14:textId="5CB8DBCB" w:rsidR="00460259" w:rsidRPr="000E3A4A" w:rsidRDefault="00460259" w:rsidP="00460259">
      <w:pPr>
        <w:rPr>
          <w:rFonts w:cs="Times New Roman"/>
          <w:sz w:val="22"/>
        </w:rPr>
      </w:pPr>
      <w:r w:rsidRPr="000E3A4A">
        <w:rPr>
          <w:rFonts w:cs="Times New Roman"/>
          <w:sz w:val="22"/>
        </w:rPr>
        <w:t>When following the people I used semi-structured interviews. Semi-structured interviews are a commonly used qualitative method whereby the researcher prepares a list of pre-determined questions, which are used to guide – not direct- the course of the intervi</w:t>
      </w:r>
      <w:r w:rsidR="000D61D6">
        <w:rPr>
          <w:rFonts w:cs="Times New Roman"/>
          <w:sz w:val="22"/>
        </w:rPr>
        <w:t>ew. In this regard, interviews “</w:t>
      </w:r>
      <w:r w:rsidRPr="000E3A4A">
        <w:rPr>
          <w:rFonts w:cs="Times New Roman"/>
          <w:sz w:val="22"/>
        </w:rPr>
        <w:t>unfold in a conversational manner offering participants the chance to explore the</w:t>
      </w:r>
      <w:r w:rsidR="000D61D6">
        <w:rPr>
          <w:rFonts w:cs="Times New Roman"/>
          <w:sz w:val="22"/>
        </w:rPr>
        <w:t xml:space="preserve"> issues they feel are important”</w:t>
      </w:r>
      <w:r w:rsidRPr="000E3A4A">
        <w:rPr>
          <w:rFonts w:cs="Times New Roman"/>
          <w:sz w:val="22"/>
        </w:rPr>
        <w:t xml:space="preserve"> </w:t>
      </w:r>
      <w:r w:rsidR="000375ED">
        <w:rPr>
          <w:rFonts w:cs="Times New Roman"/>
          <w:sz w:val="22"/>
        </w:rPr>
        <w:fldChar w:fldCharType="begin" w:fldLock="1"/>
      </w:r>
      <w:r w:rsidR="00D503EA">
        <w:rPr>
          <w:rFonts w:cs="Times New Roman"/>
          <w:sz w:val="22"/>
        </w:rPr>
        <w:instrText>ADDIN CSL_CITATION {"citationItems":[{"id":"ITEM-1","itemData":{"author":[{"dropping-particle":"","family":"Longhurst","given":"Robyn","non-dropping-particle":"","parse-names":false,"suffix":""}],"edition":"Second","editor":[{"dropping-particle":"","family":"Nicholas Clifford, Shaun French","given":"Gill Valentine","non-dropping-particle":"","parse-names":false,"suffix":""}],"id":"ITEM-1","issued":{"date-parts":[["2010"]]},"number-of-pages":"103-115","publisher":"SAGE PublicationsSage UK: London, England","title":"Semi-structured Interviews and Focus Groups","type":"book"},"uris":["http://www.mendeley.com/documents/?uuid=133073ee-63b7-30b9-a6e7-3c2a84c34c80"]}],"mendeley":{"formattedCitation":"(Longhurst, 2010)","manualFormatting":"(Longhurst, 2010: 103)","plainTextFormattedCitation":"(Longhurst, 2010)","previouslyFormattedCitation":"(Longhurst, 2010)"},"properties":{"noteIndex":0},"schema":"https://github.com/citation-style-language/schema/raw/master/csl-citation.json"}</w:instrText>
      </w:r>
      <w:r w:rsidR="000375ED">
        <w:rPr>
          <w:rFonts w:cs="Times New Roman"/>
          <w:sz w:val="22"/>
        </w:rPr>
        <w:fldChar w:fldCharType="separate"/>
      </w:r>
      <w:r w:rsidR="000375ED" w:rsidRPr="000375ED">
        <w:rPr>
          <w:rFonts w:cs="Times New Roman"/>
          <w:noProof/>
          <w:sz w:val="22"/>
        </w:rPr>
        <w:t>(Longhurst, 2010</w:t>
      </w:r>
      <w:r w:rsidR="000375ED">
        <w:rPr>
          <w:rFonts w:cs="Times New Roman"/>
          <w:noProof/>
          <w:sz w:val="22"/>
        </w:rPr>
        <w:t>: 103</w:t>
      </w:r>
      <w:r w:rsidR="000375ED" w:rsidRPr="000375ED">
        <w:rPr>
          <w:rFonts w:cs="Times New Roman"/>
          <w:noProof/>
          <w:sz w:val="22"/>
        </w:rPr>
        <w:t>)</w:t>
      </w:r>
      <w:r w:rsidR="000375ED">
        <w:rPr>
          <w:rFonts w:cs="Times New Roman"/>
          <w:sz w:val="22"/>
        </w:rPr>
        <w:fldChar w:fldCharType="end"/>
      </w:r>
      <w:r w:rsidRPr="000E3A4A">
        <w:rPr>
          <w:rFonts w:cs="Times New Roman"/>
          <w:sz w:val="22"/>
        </w:rPr>
        <w:t>. My interview questions mainly covered three intersecting t</w:t>
      </w:r>
      <w:r w:rsidR="000375ED">
        <w:rPr>
          <w:rFonts w:cs="Times New Roman"/>
          <w:sz w:val="22"/>
        </w:rPr>
        <w:t>hematic areas: Legislation and policy; i</w:t>
      </w:r>
      <w:r w:rsidRPr="000E3A4A">
        <w:rPr>
          <w:rFonts w:cs="Times New Roman"/>
          <w:sz w:val="22"/>
        </w:rPr>
        <w:t xml:space="preserve">llegal caviar </w:t>
      </w:r>
      <w:r w:rsidR="000375ED">
        <w:rPr>
          <w:rFonts w:cs="Times New Roman"/>
          <w:sz w:val="22"/>
        </w:rPr>
        <w:t>trade and organised crime; and legal caviar trade and a</w:t>
      </w:r>
      <w:r w:rsidRPr="000E3A4A">
        <w:rPr>
          <w:rFonts w:cs="Times New Roman"/>
          <w:sz w:val="22"/>
        </w:rPr>
        <w:t xml:space="preserve">quaculture. The basic questions covered some of the following issues: </w:t>
      </w:r>
    </w:p>
    <w:p w14:paraId="4E556E72" w14:textId="77777777" w:rsidR="00460259" w:rsidRPr="000E3A4A" w:rsidRDefault="00460259" w:rsidP="000375ED">
      <w:pPr>
        <w:pStyle w:val="Quote"/>
      </w:pPr>
      <w:r w:rsidRPr="000E3A4A">
        <w:t xml:space="preserve">How has the interviewee interacted with caviar trade policy? </w:t>
      </w:r>
    </w:p>
    <w:p w14:paraId="3E7AFD88" w14:textId="77777777" w:rsidR="00460259" w:rsidRPr="000E3A4A" w:rsidRDefault="00460259" w:rsidP="000375ED">
      <w:pPr>
        <w:pStyle w:val="Quote"/>
      </w:pPr>
      <w:r w:rsidRPr="000E3A4A">
        <w:t xml:space="preserve">What are their opinions on the caviar trade policies? </w:t>
      </w:r>
    </w:p>
    <w:p w14:paraId="0F5D1663" w14:textId="77777777" w:rsidR="00460259" w:rsidRPr="000E3A4A" w:rsidRDefault="00460259" w:rsidP="000375ED">
      <w:pPr>
        <w:pStyle w:val="Quote"/>
      </w:pPr>
      <w:r w:rsidRPr="000E3A4A">
        <w:t>Do they identify any problems with the policies? (If so, what are they?)</w:t>
      </w:r>
    </w:p>
    <w:p w14:paraId="01308E7D" w14:textId="77777777" w:rsidR="00460259" w:rsidRPr="000E3A4A" w:rsidRDefault="00460259" w:rsidP="000375ED">
      <w:pPr>
        <w:pStyle w:val="Quote"/>
      </w:pPr>
      <w:r w:rsidRPr="000E3A4A">
        <w:t xml:space="preserve">How has the interviewee been affected by the caviar trade policies? </w:t>
      </w:r>
    </w:p>
    <w:p w14:paraId="3ED6FF91" w14:textId="77777777" w:rsidR="00460259" w:rsidRPr="000E3A4A" w:rsidRDefault="00460259" w:rsidP="000375ED">
      <w:pPr>
        <w:pStyle w:val="Quote"/>
      </w:pPr>
      <w:r w:rsidRPr="000E3A4A">
        <w:t xml:space="preserve">What wider impacts have they witnessed as a result of the implementation of caviar trade regulations? </w:t>
      </w:r>
    </w:p>
    <w:p w14:paraId="59173352" w14:textId="77777777" w:rsidR="00460259" w:rsidRPr="000E3A4A" w:rsidRDefault="00460259" w:rsidP="000375ED">
      <w:pPr>
        <w:pStyle w:val="Quote"/>
      </w:pPr>
      <w:r w:rsidRPr="000E3A4A">
        <w:t>What is their understanding of illegal caviar trade dynamics? (How does it take place, why?)</w:t>
      </w:r>
    </w:p>
    <w:p w14:paraId="6A18A754" w14:textId="77777777" w:rsidR="00460259" w:rsidRDefault="00460259" w:rsidP="000375ED">
      <w:pPr>
        <w:pStyle w:val="Quote"/>
      </w:pPr>
      <w:r w:rsidRPr="000E3A4A">
        <w:t>How (if at all) do they think regulating the caviar trade in the European Union is geopolitical?</w:t>
      </w:r>
    </w:p>
    <w:p w14:paraId="5E339862" w14:textId="77777777" w:rsidR="000375ED" w:rsidRPr="000E3A4A" w:rsidRDefault="000375ED" w:rsidP="000375ED">
      <w:pPr>
        <w:pStyle w:val="ListParagraph"/>
        <w:spacing w:after="0"/>
        <w:rPr>
          <w:rFonts w:cs="Times New Roman"/>
          <w:sz w:val="22"/>
        </w:rPr>
      </w:pPr>
    </w:p>
    <w:p w14:paraId="4ED839DA" w14:textId="165AB51E" w:rsidR="00460259" w:rsidRPr="000E3A4A" w:rsidRDefault="00460259" w:rsidP="00460259">
      <w:pPr>
        <w:rPr>
          <w:rFonts w:cs="Times New Roman"/>
          <w:sz w:val="22"/>
        </w:rPr>
      </w:pPr>
      <w:r w:rsidRPr="000E3A4A">
        <w:rPr>
          <w:rFonts w:cs="Times New Roman"/>
          <w:sz w:val="22"/>
        </w:rPr>
        <w:t xml:space="preserve">These questions were designed to give me an initial sense about the </w:t>
      </w:r>
      <w:r w:rsidR="000375ED">
        <w:rPr>
          <w:rFonts w:cs="Times New Roman"/>
          <w:sz w:val="22"/>
        </w:rPr>
        <w:t>broad implications</w:t>
      </w:r>
      <w:r w:rsidRPr="000E3A4A">
        <w:rPr>
          <w:rFonts w:cs="Times New Roman"/>
          <w:sz w:val="22"/>
        </w:rPr>
        <w:t xml:space="preserve"> of the caviar trade policies; and to examine how power, politics</w:t>
      </w:r>
      <w:r w:rsidR="000375ED">
        <w:rPr>
          <w:rFonts w:cs="Times New Roman"/>
          <w:sz w:val="22"/>
        </w:rPr>
        <w:t>,</w:t>
      </w:r>
      <w:r w:rsidRPr="000E3A4A">
        <w:rPr>
          <w:rFonts w:cs="Times New Roman"/>
          <w:sz w:val="22"/>
        </w:rPr>
        <w:t xml:space="preserve"> and resistance underwrites the circulation, implementation</w:t>
      </w:r>
      <w:r w:rsidR="000375ED">
        <w:rPr>
          <w:rFonts w:cs="Times New Roman"/>
          <w:sz w:val="22"/>
        </w:rPr>
        <w:t>,</w:t>
      </w:r>
      <w:r w:rsidRPr="000E3A4A">
        <w:rPr>
          <w:rFonts w:cs="Times New Roman"/>
          <w:sz w:val="22"/>
        </w:rPr>
        <w:t xml:space="preserve"> and contravention of caviar trade policies in the European Union. </w:t>
      </w:r>
    </w:p>
    <w:p w14:paraId="58302F18" w14:textId="14987163" w:rsidR="00460259" w:rsidRPr="000E3A4A" w:rsidRDefault="00460259" w:rsidP="00460259">
      <w:pPr>
        <w:ind w:firstLine="360"/>
        <w:rPr>
          <w:rFonts w:cs="Times New Roman"/>
          <w:sz w:val="22"/>
        </w:rPr>
      </w:pPr>
      <w:r w:rsidRPr="000E3A4A">
        <w:rPr>
          <w:rFonts w:cs="Times New Roman"/>
          <w:sz w:val="22"/>
        </w:rPr>
        <w:t xml:space="preserve">Given the heterogeneity between my target groups and the diversity in their experiences and understandings of caviar trade policy, I prepared interview guides that were specific to each of the target groups: policy, NGO, industry, law enforcement, researchers, judicial. Prior to each interview I dedicated time to researching the individuals and their organisations, and </w:t>
      </w:r>
      <w:r w:rsidR="000D61D6">
        <w:rPr>
          <w:rFonts w:cs="Times New Roman"/>
          <w:sz w:val="22"/>
        </w:rPr>
        <w:t>tailored the questions</w:t>
      </w:r>
      <w:r w:rsidRPr="000E3A4A">
        <w:rPr>
          <w:rFonts w:cs="Times New Roman"/>
          <w:sz w:val="22"/>
        </w:rPr>
        <w:t xml:space="preserve"> to their specific context. I also added questions informed by data gathered in previous interviews, and other data collected by following sturgeon, materials</w:t>
      </w:r>
      <w:r w:rsidR="000375ED">
        <w:rPr>
          <w:rFonts w:cs="Times New Roman"/>
          <w:sz w:val="22"/>
        </w:rPr>
        <w:t>,</w:t>
      </w:r>
      <w:r w:rsidRPr="000E3A4A">
        <w:rPr>
          <w:rFonts w:cs="Times New Roman"/>
          <w:sz w:val="22"/>
        </w:rPr>
        <w:t xml:space="preserve"> and meetings. As such, my interview guides were living documents: I amended the questions in an iterative manner that reflected how my research progressed and the themes of interest that were emerging. </w:t>
      </w:r>
    </w:p>
    <w:p w14:paraId="4B8B8FD3" w14:textId="12FF22CB" w:rsidR="00460259" w:rsidRPr="000E3A4A" w:rsidRDefault="00460259" w:rsidP="00460259">
      <w:pPr>
        <w:rPr>
          <w:rFonts w:cs="Times New Roman"/>
          <w:sz w:val="22"/>
        </w:rPr>
      </w:pPr>
      <w:r w:rsidRPr="000E3A4A">
        <w:rPr>
          <w:rFonts w:cs="Times New Roman"/>
          <w:sz w:val="22"/>
        </w:rPr>
        <w:tab/>
        <w:t xml:space="preserve">I made it clear to all of my interlocutors that I was not seeking to uncover information about specific examples of illegal activity during interviews. However, I did ask interviewees’ general questions about their opinions and experiences related to how </w:t>
      </w:r>
      <w:r w:rsidR="000D61D6">
        <w:rPr>
          <w:rFonts w:cs="Times New Roman"/>
          <w:sz w:val="22"/>
        </w:rPr>
        <w:t xml:space="preserve">regulatory frameworks </w:t>
      </w:r>
      <w:r w:rsidRPr="000E3A4A">
        <w:rPr>
          <w:rFonts w:cs="Times New Roman"/>
          <w:sz w:val="22"/>
        </w:rPr>
        <w:t xml:space="preserve">have affected </w:t>
      </w:r>
      <w:r w:rsidRPr="000E3A4A">
        <w:rPr>
          <w:rFonts w:cs="Times New Roman"/>
          <w:sz w:val="22"/>
        </w:rPr>
        <w:lastRenderedPageBreak/>
        <w:t>illegal caviar trade</w:t>
      </w:r>
      <w:r w:rsidR="00C83FCA">
        <w:rPr>
          <w:rFonts w:cs="Times New Roman"/>
          <w:sz w:val="22"/>
        </w:rPr>
        <w:t xml:space="preserve"> in the EU</w:t>
      </w:r>
      <w:r w:rsidRPr="000E3A4A">
        <w:rPr>
          <w:rFonts w:cs="Times New Roman"/>
          <w:sz w:val="22"/>
        </w:rPr>
        <w:t xml:space="preserve">. Thus, my interviews skirted around the topic of illegality. As such, I needed to plan carefully about how to ask these questions. </w:t>
      </w:r>
      <w:r w:rsidRPr="000E3A4A">
        <w:rPr>
          <w:rFonts w:cs="Times New Roman"/>
          <w:sz w:val="22"/>
        </w:rPr>
        <w:fldChar w:fldCharType="begin" w:fldLock="1"/>
      </w:r>
      <w:r w:rsidR="00D503EA">
        <w:rPr>
          <w:rFonts w:cs="Times New Roman"/>
          <w:sz w:val="22"/>
        </w:rPr>
        <w:instrText>ADDIN CSL_CITATION {"citationItems":[{"id":"ITEM-1","itemData":{"DOI":"10.1016/j.biocon.2014.09.047","ISSN":"00063207","abstract":"Tools for social research are critical for developing an understanding of conservation problems and assessing the feasibility of conservation actions. Social surveys are an essential tool frequently applied in conservation to assess both people's behaviour and to understand its drivers. However, little attention has been given to the weaknesses and strengths of different survey tools. When topics of conservation concern are illegal or otherwise sensitive, data collected using direct questions are likely to be affected by non-response and social desirability biases, reducing their validity. These sources of bias associated with using direct questions on sensitive topics have long been recognised in the social sciences but have been poorly considered in conservation and natural resource management. We reviewed specialized questioning techniques developed in a number of disciplines specifically for investigating sensitive topics. These methods ensure respondent anonymity, increase willingness to answer, and critically, make it impossible to directly link incriminating data to an individual. We describe each method and report their main characteristics, such as data requirements, possible data outputs, availability of evidence that they can be adapted for use in illiterate communities, and summarize their main advantages and disadvantages. Recommendations for their application in conservation are given. We suggest that the conservation toolbox should be expanded by incorporating specialized questioning techniques, developed specifically to increase response accuracy. By considering the limitations of each survey technique, we will ultimately contribute to more effective evaluations of conservation interventions and more robust policy decisions.","author":[{"dropping-particle":"","family":"Nuno","given":"Ana","non-dropping-particle":"","parse-names":false,"suffix":""},{"dropping-particle":"","family":"John","given":"Freya A.V.","non-dropping-particle":"St.","parse-names":false,"suffix":""}],"container-title":"Biological Conservation","id":"ITEM-1","issued":{"date-parts":[["2014"]]},"page":"5-15","title":"How to ask sensitive questions in conservation: A review of specialized questioning techniques","type":"article-journal","volume":"189"},"uris":["http://www.mendeley.com/documents/?uuid=2518b2d1-d90d-317e-9af7-21c8a90ac6a0"]}],"mendeley":{"formattedCitation":"(Nuno and St. John, 2014)","manualFormatting":"Nuno and St. John","plainTextFormattedCitation":"(Nuno and St. John, 2014)","previouslyFormattedCitation":"(Nuno and St. John, 2014)"},"properties":{"noteIndex":0},"schema":"https://github.com/citation-style-language/schema/raw/master/csl-citation.json"}</w:instrText>
      </w:r>
      <w:r w:rsidRPr="000E3A4A">
        <w:rPr>
          <w:rFonts w:cs="Times New Roman"/>
          <w:sz w:val="22"/>
        </w:rPr>
        <w:fldChar w:fldCharType="separate"/>
      </w:r>
      <w:r w:rsidR="009E61AC">
        <w:rPr>
          <w:rFonts w:cs="Times New Roman"/>
          <w:noProof/>
          <w:sz w:val="22"/>
        </w:rPr>
        <w:t>Nuno and St. John</w:t>
      </w:r>
      <w:r w:rsidRPr="000E3A4A">
        <w:rPr>
          <w:rFonts w:cs="Times New Roman"/>
          <w:sz w:val="22"/>
        </w:rPr>
        <w:fldChar w:fldCharType="end"/>
      </w:r>
      <w:r w:rsidRPr="000E3A4A">
        <w:rPr>
          <w:rFonts w:cs="Times New Roman"/>
          <w:sz w:val="22"/>
        </w:rPr>
        <w:t xml:space="preserve"> recognise that when conducting research into conservation issues that are illegal or sensitive, respondents may be </w:t>
      </w:r>
      <w:r w:rsidR="009E61AC">
        <w:rPr>
          <w:rFonts w:cs="Times New Roman"/>
          <w:sz w:val="22"/>
        </w:rPr>
        <w:t>“</w:t>
      </w:r>
      <w:r w:rsidRPr="000E3A4A">
        <w:rPr>
          <w:rFonts w:cs="Times New Roman"/>
          <w:sz w:val="22"/>
        </w:rPr>
        <w:t>dishonest</w:t>
      </w:r>
      <w:r w:rsidR="009E61AC">
        <w:rPr>
          <w:rFonts w:cs="Times New Roman"/>
          <w:sz w:val="22"/>
        </w:rPr>
        <w:t>”</w:t>
      </w:r>
      <w:r w:rsidRPr="000E3A4A">
        <w:rPr>
          <w:rFonts w:cs="Times New Roman"/>
          <w:sz w:val="22"/>
        </w:rPr>
        <w:t xml:space="preserve"> in their answers</w:t>
      </w:r>
      <w:r w:rsidR="009E61AC">
        <w:rPr>
          <w:rFonts w:cs="Times New Roman"/>
          <w:sz w:val="22"/>
        </w:rPr>
        <w:t xml:space="preserve">, or “answer questions in a manner that will be viewed favourably by others” </w:t>
      </w:r>
      <w:r w:rsidR="009E61AC">
        <w:rPr>
          <w:rFonts w:cs="Times New Roman"/>
          <w:noProof/>
          <w:sz w:val="22"/>
        </w:rPr>
        <w:t>(2014:6)</w:t>
      </w:r>
      <w:r w:rsidRPr="000E3A4A">
        <w:rPr>
          <w:rFonts w:cs="Times New Roman"/>
          <w:sz w:val="22"/>
        </w:rPr>
        <w:t xml:space="preserve">. They note that the order of questioning should be carefully considered, and that social scientists generally err towards asking sensitive questions towards the end of the interview or questionnaire (ibid). Ultimately I could not control whether interlocutors were </w:t>
      </w:r>
      <w:r w:rsidR="00216298">
        <w:rPr>
          <w:rFonts w:cs="Times New Roman"/>
          <w:sz w:val="22"/>
        </w:rPr>
        <w:t xml:space="preserve">honest </w:t>
      </w:r>
      <w:r w:rsidRPr="000E3A4A">
        <w:rPr>
          <w:rFonts w:cs="Times New Roman"/>
          <w:sz w:val="22"/>
        </w:rPr>
        <w:t>during interviews. But with this concern in mind, I designed my interviews to start with broad questions about the individuals’ background and their experiences or links to the caviar trade and caviar trade policy. I then moved towards increasingly specific questions about particular regulatory mechanisms and the impacts of them, and then moved to general questions about the links between caviar trade policy and illegal caviar trade. Given that my interview questions were not designed to elicit specific information about illegal activity, my interlocutors generally appeared comfortable discussing their views about the impacts of caviar trade policy on illegal caviar trade. I made it clear that interviews would be anonymised and that interviewees could: decline to answer any question; choose to withdraw their consent for the interview at any point; and could decide what parts, if any, of the interview were recorded. This information was explained in a ‘Participan</w:t>
      </w:r>
      <w:r w:rsidR="00CF36B4">
        <w:rPr>
          <w:rFonts w:cs="Times New Roman"/>
          <w:sz w:val="22"/>
        </w:rPr>
        <w:t>t Information Sheet’ (Appendix A</w:t>
      </w:r>
      <w:r w:rsidRPr="000E3A4A">
        <w:rPr>
          <w:rFonts w:cs="Times New Roman"/>
          <w:sz w:val="22"/>
        </w:rPr>
        <w:t xml:space="preserve">) that I sent via email to participants in advance of the interview, as well as verbally reiterating the content of the information sheet at the start of every interview. </w:t>
      </w:r>
    </w:p>
    <w:p w14:paraId="44195EE7" w14:textId="03891F9C" w:rsidR="00460259" w:rsidRPr="000E3A4A" w:rsidRDefault="00460259" w:rsidP="00460259">
      <w:pPr>
        <w:rPr>
          <w:rFonts w:cs="Times New Roman"/>
          <w:sz w:val="22"/>
        </w:rPr>
      </w:pPr>
      <w:r w:rsidRPr="000E3A4A">
        <w:rPr>
          <w:rFonts w:cs="Times New Roman"/>
          <w:sz w:val="22"/>
        </w:rPr>
        <w:tab/>
        <w:t xml:space="preserve">My interviews were conducted either in the workplace of the interviewees – which ranged from offices to sturgeon farms; or alternatively they took place in public locations such as restaurants and cafes. The interviews were conducted in English, except for one group interview with two Romanian interlocutors. This was an exceptional case, as after the interview had </w:t>
      </w:r>
      <w:r w:rsidR="000D61D6">
        <w:rPr>
          <w:rFonts w:cs="Times New Roman"/>
          <w:sz w:val="22"/>
        </w:rPr>
        <w:t xml:space="preserve">already </w:t>
      </w:r>
      <w:r w:rsidRPr="000E3A4A">
        <w:rPr>
          <w:rFonts w:cs="Times New Roman"/>
          <w:sz w:val="22"/>
        </w:rPr>
        <w:t>commenced in English, one interviewee requested that the other interviewee act as translator – of my questions and her answers – for the rest of the interview. I agreed to this arrangement as the interviewee in question explained that she felt more comfortable expressing herself in Romanian. However I do acknowledge the potential limitations of this interview, given that I was unable to brief the stand-in translator, and I cannot be certain that his translation was completely accurate. That being said, I got a sense that the female participant was more forthcoming in her answers when given the opportunity to speak in Romanian, and to this extent I anticipate that the data I collected was richer than if the interview had been conducted solely in English. This situation demonstrates the reality that despite extensive planning, semi-structured interviews rarely go completely to plan in practice, and as</w:t>
      </w:r>
      <w:r w:rsidR="000D61D6">
        <w:rPr>
          <w:rFonts w:cs="Times New Roman"/>
          <w:sz w:val="22"/>
        </w:rPr>
        <w:t xml:space="preserve"> an</w:t>
      </w:r>
      <w:r w:rsidRPr="000E3A4A">
        <w:rPr>
          <w:rFonts w:cs="Times New Roman"/>
          <w:sz w:val="22"/>
        </w:rPr>
        <w:t xml:space="preserve"> interviewer there is a need to be adaptable in unexpected situations. </w:t>
      </w:r>
    </w:p>
    <w:p w14:paraId="1C5AA82D" w14:textId="7492AB68" w:rsidR="00460259" w:rsidRPr="000E3A4A" w:rsidRDefault="00460259" w:rsidP="00460259">
      <w:pPr>
        <w:rPr>
          <w:rFonts w:cs="Times New Roman"/>
          <w:sz w:val="22"/>
        </w:rPr>
      </w:pPr>
      <w:r w:rsidRPr="000E3A4A">
        <w:rPr>
          <w:rFonts w:cs="Times New Roman"/>
          <w:sz w:val="22"/>
        </w:rPr>
        <w:tab/>
        <w:t xml:space="preserve">I recorded and transcribed the interviews, subject to receiving prior informed consent from the interviewee(s). In some situations sections of interviews were not recorded at the request of the interviewee. In all cases, unless otherwise arranged, I shared the transcribed interview document with </w:t>
      </w:r>
      <w:r w:rsidRPr="000E3A4A">
        <w:rPr>
          <w:rFonts w:cs="Times New Roman"/>
          <w:sz w:val="22"/>
        </w:rPr>
        <w:lastRenderedPageBreak/>
        <w:t>the interviewee for them to review and make any changes as they see fit. In the few situations where interviews were not recorded, I took handwritten notes throughout the interview. I reviewed these notes immediately after</w:t>
      </w:r>
      <w:r w:rsidR="000D61D6">
        <w:rPr>
          <w:rFonts w:cs="Times New Roman"/>
          <w:sz w:val="22"/>
        </w:rPr>
        <w:t xml:space="preserve"> the interview and typed them up</w:t>
      </w:r>
      <w:r w:rsidRPr="000E3A4A">
        <w:rPr>
          <w:rFonts w:cs="Times New Roman"/>
          <w:sz w:val="22"/>
        </w:rPr>
        <w:t xml:space="preserve"> as more formal interview notes in place of a verbatim transcript. I acknowledge that there is some limitation to these notes as they have been shaped by my own partial recollection of what was significant in the moment of the interview. To overcome these potential limitations in my notes, I ensured interviewees had the opportunity to review and comment on the notes according to their own interpretation of the interview. It was not feasible to record all of the conversations that provided invaluable insights to my PhD findings, such as those taking place at conferences, or informal chats between interviews. I attempted to document these important exchanges in my research diary. Any references made in the thesis to conversations that were only recorded in my research diary are clearly situated as being filtered according to my own reflections and memory of the event.  </w:t>
      </w:r>
    </w:p>
    <w:p w14:paraId="5CF27B2C" w14:textId="28383648" w:rsidR="00460259" w:rsidRPr="000E3A4A" w:rsidRDefault="00460259" w:rsidP="00460259">
      <w:pPr>
        <w:rPr>
          <w:rFonts w:cs="Times New Roman"/>
          <w:sz w:val="22"/>
        </w:rPr>
      </w:pPr>
      <w:r w:rsidRPr="000E3A4A">
        <w:rPr>
          <w:rFonts w:cs="Times New Roman"/>
          <w:sz w:val="22"/>
        </w:rPr>
        <w:tab/>
        <w:t xml:space="preserve">A common critique </w:t>
      </w:r>
      <w:r w:rsidR="00366EDA">
        <w:rPr>
          <w:rFonts w:cs="Times New Roman"/>
          <w:sz w:val="22"/>
        </w:rPr>
        <w:t>of interviews is that they are “</w:t>
      </w:r>
      <w:r w:rsidRPr="000E3A4A">
        <w:rPr>
          <w:rFonts w:cs="Times New Roman"/>
          <w:sz w:val="22"/>
        </w:rPr>
        <w:t>staged and scripted</w:t>
      </w:r>
      <w:r w:rsidR="00366EDA">
        <w:rPr>
          <w:rFonts w:cs="Times New Roman"/>
          <w:sz w:val="22"/>
        </w:rPr>
        <w:t xml:space="preserve">” </w:t>
      </w:r>
      <w:r w:rsidRPr="000E3A4A">
        <w:rPr>
          <w:rFonts w:cs="Times New Roman"/>
          <w:sz w:val="22"/>
        </w:rPr>
        <w:t>(</w:t>
      </w:r>
      <w:r w:rsidR="00366EDA">
        <w:rPr>
          <w:rFonts w:cs="Times New Roman"/>
          <w:sz w:val="22"/>
        </w:rPr>
        <w:t>Wood, 2016:397) and constitute “</w:t>
      </w:r>
      <w:r w:rsidRPr="000E3A4A">
        <w:rPr>
          <w:rFonts w:cs="Times New Roman"/>
          <w:sz w:val="22"/>
        </w:rPr>
        <w:t>perform</w:t>
      </w:r>
      <w:r w:rsidR="00366EDA">
        <w:rPr>
          <w:rFonts w:cs="Times New Roman"/>
          <w:sz w:val="22"/>
        </w:rPr>
        <w:t>ances or constructed narratives”</w:t>
      </w:r>
      <w:r w:rsidRPr="000E3A4A">
        <w:rPr>
          <w:rFonts w:cs="Times New Roman"/>
          <w:sz w:val="22"/>
        </w:rPr>
        <w:t xml:space="preserve"> (Dowling </w:t>
      </w:r>
      <w:r w:rsidRPr="00C6158D">
        <w:rPr>
          <w:rFonts w:cs="Times New Roman"/>
          <w:i/>
          <w:sz w:val="22"/>
        </w:rPr>
        <w:t>et al</w:t>
      </w:r>
      <w:r w:rsidR="00C6158D">
        <w:rPr>
          <w:rFonts w:cs="Times New Roman"/>
          <w:i/>
          <w:sz w:val="22"/>
        </w:rPr>
        <w:t>.</w:t>
      </w:r>
      <w:r w:rsidRPr="000E3A4A">
        <w:rPr>
          <w:rFonts w:cs="Times New Roman"/>
          <w:sz w:val="22"/>
        </w:rPr>
        <w:t>, 2016: 683). This criticism is particular</w:t>
      </w:r>
      <w:r w:rsidR="00366EDA">
        <w:rPr>
          <w:rFonts w:cs="Times New Roman"/>
          <w:sz w:val="22"/>
        </w:rPr>
        <w:t>ly levelled at interviews with “educated and articulate elites”</w:t>
      </w:r>
      <w:r w:rsidRPr="000E3A4A">
        <w:rPr>
          <w:rFonts w:cs="Times New Roman"/>
          <w:sz w:val="22"/>
        </w:rPr>
        <w:t xml:space="preserve"> (Wood, 2016: 397) who made up a significant proportion of my interlocutors. Despite these misgivings about interviews, following the people through face-to-face engagements was the most effective way for me to gain insights into the impacts of caviar trade policy across the EU. The interviews produced rich and multifaceted data that directly shaped the development of my methodology by opening up multiple avenues for onward policy following. Indeed, just because interviews can see</w:t>
      </w:r>
      <w:r w:rsidR="00C6158D">
        <w:rPr>
          <w:rFonts w:cs="Times New Roman"/>
          <w:sz w:val="22"/>
        </w:rPr>
        <w:t>m staged or performance-like,</w:t>
      </w:r>
      <w:r w:rsidRPr="000E3A4A">
        <w:rPr>
          <w:rFonts w:cs="Times New Roman"/>
          <w:sz w:val="22"/>
        </w:rPr>
        <w:t xml:space="preserve"> does not automatically mean the data collected is of an inferior quality or fundamentally not ‘true’. Face-to-face engagements offer much more than just what is ‘said’: often what is unsaid, as well as the body language and atmosphere of the interview can be incredibly revealing as sources of data. Thus, critically reflecting upon the constructed nature of interviews is part of the data collection process itself. </w:t>
      </w:r>
    </w:p>
    <w:p w14:paraId="5D6C22FF" w14:textId="096A2286" w:rsidR="00460259" w:rsidRPr="000E3A4A" w:rsidRDefault="00C6158D" w:rsidP="00460259">
      <w:pPr>
        <w:ind w:firstLine="720"/>
        <w:rPr>
          <w:rFonts w:cs="Times New Roman"/>
          <w:sz w:val="22"/>
        </w:rPr>
      </w:pPr>
      <w:r>
        <w:rPr>
          <w:rFonts w:cs="Times New Roman"/>
          <w:sz w:val="22"/>
        </w:rPr>
        <w:t xml:space="preserve">Moreover, Dowling </w:t>
      </w:r>
      <w:r w:rsidRPr="00C6158D">
        <w:rPr>
          <w:rFonts w:cs="Times New Roman"/>
          <w:i/>
          <w:sz w:val="22"/>
        </w:rPr>
        <w:t>et al</w:t>
      </w:r>
      <w:r>
        <w:rPr>
          <w:rFonts w:cs="Times New Roman"/>
          <w:sz w:val="22"/>
        </w:rPr>
        <w:t>.</w:t>
      </w:r>
      <w:r w:rsidR="00460259" w:rsidRPr="000E3A4A">
        <w:rPr>
          <w:rFonts w:cs="Times New Roman"/>
          <w:sz w:val="22"/>
        </w:rPr>
        <w:t>(2016) recognise that whilst qualitative researchers continue to rely on interviews, they often do so in ‘enriched form’. Arguably I en</w:t>
      </w:r>
      <w:r w:rsidR="00366EDA">
        <w:rPr>
          <w:rFonts w:cs="Times New Roman"/>
          <w:sz w:val="22"/>
        </w:rPr>
        <w:t>rich my interviews by pursuing “</w:t>
      </w:r>
      <w:r w:rsidR="00460259" w:rsidRPr="000E3A4A">
        <w:rPr>
          <w:rFonts w:cs="Times New Roman"/>
          <w:sz w:val="22"/>
        </w:rPr>
        <w:t>an expansion of forms of collecting information to supplement the interview – social media, video, diaries, following people and things – in parallel wit</w:t>
      </w:r>
      <w:r w:rsidR="00366EDA">
        <w:rPr>
          <w:rFonts w:cs="Times New Roman"/>
          <w:sz w:val="22"/>
        </w:rPr>
        <w:t>h deepening critical reflection”</w:t>
      </w:r>
      <w:r w:rsidR="00460259" w:rsidRPr="000E3A4A">
        <w:rPr>
          <w:rFonts w:cs="Times New Roman"/>
          <w:sz w:val="22"/>
        </w:rPr>
        <w:t xml:space="preserve"> (Dowling </w:t>
      </w:r>
      <w:r w:rsidR="00460259" w:rsidRPr="00C6158D">
        <w:rPr>
          <w:rFonts w:cs="Times New Roman"/>
          <w:i/>
          <w:sz w:val="22"/>
        </w:rPr>
        <w:t>et al</w:t>
      </w:r>
      <w:r w:rsidRPr="00C6158D">
        <w:rPr>
          <w:rFonts w:cs="Times New Roman"/>
          <w:i/>
          <w:sz w:val="22"/>
        </w:rPr>
        <w:t>.</w:t>
      </w:r>
      <w:r w:rsidR="00460259" w:rsidRPr="00C6158D">
        <w:rPr>
          <w:rFonts w:cs="Times New Roman"/>
          <w:i/>
          <w:sz w:val="22"/>
        </w:rPr>
        <w:t>,</w:t>
      </w:r>
      <w:r w:rsidR="00460259" w:rsidRPr="000E3A4A">
        <w:rPr>
          <w:rFonts w:cs="Times New Roman"/>
          <w:sz w:val="22"/>
        </w:rPr>
        <w:t xml:space="preserve"> 2016: 684). By enriching the interview through critical reflection and following sturgeon, materials and meetings, I add greater nuance to the data collected solely by following people. </w:t>
      </w:r>
    </w:p>
    <w:p w14:paraId="18876C94" w14:textId="77777777" w:rsidR="00460259" w:rsidRPr="000E3A4A" w:rsidRDefault="00460259" w:rsidP="00460259">
      <w:pPr>
        <w:ind w:firstLine="720"/>
        <w:rPr>
          <w:rFonts w:cs="Times New Roman"/>
          <w:sz w:val="22"/>
          <w:u w:val="single"/>
        </w:rPr>
      </w:pPr>
    </w:p>
    <w:p w14:paraId="1E5D1860" w14:textId="77777777" w:rsidR="00460259" w:rsidRPr="000E3A4A" w:rsidRDefault="00460259" w:rsidP="00460259">
      <w:pPr>
        <w:pStyle w:val="Heading3"/>
      </w:pPr>
      <w:bookmarkStart w:id="30" w:name="_Toc453224203"/>
      <w:r w:rsidRPr="000E3A4A">
        <w:t>3.2.2 Follow the sturgeon</w:t>
      </w:r>
      <w:bookmarkEnd w:id="30"/>
    </w:p>
    <w:p w14:paraId="747CCD99" w14:textId="29302BF3" w:rsidR="00460259" w:rsidRPr="000E3A4A" w:rsidRDefault="00460259" w:rsidP="00460259">
      <w:pPr>
        <w:rPr>
          <w:rFonts w:cs="Times New Roman"/>
          <w:sz w:val="22"/>
        </w:rPr>
      </w:pPr>
      <w:r w:rsidRPr="000E3A4A">
        <w:rPr>
          <w:rFonts w:cs="Times New Roman"/>
          <w:sz w:val="22"/>
        </w:rPr>
        <w:t xml:space="preserve">The caviar trade regulations include mandates on the catch and trade in wild sturgeon. Thus, sturgeon are directly impacted by the caviar trade regulations. Initially I intended to focus narrowly on the </w:t>
      </w:r>
      <w:r w:rsidRPr="000E3A4A">
        <w:rPr>
          <w:rFonts w:cs="Times New Roman"/>
          <w:sz w:val="22"/>
        </w:rPr>
        <w:lastRenderedPageBreak/>
        <w:t xml:space="preserve">impacts of the caviar trade regulations upon dynamics of </w:t>
      </w:r>
      <w:r w:rsidRPr="00A94DE1">
        <w:rPr>
          <w:rFonts w:cs="Times New Roman"/>
          <w:i/>
          <w:sz w:val="22"/>
        </w:rPr>
        <w:t>caviar</w:t>
      </w:r>
      <w:r w:rsidRPr="000E3A4A">
        <w:rPr>
          <w:rFonts w:cs="Times New Roman"/>
          <w:sz w:val="22"/>
        </w:rPr>
        <w:t xml:space="preserve"> trade in the European Union. However my interviews increasingly pointed to the impossibility of disentangling caviar from sturgeon. Further, my interlocutors often framed the impacts of caviar trade policy in terms of the impacts on both captive and wild sturgeon; and also in the ways sturgeon disrupted or complicated the workings of caviar tra</w:t>
      </w:r>
      <w:r w:rsidR="0050549F">
        <w:rPr>
          <w:rFonts w:cs="Times New Roman"/>
          <w:sz w:val="22"/>
        </w:rPr>
        <w:t>de policy through their natural behaviours</w:t>
      </w:r>
      <w:r w:rsidRPr="000E3A4A">
        <w:rPr>
          <w:rFonts w:cs="Times New Roman"/>
          <w:sz w:val="22"/>
        </w:rPr>
        <w:t>. So in order to analys</w:t>
      </w:r>
      <w:r w:rsidR="0050549F">
        <w:rPr>
          <w:rFonts w:cs="Times New Roman"/>
          <w:sz w:val="22"/>
        </w:rPr>
        <w:t xml:space="preserve">e these more-than-human implications </w:t>
      </w:r>
      <w:r w:rsidRPr="000E3A4A">
        <w:rPr>
          <w:rFonts w:cs="Times New Roman"/>
          <w:sz w:val="22"/>
        </w:rPr>
        <w:t xml:space="preserve">of caviar trade policy in the EU, I decided to enrich my interviews by also following sturgeon. </w:t>
      </w:r>
    </w:p>
    <w:p w14:paraId="54686446" w14:textId="77777777" w:rsidR="00E336F6" w:rsidRDefault="00460259" w:rsidP="00E336F6">
      <w:pPr>
        <w:rPr>
          <w:rFonts w:cs="Times New Roman"/>
          <w:sz w:val="22"/>
        </w:rPr>
      </w:pPr>
      <w:r w:rsidRPr="000E3A4A">
        <w:rPr>
          <w:rFonts w:cs="Times New Roman"/>
          <w:sz w:val="22"/>
        </w:rPr>
        <w:tab/>
        <w:t xml:space="preserve">I used participant observation methods to follow captive sturgeon. I conducted 3 days of participant observation in total, at 3 sturgeon aquaculture facilities: one in the UK, one in Romania, and one in Austria. The facility in Austria was a research facility that rears sturgeon for the purpose of ex-situ conservation and restocking initiatives. The facilities in the UK and Romania are commercial sturgeon aquaculture facilities, farming sturgeon to produce caviar and/or to breed sturgeon to sell to other enterprises. During my days of </w:t>
      </w:r>
      <w:r w:rsidR="00F34829">
        <w:rPr>
          <w:rFonts w:cs="Times New Roman"/>
          <w:sz w:val="22"/>
        </w:rPr>
        <w:t xml:space="preserve">more-than-human participant observation, I followed sturgeon </w:t>
      </w:r>
      <w:r w:rsidR="00610A46">
        <w:rPr>
          <w:rFonts w:cs="Times New Roman"/>
          <w:sz w:val="22"/>
        </w:rPr>
        <w:t xml:space="preserve">primarily by shadowing the facility staff, </w:t>
      </w:r>
      <w:r w:rsidR="00F34829">
        <w:rPr>
          <w:rFonts w:cs="Times New Roman"/>
          <w:sz w:val="22"/>
        </w:rPr>
        <w:t xml:space="preserve">and actively taking part in </w:t>
      </w:r>
      <w:r w:rsidRPr="000E3A4A">
        <w:rPr>
          <w:rFonts w:cs="Times New Roman"/>
          <w:sz w:val="22"/>
        </w:rPr>
        <w:t>the everyday activities related to sturgeon</w:t>
      </w:r>
      <w:r w:rsidR="00BB6980">
        <w:rPr>
          <w:rFonts w:cs="Times New Roman"/>
          <w:sz w:val="22"/>
        </w:rPr>
        <w:t xml:space="preserve"> rearing and caviar production. </w:t>
      </w:r>
      <w:r w:rsidRPr="000E3A4A">
        <w:rPr>
          <w:rFonts w:cs="Times New Roman"/>
          <w:sz w:val="22"/>
        </w:rPr>
        <w:t>This included: handling and feeding sturgeon; recording information on the temperature, pH, and flow of water in the tanks; observing ultrasounds of sturgeon; and conducting routine ‘security’ checks of t</w:t>
      </w:r>
      <w:r w:rsidR="00610A46">
        <w:rPr>
          <w:rFonts w:cs="Times New Roman"/>
          <w:sz w:val="22"/>
        </w:rPr>
        <w:t>he facilities</w:t>
      </w:r>
      <w:r w:rsidRPr="000E3A4A">
        <w:rPr>
          <w:rFonts w:cs="Times New Roman"/>
          <w:sz w:val="22"/>
        </w:rPr>
        <w:t>.</w:t>
      </w:r>
      <w:r w:rsidR="00610A46">
        <w:rPr>
          <w:rFonts w:cs="Times New Roman"/>
          <w:sz w:val="22"/>
        </w:rPr>
        <w:t xml:space="preserve"> I also spent time merely watching sturgeon of different species and at different life stages, to come to appreciate the variations in physiology and behaviours. I came to realise how the behaviours and activity of sturgeon were me</w:t>
      </w:r>
      <w:r w:rsidR="00BB6980">
        <w:rPr>
          <w:rFonts w:cs="Times New Roman"/>
          <w:sz w:val="22"/>
        </w:rPr>
        <w:t>diated not only by</w:t>
      </w:r>
      <w:r w:rsidR="00610A46">
        <w:rPr>
          <w:rFonts w:cs="Times New Roman"/>
          <w:sz w:val="22"/>
        </w:rPr>
        <w:t xml:space="preserve"> biological factors, but also by environmental conditions related to </w:t>
      </w:r>
      <w:r w:rsidR="00746E81">
        <w:rPr>
          <w:rFonts w:cs="Times New Roman"/>
          <w:sz w:val="22"/>
        </w:rPr>
        <w:t xml:space="preserve">pool size and density, water temperature, lighting, and feed, amongst other factors. </w:t>
      </w:r>
    </w:p>
    <w:p w14:paraId="72E865A8" w14:textId="43DBB2FD" w:rsidR="00460259" w:rsidRPr="000E3A4A" w:rsidRDefault="00746E81" w:rsidP="00E336F6">
      <w:pPr>
        <w:ind w:firstLine="720"/>
        <w:rPr>
          <w:rFonts w:cs="Times New Roman"/>
          <w:sz w:val="22"/>
        </w:rPr>
      </w:pPr>
      <w:r>
        <w:rPr>
          <w:rFonts w:cs="Times New Roman"/>
          <w:sz w:val="22"/>
        </w:rPr>
        <w:t xml:space="preserve">Through these everyday participatory tasks, I gained a richer and deeper understanding of sturgeon as a subject of research. The experiences also gave me a visceral and personalised insight </w:t>
      </w:r>
      <w:r w:rsidR="00BB6980">
        <w:rPr>
          <w:rFonts w:cs="Times New Roman"/>
          <w:sz w:val="22"/>
        </w:rPr>
        <w:t xml:space="preserve">into the ways in which caviar trade policies have permeated and influence the everyday temporalities, infrastructures, and practices of sturgeon farming and caviar production; as well as highlighting how sturgeon shape these temporalities, infrastructures, and practices. </w:t>
      </w:r>
      <w:r>
        <w:rPr>
          <w:rFonts w:cs="Times New Roman"/>
          <w:sz w:val="22"/>
        </w:rPr>
        <w:t>This was an experimental foray into more-than-h</w:t>
      </w:r>
      <w:r w:rsidR="00BB6980">
        <w:rPr>
          <w:rFonts w:cs="Times New Roman"/>
          <w:sz w:val="22"/>
        </w:rPr>
        <w:t>uman methods, and I documented m</w:t>
      </w:r>
      <w:r>
        <w:rPr>
          <w:rFonts w:cs="Times New Roman"/>
          <w:sz w:val="22"/>
        </w:rPr>
        <w:t xml:space="preserve">y experience of participant observation through </w:t>
      </w:r>
      <w:r w:rsidR="00460259" w:rsidRPr="000E3A4A">
        <w:rPr>
          <w:rFonts w:cs="Times New Roman"/>
          <w:sz w:val="22"/>
        </w:rPr>
        <w:t>a combination of field-notes detailing informal conversations, personal reflections, and photographs and videos. My field-notes and observations reflected on how the caviar trade policies were actualised i</w:t>
      </w:r>
      <w:r w:rsidR="006A0D61">
        <w:rPr>
          <w:rFonts w:cs="Times New Roman"/>
          <w:sz w:val="22"/>
        </w:rPr>
        <w:t>n the everyday practices and rhythms of these</w:t>
      </w:r>
      <w:r w:rsidR="00460259" w:rsidRPr="000E3A4A">
        <w:rPr>
          <w:rFonts w:cs="Times New Roman"/>
          <w:sz w:val="22"/>
        </w:rPr>
        <w:t xml:space="preserve"> facilities. </w:t>
      </w:r>
    </w:p>
    <w:p w14:paraId="5890E0A1" w14:textId="5F7647D0" w:rsidR="00460259" w:rsidRPr="000E3A4A" w:rsidRDefault="00460259" w:rsidP="00460259">
      <w:pPr>
        <w:ind w:firstLine="720"/>
        <w:rPr>
          <w:rFonts w:cs="Times New Roman"/>
          <w:sz w:val="22"/>
        </w:rPr>
      </w:pPr>
      <w:r w:rsidRPr="000E3A4A">
        <w:rPr>
          <w:rFonts w:cs="Times New Roman"/>
          <w:sz w:val="22"/>
        </w:rPr>
        <w:t xml:space="preserve">My participant observation methods took inspiration from more-than-human geographers who enlist a variety of embodied ethnographic practices such as moving, talking, doing, showing and walking </w:t>
      </w:r>
      <w:r w:rsidRPr="000E3A4A">
        <w:rPr>
          <w:rFonts w:cs="Times New Roman"/>
          <w:sz w:val="22"/>
        </w:rPr>
        <w:fldChar w:fldCharType="begin" w:fldLock="1"/>
      </w:r>
      <w:r w:rsidR="00EC7F7E">
        <w:rPr>
          <w:rFonts w:cs="Times New Roman"/>
          <w:sz w:val="22"/>
        </w:rPr>
        <w:instrText>ADDIN CSL_CITATION {"citationItems":[{"id":"ITEM-1","itemData":{"DOI":"10.1111/area.12145","ISSN":"14754762","abstract":"More-than-human geography challenges researchers to attend to all kinds of beings, including the unique facets and actions of plants. Attention to plants' agency is in its infancy and I argue that understanding plants as agents requires methodologies that allow ethnographic techniques to engage more directly with plants and what they do. To provide some guidance, I develop Tim Ingold's work on how novices learn into a methodology centred on showing and being shown. Researcher as novice is inducted into knowledge by expert guides who show them around their worlds, an approach well suited to attending to nonhumans. Drawing on ethnographic research of community gardens, I demonstrate how this can be applied through techniques of walking, talking, doing and picturing, which encourage guides - human and nonhuman - to share their expertise. Guidance from experts in plants and plants as experts fine-tunes the researcher's perception to attend more closely to nonhumans. By looking to flora as guides, human-plant geographers can learn what it is to be a plant and recognise their particular agency. But I identify limits to understanding plants in the absence of specialist training or assistance from botanists. Ingold suggests that knowledge acquired through showing takes the form of skills that enable future engagements with nonhumans, which is shared in stories. The aim of such research is not to represent nonhumans - with the incumbent challenge of speaking for very other others - but to provide guidance for future explorations. Hence knowing through showing prompts researchers to reconsider the purpose and products of any research that seeks to understand those other than ourselves.","author":[{"dropping-particle":"","family":"Pitt","given":"Hannah","non-dropping-particle":"","parse-names":false,"suffix":""}],"container-title":"Area","id":"ITEM-1","issue":"1","issued":{"date-parts":[["2015"]]},"page":"48-55","title":"On showing and being shown plants: A guide to methods for more-than-human geography","type":"article-journal","volume":"47"},"uris":["http://www.mendeley.com/documents/?uuid=c17abf89-83f3-4141-b72c-d7ae960f55a1"]},{"id":"ITEM-2","itemData":{"DOI":"10.1177/0309132516664439","ISSN":"03091325","abstract":"© 2016, © The Author(s) 2016. Various identified ‘turns’ in human geography, such as relational, non-representational, material and performative, urge and enable geographers to rethink complex people-nature relationships as contingent and layered processes, and the world as projects of human and more-than-human inhabitation. This shift challenges researchers to do geography differently, or in other words, invites alterations in thinking and methods. This progress report focuses on how qualitative researchers in human geography are grappling with the challenge of more-than-human research methodologies. We chart analyses of more-than-human worlds that are reliant on conventional methodological approaches, as well as more innovative methodological approaches which extend more-than-human understandings whilst recognizing their own limits. The report finally considers a small but growing body of work that takes an additional methodological step in developing human–more-than-human collaborative research relationships that are actively engaging with power relationships by reconsidering the author-ity of their research. We conclude that although the more-than-human ‘turn’ is being thoroughly debated and engaged with in theory, the implications of this have not carried through to the same extent in terms of praxis.","author":[{"dropping-particle":"","family":"Dowling","given":"Robyn","non-dropping-particle":"","parse-names":false,"suffix":""},{"dropping-particle":"","family":"Lloyd","given":"Kate","non-dropping-particle":"","parse-names":false,"suffix":""},{"dropping-particle":"","family":"Suchet-Pearson","given":"Sandra","non-dropping-particle":"","parse-names":false,"suffix":""}],"container-title":"Progress in Human Geography","id":"ITEM-2","issue":"6","issued":{"date-parts":[["2017"]]},"page":"823-831","title":"Qualitative methods II: ‘More-than-human’ methodologies and/in praxis","type":"article-journal","volume":"41"},"uris":["http://www.mendeley.com/documents/?uuid=097877bc-f98d-35f6-961d-585c4ee2fc21"]}],"mendeley":{"formattedCitation":"(Pitt, 2015; Dowling, Lloyd and Suchet-Pearson, 2017)","manualFormatting":"(Pitt, 2015; Dowling et al., 2017)","plainTextFormattedCitation":"(Pitt, 2015; Dowling, Lloyd and Suchet-Pearson, 2017)","previouslyFormattedCitation":"(Pitt, 2015; Dowling, Lloyd and Suchet-Pearson, 2017)"},"properties":{"noteIndex":0},"schema":"https://github.com/citation-style-language/schema/raw/master/csl-citation.json"}</w:instrText>
      </w:r>
      <w:r w:rsidRPr="000E3A4A">
        <w:rPr>
          <w:rFonts w:cs="Times New Roman"/>
          <w:sz w:val="22"/>
        </w:rPr>
        <w:fldChar w:fldCharType="separate"/>
      </w:r>
      <w:r w:rsidRPr="000E3A4A">
        <w:rPr>
          <w:rFonts w:cs="Times New Roman"/>
          <w:noProof/>
          <w:sz w:val="22"/>
        </w:rPr>
        <w:t xml:space="preserve">(Pitt, 2015; Dowling </w:t>
      </w:r>
      <w:r w:rsidRPr="00C6158D">
        <w:rPr>
          <w:rFonts w:cs="Times New Roman"/>
          <w:i/>
          <w:noProof/>
          <w:sz w:val="22"/>
        </w:rPr>
        <w:t>et al</w:t>
      </w:r>
      <w:r w:rsidRPr="000E3A4A">
        <w:rPr>
          <w:rFonts w:cs="Times New Roman"/>
          <w:noProof/>
          <w:sz w:val="22"/>
        </w:rPr>
        <w:t>., 2017)</w:t>
      </w:r>
      <w:r w:rsidRPr="000E3A4A">
        <w:rPr>
          <w:rFonts w:cs="Times New Roman"/>
          <w:sz w:val="22"/>
        </w:rPr>
        <w:fldChar w:fldCharType="end"/>
      </w:r>
      <w:r w:rsidRPr="000E3A4A">
        <w:rPr>
          <w:rFonts w:cs="Times New Roman"/>
          <w:sz w:val="22"/>
        </w:rPr>
        <w:t xml:space="preserve">. They use these methods as a way of elucidating the active role of nonhumans in co-constituting socio-spatial configurations alongside human actors. The practices I engaged in during my participant observation activities enabled me to see how the caviar </w:t>
      </w:r>
      <w:r w:rsidRPr="000E3A4A">
        <w:rPr>
          <w:rFonts w:cs="Times New Roman"/>
          <w:sz w:val="22"/>
        </w:rPr>
        <w:lastRenderedPageBreak/>
        <w:t xml:space="preserve">trade regulations intersect with the liveliness and materiality of captive sturgeon, with implications for the operations of sturgeon aquaculture facilities. For example when observing sturgeon undergoing ultrasounds to determine whether they were carrying caviar, the facility staff explained their frustrations and difficulties in estimating the caviar output from their sturgeon. They stated that since rearing sturgeon, the caviar output had been highly variable and not what they’d expected based upon their calculations. This brought them to the conclusion that captive sturgeon are seemingly unable to produce quantities of caviar comparable to those taken from wild sturgeon when wild harvest was legal. This anecdote demonstrates how observing and following sturgeon revealed how captive sturgeon exert an active – sometimes unexplainable- force on the production of caviar. It also pointed to the changing human-nonhuman relations brought about by caviar trade policies, whereby humans and sturgeon are brought into closer proximity with unexpected outcomes. </w:t>
      </w:r>
    </w:p>
    <w:p w14:paraId="1739725C" w14:textId="37946408" w:rsidR="00460259" w:rsidRPr="000E3A4A" w:rsidRDefault="00460259" w:rsidP="00460259">
      <w:pPr>
        <w:widowControl w:val="0"/>
        <w:autoSpaceDE w:val="0"/>
        <w:autoSpaceDN w:val="0"/>
        <w:adjustRightInd w:val="0"/>
        <w:rPr>
          <w:rFonts w:cs="Times New Roman"/>
          <w:sz w:val="22"/>
        </w:rPr>
      </w:pPr>
      <w:r w:rsidRPr="000E3A4A">
        <w:rPr>
          <w:rFonts w:cs="Times New Roman"/>
          <w:sz w:val="22"/>
        </w:rPr>
        <w:t xml:space="preserve"> </w:t>
      </w:r>
      <w:r w:rsidRPr="000E3A4A">
        <w:rPr>
          <w:rFonts w:cs="Times New Roman"/>
          <w:sz w:val="22"/>
        </w:rPr>
        <w:tab/>
        <w:t xml:space="preserve">Although not possible to follow sturgeon in the same manner as following people, I was able to follow the impacts of caviar trade policy in this instance via physical ‘encounters’ with captive sturgeon. Geographers are increasingly deploying methodologies that are attuned to more-than-human encounters </w:t>
      </w:r>
      <w:r w:rsidRPr="000E3A4A">
        <w:rPr>
          <w:rFonts w:cs="Times New Roman"/>
          <w:sz w:val="22"/>
        </w:rPr>
        <w:fldChar w:fldCharType="begin" w:fldLock="1"/>
      </w:r>
      <w:r w:rsidR="004C1513">
        <w:rPr>
          <w:rFonts w:cs="Times New Roman"/>
          <w:sz w:val="22"/>
        </w:rPr>
        <w:instrText>ADDIN CSL_CITATION {"citationItems":[{"id":"ITEM-1","itemData":{"DOI":"10.1068/d23512","abstract":"For over two decades, geographers concerned with undoing what Judith Butler has referred to as 'the conceit of anthropocentrism' have brought animals in from the margins of thought. Geography's contributions to animal studies have been diverse, but a key consideration has been a retreat from thinking with animals toward a plural, more-than-human analysis. A recent privileging of 'spaces of encounter' with nonhuman others challenges the significance of animals altogether, equating them to other nonhuman entities-along with nonliving processes, the movement of molecules, viruses, forces, and affects that circulate and connect in 'events' and 'sites'-on the terrain of ethical and political conflict. There is much at stake here in terms of how geographical methods are carried out and how response, analysis, and political action proceed. In what follows, I reflect on field notes from an ethnographic encounter with lobster experimentation in a neuroscience laboratory to contrast thinking 'with animals' and 'with encounters'. I assess the implications of each for transforming who and what we consider in ethical and political terms. I find that while the encounter moves beyond the limitations of more traditionally defined animal studies, a corresponding focus on the present loses sight of wider temporal and spatial relations-including the political economies-that are relevant to the elements in any encounter. Drawing on Boaventura de Sousa Santos and Astrid Schrader, I argue for a geography of the encounter that 'expands the present' rather than residing in it, with consequences for the 'new materialism' movement. In the case of the lobster experiment, this leads me to consider how scientific practices with animals are also immediately a part of ongoing trends in the US that 'militarize' biological life. In conclusion, I argue that concern for animals in the laboratory ought to expand to include concern for past and future political conditions of life, death, and the production of knowledge.","author":[{"dropping-particle":"","family":"Johnson","given":"Elizabeth R","non-dropping-particle":"","parse-names":false,"suffix":""}],"container-title":"Society and Space","id":"ITEM-1","issued":{"date-parts":[["2015"]]},"page":"296-313","title":"Of lobsters, laboratories, and war: animal studies and the temporality of more-than-human encounters","type":"article-journal","volume":"33"},"uris":["http://www.mendeley.com/documents/?uuid=879f6dfe-7bb1-31d0-be14-adf330244fd1"]},{"id":"ITEM-2","itemData":{"DOI":"10.1016/J.GEOFORUM.2018.06.011","ISSN":"0016-7185","abstract":"This study examines how transformations of a regional rural economy have produced new geographies of encounter between agricultural communities, their livestock, and carnivores surrounding Bandipur National Park in Karnataka, India. We analyze state discourses of human-wildlife conflict alongside the perspectives of rural agricultural communities about changes in human-wildlife interactions. Our study shows how state narratives about human-wildlife conflict mask more foundational changes in the livelihood strategies of agricultural villages in response both to park management and regional economic transformations, and how these changes are inherently woven into the production of new geographies of human-wildlife encounter. Our results suggest declining tolerance for injury and death of cattle by carnivores represents the cumulative impacts of a transformation of the livestock economy and more aggressive protected area management strategies. This research also suggests how political ecology can maintain its commitments to social justice while becoming more attuned to animals as political actors.","author":[{"dropping-particle":"","family":"Margulies","given":"Jared D.","non-dropping-particle":"","parse-names":false,"suffix":""},{"dropping-particle":"","family":"Karanth","given":"Krithi K.","non-dropping-particle":"","parse-names":false,"suffix":""}],"container-title":"Geoforum","id":"ITEM-2","issued":{"date-parts":[["2018","10","1"]]},"page":"153-164","publisher":"Pergamon","title":"The production of human-wildlife conflict: A political animal geography of encounter","type":"article-journal","volume":"95"},"uris":["http://www.mendeley.com/documents/?uuid=6b6dd791-bf47-3708-b994-972a911ac9f1"]},{"id":"ITEM-3","itemData":{"DOI":"10.1177/0263775815626420","ISSN":"0263-7758","author":[{"dropping-particle":"","family":"Barua","given":"Maan","non-dropping-particle":"","parse-names":false,"suffix":""}],"container-title":"Environment and Planning D: Society and Space","id":"ITEM-3","issue":"4","issued":{"date-parts":[["2016","8","26"]]},"page":"725-744","title":"Lively commodities and encounter value","type":"article-journal","volume":"34"},"uris":["http://www.mendeley.com/documents/?uuid=7565a9fe-2a9e-31ae-965f-0fc849e5f25f"]},{"id":"ITEM-4","itemData":{"DOI":"10.1111/tran.12170","ISSN":"0020-2754","abstract":"This paper maps into geographies of ‘lively commodities’, commodities whose value derives from their status as living beings. In an era where life itself has become a locus of capitalist accumulation, picking apart the category of ‘liveliness’ underpinning commodification has important analytical and geographical stakes. To this end, by tracking historical geographies of commodifying lions in political economies of ecotourism in India, this paper shows how more</w:instrText>
      </w:r>
      <w:r w:rsidR="004C1513">
        <w:rPr>
          <w:rFonts w:ascii="American Typewriter" w:hAnsi="American Typewriter" w:cs="American Typewriter"/>
          <w:sz w:val="22"/>
        </w:rPr>
        <w:instrText>‐</w:instrText>
      </w:r>
      <w:r w:rsidR="004C1513">
        <w:rPr>
          <w:rFonts w:cs="Times New Roman"/>
          <w:sz w:val="22"/>
        </w:rPr>
        <w:instrText>than</w:instrText>
      </w:r>
      <w:r w:rsidR="004C1513">
        <w:rPr>
          <w:rFonts w:ascii="American Typewriter" w:hAnsi="American Typewriter" w:cs="American Typewriter"/>
          <w:sz w:val="22"/>
        </w:rPr>
        <w:instrText>‐</w:instrText>
      </w:r>
      <w:r w:rsidR="004C1513">
        <w:rPr>
          <w:rFonts w:cs="Times New Roman"/>
          <w:sz w:val="22"/>
        </w:rPr>
        <w:instrText>human labour and lively potentials affect commodification and influence accumulation, not simply through recalcitrance, but as active participants within political economic organisation. The paper advances and develops a triad of relational concepts – nonhuman labour, encounter value, spectacular accumulation – through which the political economic potency of lively commodities might be articulated and grasped. It concludes by discussing the analytical potential of this approach and its future purchase for rethinking commodity geographies.","author":[{"dropping-particle":"","family":"Barua","given":"Maan","non-dropping-particle":"","parse-names":false,"suffix":""}],"container-title":"Transactions of the Institute of British Geographers","id":"ITEM-4","issue":"2","issued":{"date-parts":[["2017"]]},"page":"274-288","title":"Nonhuman labour, encounter value, spectacular accumulation: the geographies of a lively commodity","type":"article-journal","volume":"42"},"uris":["http://www.mendeley.com/documents/?uuid=522b78fc-5f28-3dd7-bbb4-6be6ebc8c439"]}],"mendeley":{"formattedCitation":"(Elizabeth R Johnson, 2015; Barua, 2016, 2017; Margulies and Karanth, 2018)","manualFormatting":"(Johnson, 2015; Barua, 2016, 2017; Margulies and Karanth, 2018)","plainTextFormattedCitation":"(Elizabeth R Johnson, 2015; Barua, 2016, 2017; Margulies and Karanth, 2018)","previouslyFormattedCitation":"(Elizabeth R Johnson, 2015; Barua, 2016, 2017; Margulies and Karanth, 2018)"},"properties":{"noteIndex":0},"schema":"https://github.com/citation-style-language/schema/raw/master/csl-citation.json"}</w:instrText>
      </w:r>
      <w:r w:rsidRPr="000E3A4A">
        <w:rPr>
          <w:rFonts w:cs="Times New Roman"/>
          <w:sz w:val="22"/>
        </w:rPr>
        <w:fldChar w:fldCharType="separate"/>
      </w:r>
      <w:r w:rsidR="00042533" w:rsidRPr="00042533">
        <w:rPr>
          <w:rFonts w:cs="Times New Roman"/>
          <w:noProof/>
          <w:sz w:val="22"/>
        </w:rPr>
        <w:t>(Johnson, 2015; Barua, 2016, 2017; Margulies and Karanth, 2018)</w:t>
      </w:r>
      <w:r w:rsidRPr="000E3A4A">
        <w:rPr>
          <w:rFonts w:cs="Times New Roman"/>
          <w:sz w:val="22"/>
        </w:rPr>
        <w:fldChar w:fldCharType="end"/>
      </w:r>
      <w:r w:rsidRPr="000E3A4A">
        <w:rPr>
          <w:rFonts w:cs="Times New Roman"/>
          <w:sz w:val="22"/>
        </w:rPr>
        <w:t xml:space="preserve">, in </w:t>
      </w:r>
      <w:r w:rsidR="0080351E">
        <w:rPr>
          <w:rFonts w:cs="Times New Roman"/>
          <w:sz w:val="22"/>
        </w:rPr>
        <w:t>order “</w:t>
      </w:r>
      <w:r w:rsidRPr="000E3A4A">
        <w:rPr>
          <w:rFonts w:cs="Times New Roman"/>
          <w:sz w:val="22"/>
        </w:rPr>
        <w:t>to account for how lively beings and even non-living things exert an active f</w:t>
      </w:r>
      <w:r w:rsidR="0080351E">
        <w:rPr>
          <w:rFonts w:cs="Times New Roman"/>
          <w:sz w:val="22"/>
        </w:rPr>
        <w:t>orce on the unfolding of events”</w:t>
      </w:r>
      <w:r w:rsidRPr="000E3A4A">
        <w:rPr>
          <w:rFonts w:cs="Times New Roman"/>
          <w:sz w:val="22"/>
        </w:rPr>
        <w:t xml:space="preserve"> </w:t>
      </w:r>
      <w:r w:rsidRPr="000E3A4A">
        <w:rPr>
          <w:rFonts w:cs="Times New Roman"/>
          <w:sz w:val="22"/>
        </w:rPr>
        <w:fldChar w:fldCharType="begin" w:fldLock="1"/>
      </w:r>
      <w:r w:rsidR="004A2BF2">
        <w:rPr>
          <w:rFonts w:cs="Times New Roman"/>
          <w:sz w:val="22"/>
        </w:rPr>
        <w:instrText>ADDIN CSL_CITATION {"citationItems":[{"id":"ITEM-1","itemData":{"DOI":"10.1068/d23512","abstract":"For over two decades, geographers concerned with undoing what Judith Butler has referred to as 'the conceit of anthropocentrism' have brought animals in from the margins of thought. Geography's contributions to animal studies have been diverse, but a key consideration has been a retreat from thinking with animals toward a plural, more-than-human analysis. A recent privileging of 'spaces of encounter' with nonhuman others challenges the significance of animals altogether, equating them to other nonhuman entities-along with nonliving processes, the movement of molecules, viruses, forces, and affects that circulate and connect in 'events' and 'sites'-on the terrain of ethical and political conflict. There is much at stake here in terms of how geographical methods are carried out and how response, analysis, and political action proceed. In what follows, I reflect on field notes from an ethnographic encounter with lobster experimentation in a neuroscience laboratory to contrast thinking 'with animals' and 'with encounters'. I assess the implications of each for transforming who and what we consider in ethical and political terms. I find that while the encounter moves beyond the limitations of more traditionally defined animal studies, a corresponding focus on the present loses sight of wider temporal and spatial relations-including the political economies-that are relevant to the elements in any encounter. Drawing on Boaventura de Sousa Santos and Astrid Schrader, I argue for a geography of the encounter that 'expands the present' rather than residing in it, with consequences for the 'new materialism' movement. In the case of the lobster experiment, this leads me to consider how scientific practices with animals are also immediately a part of ongoing trends in the US that 'militarize' biological life. In conclusion, I argue that concern for animals in the laboratory ought to expand to include concern for past and future political conditions of life, death, and the production of knowledge.","author":[{"dropping-particle":"","family":"Johnson","given":"Elizabeth R","non-dropping-particle":"","parse-names":false,"suffix":""}],"container-title":"Society and Space","id":"ITEM-1","issued":{"date-parts":[["2015"]]},"page":"296-313","title":"Of lobsters, laboratories, and war: animal studies and the temporality of more-than-human encounters","type":"article-journal","volume":"33"},"uris":["http://www.mendeley.com/documents/?uuid=879f6dfe-7bb1-31d0-be14-adf330244fd1"]}],"mendeley":{"formattedCitation":"(Elizabeth R Johnson, 2015)","manualFormatting":"(Johnson, 2015: 303)","plainTextFormattedCitation":"(Elizabeth R Johnson, 2015)","previouslyFormattedCitation":"(Elizabeth R Johnson, 2015)"},"properties":{"noteIndex":0},"schema":"https://github.com/citation-style-language/schema/raw/master/csl-citation.json"}</w:instrText>
      </w:r>
      <w:r w:rsidRPr="000E3A4A">
        <w:rPr>
          <w:rFonts w:cs="Times New Roman"/>
          <w:sz w:val="22"/>
        </w:rPr>
        <w:fldChar w:fldCharType="separate"/>
      </w:r>
      <w:r w:rsidRPr="000E3A4A">
        <w:rPr>
          <w:rFonts w:cs="Times New Roman"/>
          <w:noProof/>
          <w:sz w:val="22"/>
        </w:rPr>
        <w:t>(Johnson, 2015: 303)</w:t>
      </w:r>
      <w:r w:rsidRPr="000E3A4A">
        <w:rPr>
          <w:rFonts w:cs="Times New Roman"/>
          <w:sz w:val="22"/>
        </w:rPr>
        <w:fldChar w:fldCharType="end"/>
      </w:r>
      <w:r w:rsidRPr="000E3A4A">
        <w:rPr>
          <w:rFonts w:cs="Times New Roman"/>
          <w:sz w:val="22"/>
        </w:rPr>
        <w:t xml:space="preserve">.  In this sense, through my encounters </w:t>
      </w:r>
      <w:r w:rsidR="00E336F6">
        <w:rPr>
          <w:rFonts w:cs="Times New Roman"/>
          <w:sz w:val="22"/>
        </w:rPr>
        <w:t xml:space="preserve">with </w:t>
      </w:r>
      <w:r w:rsidRPr="000E3A4A">
        <w:rPr>
          <w:rFonts w:cs="Times New Roman"/>
          <w:sz w:val="22"/>
        </w:rPr>
        <w:t>sturgeon I was able to witness how sturgeon exert a force on the unfolding of events such as the ultrasound and ultimately caviar yields. The informal discussion that followed this event linked the lower caviar yields with policy changes, thus confirming Johnson’s suggestion that an encounter is not</w:t>
      </w:r>
      <w:r w:rsidR="0080351E">
        <w:rPr>
          <w:rFonts w:cs="Times New Roman"/>
          <w:sz w:val="22"/>
        </w:rPr>
        <w:t xml:space="preserve"> a singular event, but that it “</w:t>
      </w:r>
      <w:r w:rsidRPr="000E3A4A">
        <w:rPr>
          <w:rFonts w:cs="Times New Roman"/>
          <w:sz w:val="22"/>
        </w:rPr>
        <w:t>erupts within and passes</w:t>
      </w:r>
      <w:r w:rsidR="0080351E">
        <w:rPr>
          <w:rFonts w:cs="Times New Roman"/>
          <w:sz w:val="22"/>
        </w:rPr>
        <w:t xml:space="preserve"> through a geopolitical terrain”</w:t>
      </w:r>
      <w:r w:rsidR="00DC0634">
        <w:rPr>
          <w:rFonts w:cs="Times New Roman"/>
          <w:sz w:val="22"/>
        </w:rPr>
        <w:t xml:space="preserve"> (Johnson, 2015</w:t>
      </w:r>
      <w:r w:rsidRPr="000E3A4A">
        <w:rPr>
          <w:rFonts w:cs="Times New Roman"/>
          <w:sz w:val="22"/>
        </w:rPr>
        <w:t>: 310). Building upon this fu</w:t>
      </w:r>
      <w:r w:rsidR="0080351E">
        <w:rPr>
          <w:rFonts w:cs="Times New Roman"/>
          <w:sz w:val="22"/>
        </w:rPr>
        <w:t>r</w:t>
      </w:r>
      <w:r w:rsidRPr="000E3A4A">
        <w:rPr>
          <w:rFonts w:cs="Times New Roman"/>
          <w:sz w:val="22"/>
        </w:rPr>
        <w:t xml:space="preserve">ther, I demonstrate in this thesis how following sturgeon through more-than-human participatory encounters, situates the fish as an actor in the wider geopolitical-ecologies of the caviar trade regulations. </w:t>
      </w:r>
      <w:r w:rsidR="00C7398B">
        <w:rPr>
          <w:rFonts w:cs="Times New Roman"/>
          <w:sz w:val="22"/>
        </w:rPr>
        <w:t xml:space="preserve">In </w:t>
      </w:r>
      <w:r w:rsidR="00302240">
        <w:rPr>
          <w:rFonts w:cs="Times New Roman"/>
          <w:sz w:val="22"/>
        </w:rPr>
        <w:t>particular in chapter six, I draw upon my experiences of following captive sturgeon to explain how captive sturgeon shape, and are impacted by, the increasing securitization of caviar production.</w:t>
      </w:r>
      <w:r w:rsidR="00E336F6">
        <w:rPr>
          <w:rFonts w:cs="Times New Roman"/>
          <w:sz w:val="22"/>
        </w:rPr>
        <w:br/>
      </w:r>
    </w:p>
    <w:p w14:paraId="11E4E328" w14:textId="77777777" w:rsidR="00460259" w:rsidRPr="000E3A4A" w:rsidRDefault="00460259" w:rsidP="00460259">
      <w:pPr>
        <w:pStyle w:val="Heading3"/>
      </w:pPr>
      <w:bookmarkStart w:id="31" w:name="_Toc453224204"/>
      <w:r w:rsidRPr="000E3A4A">
        <w:t>3.2.3 Follow the materials</w:t>
      </w:r>
      <w:bookmarkEnd w:id="31"/>
    </w:p>
    <w:p w14:paraId="14EB1DB2" w14:textId="43A12D65" w:rsidR="00460259" w:rsidRPr="000E3A4A" w:rsidRDefault="00460259" w:rsidP="00460259">
      <w:pPr>
        <w:widowControl w:val="0"/>
        <w:autoSpaceDE w:val="0"/>
        <w:autoSpaceDN w:val="0"/>
        <w:adjustRightInd w:val="0"/>
        <w:rPr>
          <w:rFonts w:cs="Times New Roman"/>
          <w:sz w:val="22"/>
        </w:rPr>
      </w:pPr>
      <w:r w:rsidRPr="000E3A4A">
        <w:rPr>
          <w:rFonts w:cs="Times New Roman"/>
          <w:sz w:val="22"/>
        </w:rPr>
        <w:t>Wood (2016) points to the need to follow materials such as policy documents, websites, brochures and films in order to understand the process of policy circulation and learning. In line with this, I analysed 25 textual materials that were of direct relevance to understanding the impact of the caviar trade regulations in the European Union. These texts were broken down as follows: 5 policy documents detailing official legislation; 1 European Commission report; 1 European Commission press release; 7 NGO reports; 3 sturgeon conservation action plans; 2 reports on meeting proceedings; and 6 briefing reports detailing wildlife seizures in the EU (further details of the textual materials are included in</w:t>
      </w:r>
      <w:r w:rsidR="00E336F6">
        <w:rPr>
          <w:rFonts w:cs="Times New Roman"/>
          <w:sz w:val="22"/>
        </w:rPr>
        <w:t xml:space="preserve"> Appendix B</w:t>
      </w:r>
      <w:r w:rsidRPr="000E3A4A">
        <w:rPr>
          <w:rFonts w:cs="Times New Roman"/>
          <w:sz w:val="22"/>
        </w:rPr>
        <w:t xml:space="preserve">).  </w:t>
      </w:r>
    </w:p>
    <w:p w14:paraId="1ADEF6EE" w14:textId="084BCDFD" w:rsidR="00460259" w:rsidRPr="000E3A4A" w:rsidRDefault="00460259" w:rsidP="00460259">
      <w:pPr>
        <w:widowControl w:val="0"/>
        <w:autoSpaceDE w:val="0"/>
        <w:autoSpaceDN w:val="0"/>
        <w:adjustRightInd w:val="0"/>
        <w:rPr>
          <w:rFonts w:cs="Times New Roman"/>
          <w:sz w:val="22"/>
        </w:rPr>
      </w:pPr>
      <w:r w:rsidRPr="000E3A4A">
        <w:rPr>
          <w:rFonts w:cs="Times New Roman"/>
          <w:sz w:val="22"/>
        </w:rPr>
        <w:lastRenderedPageBreak/>
        <w:tab/>
        <w:t>In following the materials I began by analysing the official CITES Resolution Conf. 12.7 that outlines the rules for global trade in sturgeon and caviar, and then analysed how this resolution had be</w:t>
      </w:r>
      <w:r w:rsidR="00E60BF5">
        <w:rPr>
          <w:rFonts w:cs="Times New Roman"/>
          <w:sz w:val="22"/>
        </w:rPr>
        <w:t>en codified in the EU Wildlife Trade R</w:t>
      </w:r>
      <w:r w:rsidRPr="000E3A4A">
        <w:rPr>
          <w:rFonts w:cs="Times New Roman"/>
          <w:sz w:val="22"/>
        </w:rPr>
        <w:t>egulations</w:t>
      </w:r>
      <w:r w:rsidR="00E60BF5">
        <w:rPr>
          <w:rFonts w:cs="Times New Roman"/>
          <w:sz w:val="22"/>
        </w:rPr>
        <w:t xml:space="preserve"> (EUWTR)</w:t>
      </w:r>
      <w:r w:rsidRPr="000E3A4A">
        <w:rPr>
          <w:rFonts w:cs="Times New Roman"/>
          <w:sz w:val="22"/>
        </w:rPr>
        <w:t>. From here the choice of textual materials that I analysed were determined by the materials that interlocutors made reference to in interviews, and also through the online searches that I conducted on a regular</w:t>
      </w:r>
      <w:r w:rsidR="00E336F6">
        <w:rPr>
          <w:rFonts w:cs="Times New Roman"/>
          <w:sz w:val="22"/>
        </w:rPr>
        <w:t xml:space="preserve"> basis. Wood acknowledges that “</w:t>
      </w:r>
      <w:r w:rsidRPr="000E3A4A">
        <w:rPr>
          <w:rFonts w:cs="Times New Roman"/>
          <w:sz w:val="22"/>
        </w:rPr>
        <w:t>the task of tracing policy movement through material</w:t>
      </w:r>
      <w:r w:rsidR="00E336F6">
        <w:rPr>
          <w:rFonts w:cs="Times New Roman"/>
          <w:sz w:val="22"/>
        </w:rPr>
        <w:t xml:space="preserve">s involves significant sifting” </w:t>
      </w:r>
      <w:r w:rsidRPr="000E3A4A">
        <w:rPr>
          <w:rFonts w:cs="Times New Roman"/>
          <w:sz w:val="22"/>
        </w:rPr>
        <w:t>(2016: 399), and I personally sifted through hundreds of other textual materials i</w:t>
      </w:r>
      <w:r w:rsidR="00E336F6">
        <w:rPr>
          <w:rFonts w:cs="Times New Roman"/>
          <w:sz w:val="22"/>
        </w:rPr>
        <w:t>ncluding newspaper articles</w:t>
      </w:r>
      <w:r w:rsidRPr="000E3A4A">
        <w:rPr>
          <w:rFonts w:cs="Times New Roman"/>
          <w:sz w:val="22"/>
        </w:rPr>
        <w:t>, blogs, policy briefs, websites</w:t>
      </w:r>
      <w:r w:rsidR="00E336F6">
        <w:rPr>
          <w:rFonts w:cs="Times New Roman"/>
          <w:sz w:val="22"/>
        </w:rPr>
        <w:t>,</w:t>
      </w:r>
      <w:r w:rsidRPr="000E3A4A">
        <w:rPr>
          <w:rFonts w:cs="Times New Roman"/>
          <w:sz w:val="22"/>
        </w:rPr>
        <w:t xml:space="preserve"> and press releases in order to further develop and corroborate my understanding about the process by which caviar trade policy has circulated in the EU. I chose these 25 documents as they directly deal with EU caviar trade policy, and in most instances represented the primary document that other reports and blogs made reference to. Moreover, the textual materials I followed span the period 1997 to 2019. This is important because sturgeon were first listed on CITES in 1998, and so the cross-section of textual materials that I follow trace the entirety of the period in which extensive changes have been made to caviar trade policy in the European Union. </w:t>
      </w:r>
    </w:p>
    <w:p w14:paraId="76B3C3F3" w14:textId="3B6FF6BD" w:rsidR="00460259" w:rsidRPr="000E3A4A" w:rsidRDefault="00460259" w:rsidP="00460259">
      <w:pPr>
        <w:widowControl w:val="0"/>
        <w:autoSpaceDE w:val="0"/>
        <w:autoSpaceDN w:val="0"/>
        <w:adjustRightInd w:val="0"/>
        <w:rPr>
          <w:rFonts w:cs="Times New Roman"/>
          <w:sz w:val="22"/>
        </w:rPr>
      </w:pPr>
      <w:r w:rsidRPr="000E3A4A">
        <w:rPr>
          <w:rFonts w:cs="Times New Roman"/>
          <w:sz w:val="22"/>
        </w:rPr>
        <w:tab/>
        <w:t>My methodology for following materials to understand policy circulation diverged from Wood’s (2016) due to the difference in the type of policy we were following, and the concomitant difference in the type of materials we followed. For Wood (2016) t</w:t>
      </w:r>
      <w:r w:rsidR="00E336F6">
        <w:rPr>
          <w:rFonts w:cs="Times New Roman"/>
          <w:sz w:val="22"/>
        </w:rPr>
        <w:t>he materials she followed were “</w:t>
      </w:r>
      <w:r w:rsidRPr="000E3A4A">
        <w:rPr>
          <w:rFonts w:cs="Times New Roman"/>
          <w:sz w:val="22"/>
        </w:rPr>
        <w:t>technologies of seducti</w:t>
      </w:r>
      <w:r w:rsidR="00E336F6">
        <w:rPr>
          <w:rFonts w:cs="Times New Roman"/>
          <w:sz w:val="22"/>
        </w:rPr>
        <w:t>on”</w:t>
      </w:r>
      <w:r w:rsidRPr="000E3A4A">
        <w:rPr>
          <w:rFonts w:cs="Times New Roman"/>
          <w:sz w:val="22"/>
        </w:rPr>
        <w:t xml:space="preserve">: materials such as brochures designed to encourage policy adoption. Whereas the materials I followed in order to understand the dynamics of caviar trade policy </w:t>
      </w:r>
      <w:r w:rsidR="00E336F6">
        <w:rPr>
          <w:rFonts w:cs="Times New Roman"/>
          <w:sz w:val="22"/>
        </w:rPr>
        <w:t>circulation, were anything but “technologies of seduction”</w:t>
      </w:r>
      <w:r w:rsidRPr="000E3A4A">
        <w:rPr>
          <w:rFonts w:cs="Times New Roman"/>
          <w:sz w:val="22"/>
        </w:rPr>
        <w:t xml:space="preserve">. Instead many of the materials, such as NGO reports and conservation action plans, pointed either explicitly or implicitly to flaws in the EU policy frameworks, or places where caviar trade policy was not working or behind adhered to. To this extent, my aim in following the textual materials was to </w:t>
      </w:r>
      <w:r w:rsidR="00E336F6">
        <w:rPr>
          <w:rFonts w:cs="Times New Roman"/>
          <w:sz w:val="22"/>
        </w:rPr>
        <w:t>consider how the unequal implications</w:t>
      </w:r>
      <w:r w:rsidRPr="000E3A4A">
        <w:rPr>
          <w:rFonts w:cs="Times New Roman"/>
          <w:sz w:val="22"/>
        </w:rPr>
        <w:t xml:space="preserve"> of the policy circulation process are made visible through these texts. In particular I focused on analysing how the texts present – e</w:t>
      </w:r>
      <w:r w:rsidR="00E336F6">
        <w:rPr>
          <w:rFonts w:cs="Times New Roman"/>
          <w:sz w:val="22"/>
        </w:rPr>
        <w:t xml:space="preserve">ither directly or indirectly - </w:t>
      </w:r>
      <w:r w:rsidRPr="000E3A4A">
        <w:rPr>
          <w:rFonts w:cs="Times New Roman"/>
          <w:sz w:val="22"/>
        </w:rPr>
        <w:t xml:space="preserve">the failures, idiosyncrasies and inconsistences of the caviar trade policies. Importantly I also examined the intersections and frictions between these texts and my interview transcripts. </w:t>
      </w:r>
    </w:p>
    <w:p w14:paraId="69714A05" w14:textId="77777777" w:rsidR="00460259" w:rsidRPr="000E3A4A" w:rsidRDefault="00460259" w:rsidP="00460259">
      <w:pPr>
        <w:widowControl w:val="0"/>
        <w:autoSpaceDE w:val="0"/>
        <w:autoSpaceDN w:val="0"/>
        <w:adjustRightInd w:val="0"/>
        <w:rPr>
          <w:rFonts w:cs="Times New Roman"/>
          <w:sz w:val="22"/>
        </w:rPr>
      </w:pPr>
    </w:p>
    <w:p w14:paraId="3A318EB0" w14:textId="77777777" w:rsidR="00460259" w:rsidRPr="000E3A4A" w:rsidRDefault="00460259" w:rsidP="00460259">
      <w:pPr>
        <w:pStyle w:val="Heading3"/>
      </w:pPr>
      <w:bookmarkStart w:id="32" w:name="_Toc453224205"/>
      <w:r w:rsidRPr="000E3A4A">
        <w:t>3.2.4 Follow the meetings</w:t>
      </w:r>
      <w:bookmarkEnd w:id="32"/>
    </w:p>
    <w:p w14:paraId="04C1D3BD" w14:textId="5A9E8209" w:rsidR="00E336F6" w:rsidRDefault="00460259" w:rsidP="00460259">
      <w:pPr>
        <w:rPr>
          <w:rFonts w:cs="Times New Roman"/>
          <w:sz w:val="22"/>
        </w:rPr>
      </w:pPr>
      <w:r w:rsidRPr="000E3A4A">
        <w:rPr>
          <w:rFonts w:cs="Times New Roman"/>
          <w:sz w:val="22"/>
        </w:rPr>
        <w:t xml:space="preserve">The final aspect of my methodology for policy following, was to follow the meetings where policy related to the caviar trade was discussed and debated. </w:t>
      </w:r>
      <w:r w:rsidR="00E336F6">
        <w:rPr>
          <w:rFonts w:cs="Times New Roman"/>
          <w:sz w:val="22"/>
        </w:rPr>
        <w:t>O</w:t>
      </w:r>
      <w:r w:rsidRPr="000E3A4A">
        <w:rPr>
          <w:rFonts w:cs="Times New Roman"/>
          <w:sz w:val="22"/>
        </w:rPr>
        <w:t>ver the course of my fieldwork I followed the trajectories of caviar trade policy at three meetings: The 8</w:t>
      </w:r>
      <w:r w:rsidRPr="000E3A4A">
        <w:rPr>
          <w:rFonts w:cs="Times New Roman"/>
          <w:sz w:val="22"/>
          <w:vertAlign w:val="superscript"/>
        </w:rPr>
        <w:t>th</w:t>
      </w:r>
      <w:r w:rsidRPr="000E3A4A">
        <w:rPr>
          <w:rFonts w:cs="Times New Roman"/>
          <w:sz w:val="22"/>
        </w:rPr>
        <w:t xml:space="preserve"> International Symposium on Sturgeon (ISS8) held in Vienna from 10-15</w:t>
      </w:r>
      <w:r w:rsidRPr="000E3A4A">
        <w:rPr>
          <w:rFonts w:cs="Times New Roman"/>
          <w:sz w:val="22"/>
          <w:vertAlign w:val="superscript"/>
        </w:rPr>
        <w:t>th</w:t>
      </w:r>
      <w:r w:rsidRPr="000E3A4A">
        <w:rPr>
          <w:rFonts w:cs="Times New Roman"/>
          <w:sz w:val="22"/>
        </w:rPr>
        <w:t xml:space="preserve"> September 2017; The 26th Seafood Expo global trade event held in Brussels from 24</w:t>
      </w:r>
      <w:r w:rsidRPr="000E3A4A">
        <w:rPr>
          <w:rFonts w:cs="Times New Roman"/>
          <w:sz w:val="22"/>
          <w:vertAlign w:val="superscript"/>
        </w:rPr>
        <w:t>th</w:t>
      </w:r>
      <w:r w:rsidRPr="000E3A4A">
        <w:rPr>
          <w:rFonts w:cs="Times New Roman"/>
          <w:sz w:val="22"/>
        </w:rPr>
        <w:t xml:space="preserve"> – 26</w:t>
      </w:r>
      <w:r w:rsidRPr="000E3A4A">
        <w:rPr>
          <w:rFonts w:cs="Times New Roman"/>
          <w:sz w:val="22"/>
          <w:vertAlign w:val="superscript"/>
        </w:rPr>
        <w:t>th</w:t>
      </w:r>
      <w:r w:rsidRPr="000E3A4A">
        <w:rPr>
          <w:rFonts w:cs="Times New Roman"/>
          <w:sz w:val="22"/>
        </w:rPr>
        <w:t xml:space="preserve"> April 2018; and the</w:t>
      </w:r>
      <w:r w:rsidR="00E336F6">
        <w:rPr>
          <w:rFonts w:cs="Times New Roman"/>
          <w:sz w:val="22"/>
        </w:rPr>
        <w:t xml:space="preserve"> Aller Aqua</w:t>
      </w:r>
      <w:r w:rsidRPr="000E3A4A">
        <w:rPr>
          <w:rFonts w:cs="Times New Roman"/>
          <w:sz w:val="22"/>
        </w:rPr>
        <w:t xml:space="preserve"> 9</w:t>
      </w:r>
      <w:r w:rsidRPr="000E3A4A">
        <w:rPr>
          <w:rFonts w:cs="Times New Roman"/>
          <w:sz w:val="22"/>
          <w:vertAlign w:val="superscript"/>
        </w:rPr>
        <w:t>th</w:t>
      </w:r>
      <w:r w:rsidRPr="000E3A4A">
        <w:rPr>
          <w:rFonts w:cs="Times New Roman"/>
          <w:sz w:val="22"/>
        </w:rPr>
        <w:t xml:space="preserve"> International Sturgeon Conference held </w:t>
      </w:r>
      <w:r w:rsidRPr="000E3A4A">
        <w:rPr>
          <w:rFonts w:cs="Times New Roman"/>
          <w:sz w:val="22"/>
        </w:rPr>
        <w:lastRenderedPageBreak/>
        <w:t>in Warsaw on 28</w:t>
      </w:r>
      <w:r w:rsidRPr="000E3A4A">
        <w:rPr>
          <w:rFonts w:cs="Times New Roman"/>
          <w:sz w:val="22"/>
          <w:vertAlign w:val="superscript"/>
        </w:rPr>
        <w:t>th</w:t>
      </w:r>
      <w:r w:rsidRPr="000E3A4A">
        <w:rPr>
          <w:rFonts w:cs="Times New Roman"/>
          <w:sz w:val="22"/>
        </w:rPr>
        <w:t xml:space="preserve"> November 2018. Each of these meetings was very different in scale and focus, but they all engaged with issues related to caviar trade policy and its impacts in the European Union. At the two sturgeon conferences, policy related to caviar trade and sturgeon conservation was front and centre of many of the conference presentations and sessions. At ISS8 there was an after</w:t>
      </w:r>
      <w:r w:rsidR="00E336F6">
        <w:rPr>
          <w:rFonts w:cs="Times New Roman"/>
          <w:sz w:val="22"/>
        </w:rPr>
        <w:t>noon discussion forum entitled ‘</w:t>
      </w:r>
      <w:r w:rsidRPr="000E3A4A">
        <w:rPr>
          <w:rFonts w:cs="Times New Roman"/>
          <w:sz w:val="22"/>
        </w:rPr>
        <w:t>production and marketing of caviar and sturgeon produ</w:t>
      </w:r>
      <w:r w:rsidR="00E336F6">
        <w:rPr>
          <w:rFonts w:cs="Times New Roman"/>
          <w:sz w:val="22"/>
        </w:rPr>
        <w:t>cts – current status and future’</w:t>
      </w:r>
      <w:r w:rsidRPr="000E3A4A">
        <w:rPr>
          <w:rFonts w:cs="Times New Roman"/>
          <w:sz w:val="22"/>
        </w:rPr>
        <w:t>, and on the closing day of the conference the morning session was a dedicated ‘Policy Forum’, including representatives of DG Environment of the European Commission</w:t>
      </w:r>
      <w:r w:rsidR="008D2CBC">
        <w:rPr>
          <w:rFonts w:cs="Times New Roman"/>
          <w:sz w:val="22"/>
        </w:rPr>
        <w:t xml:space="preserve"> and the</w:t>
      </w:r>
      <w:r w:rsidR="008D2CBC" w:rsidRPr="008D2CBC">
        <w:rPr>
          <w:rFonts w:cs="Times New Roman"/>
          <w:sz w:val="22"/>
        </w:rPr>
        <w:t xml:space="preserve"> </w:t>
      </w:r>
      <w:r w:rsidR="008D2CBC">
        <w:rPr>
          <w:rFonts w:cs="Times New Roman"/>
          <w:sz w:val="22"/>
        </w:rPr>
        <w:t>International Commission for the Protection of the Danube River (ICPDR)</w:t>
      </w:r>
      <w:r w:rsidRPr="000E3A4A">
        <w:rPr>
          <w:rFonts w:cs="Times New Roman"/>
          <w:sz w:val="22"/>
        </w:rPr>
        <w:t xml:space="preserve">. At the </w:t>
      </w:r>
      <w:r w:rsidR="008D2CBC">
        <w:rPr>
          <w:rFonts w:cs="Times New Roman"/>
          <w:sz w:val="22"/>
        </w:rPr>
        <w:t xml:space="preserve">Aller Aqua </w:t>
      </w:r>
      <w:r w:rsidRPr="000E3A4A">
        <w:rPr>
          <w:rFonts w:cs="Times New Roman"/>
          <w:sz w:val="22"/>
        </w:rPr>
        <w:t>9</w:t>
      </w:r>
      <w:r w:rsidRPr="000E3A4A">
        <w:rPr>
          <w:rFonts w:cs="Times New Roman"/>
          <w:sz w:val="22"/>
          <w:vertAlign w:val="superscript"/>
        </w:rPr>
        <w:t>th</w:t>
      </w:r>
      <w:r w:rsidRPr="000E3A4A">
        <w:rPr>
          <w:rFonts w:cs="Times New Roman"/>
          <w:sz w:val="22"/>
        </w:rPr>
        <w:t xml:space="preserve"> International sturgeon conference there were similar presentation themes, focused on: ‘caviar production’, ‘improved traceability of caviar to fight illegal trade’, and ‘caviar consumption and modern consumers’. All of these presentations directly or indirectly dealt with the impacts of caviar trade policies and their enactment in the European Union. </w:t>
      </w:r>
    </w:p>
    <w:p w14:paraId="1A3BCCDB" w14:textId="5ACB3F79" w:rsidR="00460259" w:rsidRPr="000E3A4A" w:rsidRDefault="00460259" w:rsidP="00E336F6">
      <w:pPr>
        <w:ind w:firstLine="720"/>
        <w:rPr>
          <w:rFonts w:cs="Times New Roman"/>
          <w:sz w:val="22"/>
        </w:rPr>
      </w:pPr>
      <w:r w:rsidRPr="000E3A4A">
        <w:rPr>
          <w:rFonts w:cs="Times New Roman"/>
          <w:sz w:val="22"/>
        </w:rPr>
        <w:t>The Seafood Expo global is a notably different type of meeting, as it is primarily a trade event rather than a conference. The organiser</w:t>
      </w:r>
      <w:r w:rsidR="00E336F6">
        <w:rPr>
          <w:rFonts w:cs="Times New Roman"/>
          <w:sz w:val="22"/>
        </w:rPr>
        <w:t>s describe the Seafood Expo as “</w:t>
      </w:r>
      <w:r w:rsidRPr="000E3A4A">
        <w:rPr>
          <w:rFonts w:cs="Times New Roman"/>
          <w:sz w:val="22"/>
        </w:rPr>
        <w:t>the global place where the seafood industry meets</w:t>
      </w:r>
      <w:r w:rsidR="00E336F6">
        <w:rPr>
          <w:rFonts w:cs="Times New Roman"/>
          <w:sz w:val="22"/>
        </w:rPr>
        <w:t>”</w:t>
      </w:r>
      <w:r w:rsidRPr="005B292F">
        <w:rPr>
          <w:rStyle w:val="FootnoteReference"/>
        </w:rPr>
        <w:footnoteReference w:id="13"/>
      </w:r>
      <w:r w:rsidRPr="000E3A4A">
        <w:rPr>
          <w:rFonts w:cs="Times New Roman"/>
          <w:sz w:val="22"/>
        </w:rPr>
        <w:t>, with over 29,000 attendees and 2000+ exhibiting companies. The event provided me with an opportunity to engage with seafood industry representatives and witness caviar trade policy in action. Moreover, the European Commission convened an exhibition space at the conference, and hosted a number of open events and talks dealing with issues of EU fisheries and trade policy broadly. For example former European Commissioner for</w:t>
      </w:r>
      <w:r w:rsidR="0085369E">
        <w:rPr>
          <w:rFonts w:cs="Times New Roman"/>
          <w:sz w:val="22"/>
        </w:rPr>
        <w:t xml:space="preserve"> Environment (DG ENV) and</w:t>
      </w:r>
      <w:r w:rsidRPr="000E3A4A">
        <w:rPr>
          <w:rFonts w:cs="Times New Roman"/>
          <w:sz w:val="22"/>
        </w:rPr>
        <w:t xml:space="preserve"> Maritime Affairs and Fisheries (DG MARE), Karmenu Vella, hosted two events entitled ‘Food from our oceans, a look into the future’, and ‘the social dimension of fisheries’. Throughout the duration of the Seafood Expo a team of experts from several Directorate-Generals in the Commission manned the European Commission stand. These experts ran daily information sessions on issues that were pertinent to my research, including: latest developments in EU trade policies regarding fisheries; EU consumer habits regarding fishery and aquaculture products; Controls; and Aquaculture. </w:t>
      </w:r>
    </w:p>
    <w:p w14:paraId="032EBC03" w14:textId="15BE9C9B" w:rsidR="00460259" w:rsidRPr="000E3A4A" w:rsidRDefault="00460259" w:rsidP="00460259">
      <w:pPr>
        <w:rPr>
          <w:rFonts w:cs="Times New Roman"/>
          <w:sz w:val="22"/>
        </w:rPr>
      </w:pPr>
      <w:r w:rsidRPr="000E3A4A">
        <w:rPr>
          <w:rFonts w:cs="Times New Roman"/>
          <w:sz w:val="22"/>
        </w:rPr>
        <w:tab/>
        <w:t>At each of these meetings I deployed ethnographic observation methods. I attended the conference sessions and talks held at the three meetings, taking notes on the significant discussion points that related to the geopolitical-ecological impacts of caviar trade policy in the EU. I also engaged in informal discussions with industry representatives, policymakers, NGO representatives, and researchers at all three events. I made observational field-notes on the exhibitions and the physical arrangement of Seafood Expo global, as well as paying particular attention to how caviar was displayed and presented by caviar companies at the event</w:t>
      </w:r>
      <w:r w:rsidR="008D2CBC">
        <w:rPr>
          <w:rFonts w:cs="Times New Roman"/>
          <w:sz w:val="22"/>
        </w:rPr>
        <w:t xml:space="preserve"> (See Image 0.1)</w:t>
      </w:r>
      <w:r w:rsidRPr="000E3A4A">
        <w:rPr>
          <w:rFonts w:cs="Times New Roman"/>
          <w:sz w:val="22"/>
        </w:rPr>
        <w:t xml:space="preserve">. Wood suggests that conferences and </w:t>
      </w:r>
      <w:r w:rsidR="0085369E">
        <w:rPr>
          <w:rFonts w:cs="Times New Roman"/>
          <w:sz w:val="22"/>
        </w:rPr>
        <w:t>meetings are “</w:t>
      </w:r>
      <w:r w:rsidRPr="000E3A4A">
        <w:rPr>
          <w:rFonts w:cs="Times New Roman"/>
          <w:sz w:val="22"/>
        </w:rPr>
        <w:t>critical moments in which people, m</w:t>
      </w:r>
      <w:r w:rsidR="0085369E">
        <w:rPr>
          <w:rFonts w:cs="Times New Roman"/>
          <w:sz w:val="22"/>
        </w:rPr>
        <w:t>aterials and learning intersect”</w:t>
      </w:r>
      <w:r w:rsidRPr="000E3A4A">
        <w:rPr>
          <w:rFonts w:cs="Times New Roman"/>
          <w:sz w:val="22"/>
        </w:rPr>
        <w:t xml:space="preserve"> (2016:399) to influence the trajectories of policy circulation. As such, these meetings can be viewed </w:t>
      </w:r>
      <w:r w:rsidRPr="000E3A4A">
        <w:rPr>
          <w:rFonts w:cs="Times New Roman"/>
          <w:sz w:val="22"/>
        </w:rPr>
        <w:lastRenderedPageBreak/>
        <w:t xml:space="preserve">as critical moments for tracing the power of policy circulation and the unequal impacts of policymaking. To this extent, I paid attention to whose voices were prioritised in these meetings, what topics areas were prioritised or </w:t>
      </w:r>
      <w:r w:rsidR="0085369E" w:rsidRPr="000E3A4A">
        <w:rPr>
          <w:rFonts w:cs="Times New Roman"/>
          <w:sz w:val="22"/>
        </w:rPr>
        <w:t>side-lined</w:t>
      </w:r>
      <w:r w:rsidRPr="000E3A4A">
        <w:rPr>
          <w:rFonts w:cs="Times New Roman"/>
          <w:sz w:val="22"/>
        </w:rPr>
        <w:t xml:space="preserve">, and critically examined the nature of the materials that were being showcased and circulated. Following meetings therefore provided a final </w:t>
      </w:r>
      <w:r w:rsidR="0085369E">
        <w:rPr>
          <w:rFonts w:cs="Times New Roman"/>
          <w:sz w:val="22"/>
        </w:rPr>
        <w:t xml:space="preserve">method to enrich my interviews </w:t>
      </w:r>
      <w:r w:rsidRPr="000E3A4A">
        <w:rPr>
          <w:rFonts w:cs="Times New Roman"/>
          <w:sz w:val="22"/>
        </w:rPr>
        <w:t>and overall policy following methodology</w:t>
      </w:r>
      <w:r w:rsidR="0085369E">
        <w:rPr>
          <w:rFonts w:cs="Times New Roman"/>
          <w:sz w:val="22"/>
        </w:rPr>
        <w:t>,</w:t>
      </w:r>
      <w:r w:rsidRPr="000E3A4A">
        <w:rPr>
          <w:rFonts w:cs="Times New Roman"/>
          <w:sz w:val="22"/>
        </w:rPr>
        <w:t xml:space="preserve"> as it enabled me to access microcosms where the pressing policy issues related to caviar and sturgeon were presented, debated</w:t>
      </w:r>
      <w:r w:rsidR="0085369E">
        <w:rPr>
          <w:rFonts w:cs="Times New Roman"/>
          <w:sz w:val="22"/>
        </w:rPr>
        <w:t>,</w:t>
      </w:r>
      <w:r w:rsidRPr="000E3A4A">
        <w:rPr>
          <w:rFonts w:cs="Times New Roman"/>
          <w:sz w:val="22"/>
        </w:rPr>
        <w:t xml:space="preserve"> and contested by diverse stakeholders gathered together for a short period of time. </w:t>
      </w:r>
    </w:p>
    <w:p w14:paraId="32EF7963" w14:textId="77777777" w:rsidR="00460259" w:rsidRPr="000E3A4A" w:rsidRDefault="00460259" w:rsidP="00460259">
      <w:pPr>
        <w:rPr>
          <w:rFonts w:cs="Times New Roman"/>
          <w:sz w:val="22"/>
        </w:rPr>
      </w:pPr>
    </w:p>
    <w:p w14:paraId="28108A95" w14:textId="77777777" w:rsidR="00460259" w:rsidRPr="00460259" w:rsidRDefault="00460259" w:rsidP="00460259">
      <w:pPr>
        <w:pStyle w:val="Heading2"/>
      </w:pPr>
      <w:bookmarkStart w:id="33" w:name="_Toc453224206"/>
      <w:r w:rsidRPr="00460259">
        <w:rPr>
          <w:rFonts w:cs="Times New Roman"/>
          <w:sz w:val="22"/>
          <w:szCs w:val="22"/>
        </w:rPr>
        <w:t>3.</w:t>
      </w:r>
      <w:r w:rsidRPr="00460259">
        <w:t>3 Power, Positionality and Ethics</w:t>
      </w:r>
      <w:bookmarkEnd w:id="33"/>
      <w:r w:rsidRPr="00460259">
        <w:t xml:space="preserve"> </w:t>
      </w:r>
    </w:p>
    <w:p w14:paraId="1DA148C7" w14:textId="211638CF" w:rsidR="00460259" w:rsidRPr="000E3A4A" w:rsidRDefault="00460259" w:rsidP="00460259">
      <w:pPr>
        <w:rPr>
          <w:rFonts w:cs="Times New Roman"/>
          <w:sz w:val="22"/>
        </w:rPr>
      </w:pPr>
      <w:r w:rsidRPr="000E3A4A">
        <w:rPr>
          <w:rFonts w:cs="Times New Roman"/>
          <w:sz w:val="22"/>
        </w:rPr>
        <w:t>Fundamental to the follow the policy methodology that I develop is the drive to deconstruct the politics of policy circulation</w:t>
      </w:r>
      <w:r w:rsidR="008904D9">
        <w:rPr>
          <w:rFonts w:cs="Times New Roman"/>
          <w:sz w:val="22"/>
        </w:rPr>
        <w:t>, and in particular to examine “</w:t>
      </w:r>
      <w:r w:rsidRPr="000E3A4A">
        <w:rPr>
          <w:rFonts w:cs="Times New Roman"/>
          <w:sz w:val="22"/>
        </w:rPr>
        <w:t>how equality and inequality are constructed… through</w:t>
      </w:r>
      <w:r w:rsidR="008904D9">
        <w:rPr>
          <w:rFonts w:cs="Times New Roman"/>
          <w:sz w:val="22"/>
        </w:rPr>
        <w:t xml:space="preserve"> the processes of policy making”</w:t>
      </w:r>
      <w:r w:rsidRPr="000E3A4A">
        <w:rPr>
          <w:rFonts w:cs="Times New Roman"/>
          <w:sz w:val="22"/>
        </w:rPr>
        <w:t xml:space="preserve"> (Cochrane &amp; Ward, 2012: 9). Attention to power r</w:t>
      </w:r>
      <w:r w:rsidR="008D2CBC">
        <w:rPr>
          <w:rFonts w:cs="Times New Roman"/>
          <w:sz w:val="22"/>
        </w:rPr>
        <w:t>elations is</w:t>
      </w:r>
      <w:r w:rsidRPr="000E3A4A">
        <w:rPr>
          <w:rFonts w:cs="Times New Roman"/>
          <w:sz w:val="22"/>
        </w:rPr>
        <w:t xml:space="preserve"> foundational to both the theoretical and methodological orientation of this thesis. Moreover, I recognise that politics and power dynamics are inherent to my qualitative research practices, and have a significant influence upon that data that I produced. Thus I argue </w:t>
      </w:r>
      <w:r w:rsidR="008904D9">
        <w:rPr>
          <w:rFonts w:cs="Times New Roman"/>
          <w:sz w:val="22"/>
        </w:rPr>
        <w:t xml:space="preserve">in line with Cloke </w:t>
      </w:r>
      <w:r w:rsidR="008904D9" w:rsidRPr="00C6158D">
        <w:rPr>
          <w:rFonts w:cs="Times New Roman"/>
          <w:i/>
          <w:sz w:val="22"/>
        </w:rPr>
        <w:t>et al</w:t>
      </w:r>
      <w:r w:rsidR="008904D9">
        <w:rPr>
          <w:rFonts w:cs="Times New Roman"/>
          <w:sz w:val="22"/>
        </w:rPr>
        <w:t>.</w:t>
      </w:r>
      <w:r w:rsidR="00C6158D">
        <w:rPr>
          <w:rFonts w:cs="Times New Roman"/>
          <w:sz w:val="22"/>
        </w:rPr>
        <w:t>.</w:t>
      </w:r>
      <w:r w:rsidR="008904D9">
        <w:rPr>
          <w:rFonts w:cs="Times New Roman"/>
          <w:sz w:val="22"/>
        </w:rPr>
        <w:t xml:space="preserve"> that “</w:t>
      </w:r>
      <w:r w:rsidRPr="000E3A4A">
        <w:rPr>
          <w:rFonts w:cs="Times New Roman"/>
          <w:sz w:val="22"/>
        </w:rPr>
        <w:t>the practices of research are</w:t>
      </w:r>
      <w:r w:rsidR="008904D9">
        <w:rPr>
          <w:rFonts w:cs="Times New Roman"/>
          <w:sz w:val="22"/>
        </w:rPr>
        <w:t xml:space="preserve"> themselves highly politicized” </w:t>
      </w:r>
      <w:r w:rsidRPr="000E3A4A">
        <w:rPr>
          <w:rFonts w:cs="Times New Roman"/>
          <w:sz w:val="22"/>
        </w:rPr>
        <w:t xml:space="preserve">(2004: 367). I recognise that the social interactions between my interlocutors and myself as researcher, produced data that is politically imbued. To this extent, I now examine the power dynamics and micro-politics inherent to my research, by explaining how I dealt with issues of positionality and ethics in a reflexive manner. </w:t>
      </w:r>
    </w:p>
    <w:p w14:paraId="4F71BB2E" w14:textId="4F5D6358" w:rsidR="00460259" w:rsidRPr="000E3A4A" w:rsidRDefault="00460259" w:rsidP="00460259">
      <w:pPr>
        <w:rPr>
          <w:rFonts w:cs="Times New Roman"/>
          <w:sz w:val="22"/>
        </w:rPr>
      </w:pPr>
      <w:r w:rsidRPr="000E3A4A">
        <w:rPr>
          <w:rFonts w:cs="Times New Roman"/>
          <w:sz w:val="22"/>
        </w:rPr>
        <w:tab/>
        <w:t xml:space="preserve">Cloke </w:t>
      </w:r>
      <w:r w:rsidRPr="00C6158D">
        <w:rPr>
          <w:rFonts w:cs="Times New Roman"/>
          <w:i/>
          <w:sz w:val="22"/>
        </w:rPr>
        <w:t>et al</w:t>
      </w:r>
      <w:r w:rsidR="00C6158D">
        <w:rPr>
          <w:rFonts w:cs="Times New Roman"/>
          <w:sz w:val="22"/>
        </w:rPr>
        <w:t xml:space="preserve">. </w:t>
      </w:r>
      <w:r w:rsidRPr="000E3A4A">
        <w:rPr>
          <w:rFonts w:cs="Times New Roman"/>
          <w:sz w:val="22"/>
        </w:rPr>
        <w:t>(2004) emphasise the need to examine the role of our ‘personal politics’ in shaping the outcome of our research. My positionality and personal attributes undeniably shaped the data that I collected, the narratives that emerged, and the stories that I choose to tell in the thesis. Research is an embodied process, and for me it provides an opportunity to produce research that aligns with my ethical and political beliefs. For example, a strong part of my identity is a commitment to vegetarianism and animal welfare. This personal politics and ethical orientation is reflected in</w:t>
      </w:r>
      <w:r w:rsidR="008904D9">
        <w:rPr>
          <w:rFonts w:cs="Times New Roman"/>
          <w:sz w:val="22"/>
        </w:rPr>
        <w:t xml:space="preserve"> chapter six, in</w:t>
      </w:r>
      <w:r w:rsidRPr="000E3A4A">
        <w:rPr>
          <w:rFonts w:cs="Times New Roman"/>
          <w:sz w:val="22"/>
        </w:rPr>
        <w:t xml:space="preserve"> the way I choose to highlight the </w:t>
      </w:r>
      <w:r w:rsidR="008904D9">
        <w:rPr>
          <w:rFonts w:cs="Times New Roman"/>
          <w:sz w:val="22"/>
        </w:rPr>
        <w:t xml:space="preserve">ethical </w:t>
      </w:r>
      <w:r w:rsidRPr="000E3A4A">
        <w:rPr>
          <w:rFonts w:cs="Times New Roman"/>
          <w:sz w:val="22"/>
        </w:rPr>
        <w:t>paradoxes of ‘sustainable’ sturgeon</w:t>
      </w:r>
      <w:r w:rsidR="008904D9">
        <w:rPr>
          <w:rFonts w:cs="Times New Roman"/>
          <w:sz w:val="22"/>
        </w:rPr>
        <w:t xml:space="preserve"> farming and caviar production. </w:t>
      </w:r>
      <w:r w:rsidRPr="000E3A4A">
        <w:rPr>
          <w:rFonts w:cs="Times New Roman"/>
          <w:sz w:val="22"/>
        </w:rPr>
        <w:t xml:space="preserve">The purpose of this is to draw attention to the complex human-nonhuman power geometries that constitute ‘sustainable’ sturgeon farming; but undeniably this demonstrates how my personal politics influenced the research </w:t>
      </w:r>
      <w:r w:rsidR="008904D9">
        <w:rPr>
          <w:rFonts w:cs="Times New Roman"/>
          <w:sz w:val="22"/>
        </w:rPr>
        <w:t>narrative</w:t>
      </w:r>
      <w:r w:rsidRPr="000E3A4A">
        <w:rPr>
          <w:rFonts w:cs="Times New Roman"/>
          <w:sz w:val="22"/>
        </w:rPr>
        <w:t xml:space="preserve">. </w:t>
      </w:r>
    </w:p>
    <w:p w14:paraId="5926B916" w14:textId="73956D9F" w:rsidR="00460259" w:rsidRPr="000E3A4A" w:rsidRDefault="00460259" w:rsidP="00460259">
      <w:pPr>
        <w:rPr>
          <w:rFonts w:cs="Times New Roman"/>
          <w:sz w:val="22"/>
        </w:rPr>
      </w:pPr>
      <w:r w:rsidRPr="000E3A4A">
        <w:rPr>
          <w:rFonts w:cs="Times New Roman"/>
          <w:sz w:val="22"/>
        </w:rPr>
        <w:tab/>
        <w:t>Secondly, my positionality influenced how my interlocutors related to and interacte</w:t>
      </w:r>
      <w:r w:rsidR="008904D9">
        <w:rPr>
          <w:rFonts w:cs="Times New Roman"/>
          <w:sz w:val="22"/>
        </w:rPr>
        <w:t>d with me. “</w:t>
      </w:r>
      <w:r w:rsidRPr="000E3A4A">
        <w:rPr>
          <w:rFonts w:cs="Times New Roman"/>
          <w:sz w:val="22"/>
        </w:rPr>
        <w:t xml:space="preserve">What people tell you, what they reveal and what they let you know are conditioned by how they see </w:t>
      </w:r>
      <w:r w:rsidR="008904D9">
        <w:rPr>
          <w:rFonts w:cs="Times New Roman"/>
          <w:sz w:val="22"/>
        </w:rPr>
        <w:t>you and how they respond to you”</w:t>
      </w:r>
      <w:r w:rsidRPr="000E3A4A">
        <w:rPr>
          <w:rFonts w:cs="Times New Roman"/>
          <w:sz w:val="22"/>
        </w:rPr>
        <w:t xml:space="preserve"> (Cloke </w:t>
      </w:r>
      <w:r w:rsidRPr="00C6158D">
        <w:rPr>
          <w:rFonts w:cs="Times New Roman"/>
          <w:i/>
          <w:sz w:val="22"/>
        </w:rPr>
        <w:t>et a</w:t>
      </w:r>
      <w:r w:rsidR="00C6158D">
        <w:rPr>
          <w:rFonts w:cs="Times New Roman"/>
          <w:i/>
          <w:sz w:val="22"/>
        </w:rPr>
        <w:t>l.</w:t>
      </w:r>
      <w:r w:rsidRPr="000E3A4A">
        <w:rPr>
          <w:rFonts w:cs="Times New Roman"/>
          <w:sz w:val="22"/>
        </w:rPr>
        <w:t xml:space="preserve">, 2004: 365). In practice I noted how my positionality was not static, but in flux throughout the fieldwork process. As a young, white, well-educated British woman, from a prestigious Politics department in an esteemed UK Higher Education institution, I felt at times both acutely powerless and powerful, during research interactions. In one situation, an </w:t>
      </w:r>
      <w:r w:rsidRPr="000E3A4A">
        <w:rPr>
          <w:rFonts w:cs="Times New Roman"/>
          <w:sz w:val="22"/>
        </w:rPr>
        <w:lastRenderedPageBreak/>
        <w:t xml:space="preserve">interviewee went to great lengths to tell me about their research accolades, and to make it clear to me that I was not an ‘expert’, and was ultimately at the mercy of the information they may or may not wish to provide me with. This served to establish very unequal power dynamics in the interview: it became completely one-sided and controlled by the individual in question, and clear that I was expected to be subservient. I found this interview particularly stressful and uncomfortable. On the other hand, during other interviews I perceived that some interviewees saw a reversal of power relations – viewing me as holding overriding ‘power’. In one instance for example, an interviewee asked me to provide support to her in getting her concerns raised at the highest political level in the European Commission – something that is way beyond my actual power. </w:t>
      </w:r>
    </w:p>
    <w:p w14:paraId="3D9777FB" w14:textId="20C692A9" w:rsidR="00460259" w:rsidRPr="000E3A4A" w:rsidRDefault="008D2CBC" w:rsidP="00460259">
      <w:pPr>
        <w:ind w:firstLine="720"/>
        <w:rPr>
          <w:rFonts w:cs="Times New Roman"/>
          <w:sz w:val="22"/>
        </w:rPr>
      </w:pPr>
      <w:r>
        <w:rPr>
          <w:rFonts w:cs="Times New Roman"/>
          <w:sz w:val="22"/>
        </w:rPr>
        <w:t xml:space="preserve">For the most-part I do not </w:t>
      </w:r>
      <w:r w:rsidR="00460259" w:rsidRPr="000E3A4A">
        <w:rPr>
          <w:rFonts w:cs="Times New Roman"/>
          <w:sz w:val="22"/>
        </w:rPr>
        <w:t xml:space="preserve">think that my positionality constrained the data that I was able to collect. In fact, I believe that my identity as a relatively young, </w:t>
      </w:r>
      <w:r w:rsidR="008904D9">
        <w:rPr>
          <w:rFonts w:cs="Times New Roman"/>
          <w:sz w:val="22"/>
        </w:rPr>
        <w:t>and eager</w:t>
      </w:r>
      <w:r w:rsidR="00460259" w:rsidRPr="000E3A4A">
        <w:rPr>
          <w:rFonts w:cs="Times New Roman"/>
          <w:sz w:val="22"/>
        </w:rPr>
        <w:t xml:space="preserve"> researcher was enabling: it meant that many interviewees were particularly open and patient with me and my numerous requests for them to re-explain complex issues related to caviar trade policy. Overall, I tried to practice a reflexive approach to positionality. I cannot change who I am, or how my identity influenced the outcome of research; but I can critically comment on the extent of the impact that my positionality may have had on my data and the way I present it. Ultimately though, the weight of significance given to the influence of my personal identity on the outcome of research interaction</w:t>
      </w:r>
      <w:r w:rsidR="00BA1F18">
        <w:rPr>
          <w:rFonts w:cs="Times New Roman"/>
          <w:sz w:val="22"/>
        </w:rPr>
        <w:t>s should not be overstated, as “</w:t>
      </w:r>
      <w:r w:rsidR="00460259" w:rsidRPr="000E3A4A">
        <w:rPr>
          <w:rFonts w:cs="Times New Roman"/>
          <w:sz w:val="22"/>
        </w:rPr>
        <w:t>there is a growing awareness that such positionality, however much disclosed, can never fully express the complexities under</w:t>
      </w:r>
      <w:r w:rsidR="00BA1F18">
        <w:rPr>
          <w:rFonts w:cs="Times New Roman"/>
          <w:sz w:val="22"/>
        </w:rPr>
        <w:t>pinning a research relationship”</w:t>
      </w:r>
      <w:r w:rsidR="00460259" w:rsidRPr="000E3A4A">
        <w:rPr>
          <w:rFonts w:cs="Times New Roman"/>
          <w:sz w:val="22"/>
        </w:rPr>
        <w:t xml:space="preserve"> </w:t>
      </w:r>
      <w:r w:rsidR="00460259" w:rsidRPr="000E3A4A">
        <w:rPr>
          <w:rFonts w:cs="Times New Roman"/>
          <w:sz w:val="22"/>
        </w:rPr>
        <w:fldChar w:fldCharType="begin" w:fldLock="1"/>
      </w:r>
      <w:r w:rsidR="00460259" w:rsidRPr="000E3A4A">
        <w:rPr>
          <w:rFonts w:cs="Times New Roman"/>
          <w:sz w:val="22"/>
        </w:rPr>
        <w:instrText>ADDIN CSL_CITATION {"citationItems":[{"id":"ITEM-1","itemData":{"DOI":"10.1080/1366879022000041588","ISSN":"1469-6703","abstract":"Much has been written in recent years over the need to disclose the 'positionality' of geographical researchers. At the same time, there is a growing awareness that such positionality, however much disclosed, can never fully express the complexities underpinning a research relationship. This essay explores these issues through a retrospective review of research carried out into the economic geographies of the Economy of Sharing. It argues that the issues surrounding positionality can be much more than a question of hidden agendas, power relations and conflicts of interests. In some cases, confronting positionality means negotiation of conflicting worldviews-different understandings of reality rooted in philosophical principles distant from the dominant orthodoxies. Such conflicts, if engaged in creatively, have the capacity to challenge beliefs, values and thought patterns.","author":[{"dropping-particle":"","family":"Gold","given":"Lorna","non-dropping-particle":"","parse-names":false,"suffix":""}],"container-title":"Ethics, Place and Environment","id":"ITEM-1","issue":"3","issued":{"date-parts":[["2002"]]},"page":"223-237","title":"A Personal Account of a Research Journey","type":"article-journal","volume":"5"},"uris":["http://www.mendeley.com/documents/?uuid=c13eb5dc-48e5-3511-bb60-682caa3239a3"]}],"mendeley":{"formattedCitation":"(Gold, 2002)","manualFormatting":"(Gold, 2002: 223)","plainTextFormattedCitation":"(Gold, 2002)","previouslyFormattedCitation":"(Gold, 2002)"},"properties":{"noteIndex":0},"schema":"https://github.com/citation-style-language/schema/raw/master/csl-citation.json"}</w:instrText>
      </w:r>
      <w:r w:rsidR="00460259" w:rsidRPr="000E3A4A">
        <w:rPr>
          <w:rFonts w:cs="Times New Roman"/>
          <w:sz w:val="22"/>
        </w:rPr>
        <w:fldChar w:fldCharType="separate"/>
      </w:r>
      <w:r w:rsidR="00460259" w:rsidRPr="000E3A4A">
        <w:rPr>
          <w:rFonts w:cs="Times New Roman"/>
          <w:noProof/>
          <w:sz w:val="22"/>
        </w:rPr>
        <w:t>(Gold, 2002: 223)</w:t>
      </w:r>
      <w:r w:rsidR="00460259" w:rsidRPr="000E3A4A">
        <w:rPr>
          <w:rFonts w:cs="Times New Roman"/>
          <w:sz w:val="22"/>
        </w:rPr>
        <w:fldChar w:fldCharType="end"/>
      </w:r>
      <w:r w:rsidR="00460259" w:rsidRPr="000E3A4A">
        <w:rPr>
          <w:rFonts w:cs="Times New Roman"/>
          <w:sz w:val="22"/>
        </w:rPr>
        <w:t xml:space="preserve">. </w:t>
      </w:r>
    </w:p>
    <w:p w14:paraId="76E29CBD" w14:textId="486B8E9D" w:rsidR="00460259" w:rsidRPr="000E3A4A" w:rsidRDefault="00460259" w:rsidP="00460259">
      <w:pPr>
        <w:ind w:firstLine="720"/>
        <w:rPr>
          <w:rFonts w:cs="Times New Roman"/>
          <w:sz w:val="22"/>
        </w:rPr>
      </w:pPr>
      <w:r w:rsidRPr="000E3A4A">
        <w:rPr>
          <w:rFonts w:cs="Times New Roman"/>
          <w:sz w:val="22"/>
        </w:rPr>
        <w:t>A final way in which I consider the power politics of my PhD research is through questions surrounding the ethics of research. Ethical considerations include making decisions about how we con</w:t>
      </w:r>
      <w:r w:rsidR="00BA1F18">
        <w:rPr>
          <w:rFonts w:cs="Times New Roman"/>
          <w:sz w:val="22"/>
        </w:rPr>
        <w:t>duct research in ways that are ‘good’ or ‘right’</w:t>
      </w:r>
      <w:r w:rsidRPr="000E3A4A">
        <w:rPr>
          <w:rFonts w:cs="Times New Roman"/>
          <w:sz w:val="22"/>
        </w:rPr>
        <w:t>. My ethical decisions are closely intertwined with my positionality, and reflected in some of the decisions I made around how to relate to, a</w:t>
      </w:r>
      <w:r w:rsidR="00F4630C">
        <w:rPr>
          <w:rFonts w:cs="Times New Roman"/>
          <w:sz w:val="22"/>
        </w:rPr>
        <w:t xml:space="preserve">nd represent the stories of the </w:t>
      </w:r>
      <w:r w:rsidRPr="000E3A4A">
        <w:rPr>
          <w:rFonts w:cs="Times New Roman"/>
          <w:sz w:val="22"/>
        </w:rPr>
        <w:t>nonhuman subjects I encountered in my research. But my ethical decisions also extend to my interactions with my human interlocutors.</w:t>
      </w:r>
      <w:r w:rsidR="00BA1F18">
        <w:rPr>
          <w:rFonts w:cs="Times New Roman"/>
          <w:sz w:val="22"/>
        </w:rPr>
        <w:t xml:space="preserve"> My personal approach to doing good</w:t>
      </w:r>
      <w:r w:rsidRPr="000E3A4A">
        <w:rPr>
          <w:rFonts w:cs="Times New Roman"/>
          <w:sz w:val="22"/>
        </w:rPr>
        <w:t xml:space="preserve"> and ethical research included: gaining informed consent from interlocutors; ensuring privacy and confidentiality; being respectful of others’ views; protecting interviewees from harms associated with the research; storing interview data on an encrypted hard-drive; and ensuring the ways I make use of and depict the data provided by interviewees is valid and accurate. My approach to research ethics was outlined in a report that was submitted to, commented on, and finally approved following amendments, by the ethics board in the department of Politics and International Relations at the University of Sheffield. </w:t>
      </w:r>
    </w:p>
    <w:p w14:paraId="6EA40694" w14:textId="77777777" w:rsidR="00460259" w:rsidRPr="000E3A4A" w:rsidRDefault="00460259" w:rsidP="00460259">
      <w:pPr>
        <w:ind w:firstLine="720"/>
        <w:rPr>
          <w:rFonts w:cs="Times New Roman"/>
          <w:b/>
          <w:sz w:val="22"/>
        </w:rPr>
      </w:pPr>
    </w:p>
    <w:p w14:paraId="259D48CA" w14:textId="77777777" w:rsidR="00460259" w:rsidRPr="000E3A4A" w:rsidRDefault="00460259" w:rsidP="00460259">
      <w:pPr>
        <w:pStyle w:val="Heading2"/>
      </w:pPr>
      <w:bookmarkStart w:id="34" w:name="_Toc453224207"/>
      <w:r w:rsidRPr="000E3A4A">
        <w:lastRenderedPageBreak/>
        <w:t>3.4 Analytical Framework: Critical Discourse Analysis</w:t>
      </w:r>
      <w:bookmarkEnd w:id="34"/>
      <w:r w:rsidRPr="000E3A4A">
        <w:t xml:space="preserve"> </w:t>
      </w:r>
    </w:p>
    <w:p w14:paraId="1DFE2BF3" w14:textId="6236C5D5" w:rsidR="00460259" w:rsidRPr="000E3A4A" w:rsidRDefault="00460259" w:rsidP="00460259">
      <w:pPr>
        <w:rPr>
          <w:rFonts w:cs="Times New Roman"/>
          <w:sz w:val="22"/>
        </w:rPr>
      </w:pPr>
      <w:r w:rsidRPr="000E3A4A">
        <w:rPr>
          <w:rFonts w:cs="Times New Roman"/>
          <w:sz w:val="22"/>
        </w:rPr>
        <w:t>In outlining their methodology for follow the poli</w:t>
      </w:r>
      <w:r w:rsidR="00BA1F18">
        <w:rPr>
          <w:rFonts w:cs="Times New Roman"/>
          <w:sz w:val="22"/>
        </w:rPr>
        <w:t>cy, Peck &amp; Theodore state that “</w:t>
      </w:r>
      <w:r w:rsidRPr="000E3A4A">
        <w:rPr>
          <w:rFonts w:cs="Times New Roman"/>
          <w:sz w:val="22"/>
        </w:rPr>
        <w:t xml:space="preserve">discourse analyses have indispensable roles to play in the deconstruction of traveling policy technologies and texts, and the lineages and networks </w:t>
      </w:r>
      <w:r w:rsidR="00BA1F18">
        <w:rPr>
          <w:rFonts w:cs="Times New Roman"/>
          <w:sz w:val="22"/>
        </w:rPr>
        <w:t xml:space="preserve">with which they are associated” </w:t>
      </w:r>
      <w:r w:rsidRPr="000E3A4A">
        <w:rPr>
          <w:rFonts w:cs="Times New Roman"/>
          <w:sz w:val="22"/>
        </w:rPr>
        <w:t xml:space="preserve">(2012: 23-24). Thus, to analyse the data I collected by following caviar trade policies in the European Union, I employed critical discourse analysis as my analytical framework. My approach to critical discourse analysis is modelled on the approach outlined by Fairclough </w:t>
      </w:r>
      <w:r w:rsidRPr="000E3A4A">
        <w:rPr>
          <w:rFonts w:cs="Times New Roman"/>
          <w:sz w:val="22"/>
        </w:rPr>
        <w:fldChar w:fldCharType="begin" w:fldLock="1"/>
      </w:r>
      <w:r w:rsidR="00611A99">
        <w:rPr>
          <w:rFonts w:cs="Times New Roman"/>
          <w:sz w:val="22"/>
        </w:rPr>
        <w:instrText>ADDIN CSL_CITATION {"citationItems":[{"id":"ITEM-1","itemData":{"ISBN":"0582031338","abstract":"Language and Power is about how language works to maintain and change power relations in contemporary society, and how understanding these processes can enable people to resist and change them. Substantial changes in social life have taken place in the decade since the original publication, which have changed the nature of unequal power relations, and therefore the agenda for the critical study of language. In this second edition, Norman Fairclough brings the discussion completely up-to-date with the inclusion of a new chapter covering the 'globalisation' of power relations and the development of the internet in relation to language and power. 1- Introduction: critical language study --- 2- Discourse as social practice --- 3- Discourse and power --- 4- Discourse, common sense and ideology --- 5. Critical discourse analysis in practice: description --- 6- Critical discourse analysis in practice: interpretation, explanation and the position of the analyst --- 7- Creativity and struggle in discourse: the discourse of Thatcherism --- 8- Discourse in social change --- 9- Critical language study and social emancipation: language education in the schools.","author":[{"dropping-particle":"","family":"Fairclough","given":"Norman","non-dropping-particle":"","parse-names":false,"suffix":""}],"id":"ITEM-1","issued":{"date-parts":[["1989"]]},"number-of-pages":"259","publisher":"Longman","title":"Language and power","type":"book"},"uris":["http://www.mendeley.com/documents/?uuid=fed6b7b5-b37c-3c7f-a1ab-939816f7eb0c"]},{"id":"ITEM-2","itemData":{"DOI":"10.4324/9781315834368","ISBN":"9781315834368","abstract":"Bringing together papers written by Norman Fairclough over a 25 year period, Critical Discourse Analysis represents a comprehensive and important contribution to the development of this popular field.\nThe book is divided into seven sections covering the following themes: language in relation to ideology and power discourse in processes of social and cultural change dialectics of discourse, dialectical relations between discourse and other moments of social life methodology of critical discourse analysis research analysis of political discourse discourse in globalisation and ‘transition’ critical language awareness in education\nThe new edition has been extensively revised and enlarged to include a total of twenty two papers. It will be of value to researchers in the subject and should prove essential reading for advanced undergraduate and postgraduate students in Linguistics and other areas of social science.","author":[{"dropping-particle":"","family":"Fairclough","given":"Norman","non-dropping-particle":"","parse-names":false,"suffix":""}],"container-title":"Critical Discourse Analysis The Critical Study of Language, Second Edition","id":"ITEM-2","issued":{"date-parts":[["2013"]]},"number-of-pages":"1-591","title":"Critical discourse analysis the critical study of language, second edition","type":"book"},"uris":["http://www.mendeley.com/documents/?uuid=a32db587-82b5-3ddd-92a0-50cf2e170bba"]}],"mendeley":{"formattedCitation":"(Fairclough, 1989, 2013)","manualFormatting":"(1989, 2013)","plainTextFormattedCitation":"(Fairclough, 1989, 2013)","previouslyFormattedCitation":"(Fairclough, 1989, 2013)"},"properties":{"noteIndex":0},"schema":"https://github.com/citation-style-language/schema/raw/master/csl-citation.json"}</w:instrText>
      </w:r>
      <w:r w:rsidRPr="000E3A4A">
        <w:rPr>
          <w:rFonts w:cs="Times New Roman"/>
          <w:sz w:val="22"/>
        </w:rPr>
        <w:fldChar w:fldCharType="separate"/>
      </w:r>
      <w:r w:rsidRPr="000E3A4A">
        <w:rPr>
          <w:rFonts w:cs="Times New Roman"/>
          <w:noProof/>
          <w:sz w:val="22"/>
        </w:rPr>
        <w:t>(1989, 2013)</w:t>
      </w:r>
      <w:r w:rsidRPr="000E3A4A">
        <w:rPr>
          <w:rFonts w:cs="Times New Roman"/>
          <w:sz w:val="22"/>
        </w:rPr>
        <w:fldChar w:fldCharType="end"/>
      </w:r>
      <w:r w:rsidR="00BA1F18">
        <w:rPr>
          <w:rFonts w:cs="Times New Roman"/>
          <w:sz w:val="22"/>
        </w:rPr>
        <w:t>. Critical discourse analysis</w:t>
      </w:r>
      <w:r w:rsidRPr="000E3A4A">
        <w:rPr>
          <w:rFonts w:cs="Times New Roman"/>
          <w:sz w:val="22"/>
        </w:rPr>
        <w:t xml:space="preserve"> as envisaged by Fairclough, provides a framework for me to analyse how power and political ideologies influence the discourses that exist to describe the impacts of caviar trade policies in the EU. </w:t>
      </w:r>
    </w:p>
    <w:p w14:paraId="3AE8D674" w14:textId="008396EE" w:rsidR="00460259" w:rsidRPr="000E3A4A" w:rsidRDefault="00460259" w:rsidP="00460259">
      <w:pPr>
        <w:rPr>
          <w:rFonts w:cs="Times New Roman"/>
          <w:sz w:val="22"/>
        </w:rPr>
      </w:pPr>
      <w:r w:rsidRPr="000E3A4A">
        <w:rPr>
          <w:rFonts w:cs="Times New Roman"/>
          <w:sz w:val="22"/>
        </w:rPr>
        <w:tab/>
        <w:t xml:space="preserve">Critical discourse analysis </w:t>
      </w:r>
      <w:r w:rsidR="00F4630C">
        <w:rPr>
          <w:rFonts w:cs="Times New Roman"/>
          <w:sz w:val="22"/>
        </w:rPr>
        <w:t>“</w:t>
      </w:r>
      <w:r w:rsidRPr="000E3A4A">
        <w:rPr>
          <w:rFonts w:cs="Times New Roman"/>
          <w:sz w:val="22"/>
        </w:rPr>
        <w:t>combines critique of discourse with explanation of how the discourse figures within and contributes to existing social reality</w:t>
      </w:r>
      <w:r w:rsidR="00F4630C">
        <w:rPr>
          <w:rFonts w:cs="Times New Roman"/>
          <w:sz w:val="22"/>
        </w:rPr>
        <w:t>” (Fairclough, 2014:4)</w:t>
      </w:r>
      <w:r w:rsidRPr="000E3A4A">
        <w:rPr>
          <w:rFonts w:cs="Times New Roman"/>
          <w:sz w:val="22"/>
        </w:rPr>
        <w:t>; and does so as a foundation for action to change the existing social reality</w:t>
      </w:r>
      <w:r w:rsidR="00F4630C">
        <w:rPr>
          <w:rFonts w:cs="Times New Roman"/>
          <w:sz w:val="22"/>
        </w:rPr>
        <w:t xml:space="preserve">. </w:t>
      </w:r>
      <w:r w:rsidRPr="000E3A4A">
        <w:rPr>
          <w:rFonts w:cs="Times New Roman"/>
          <w:sz w:val="22"/>
        </w:rPr>
        <w:t xml:space="preserve">Fairclough stresses </w:t>
      </w:r>
      <w:r w:rsidR="00BA1F18">
        <w:rPr>
          <w:rFonts w:cs="Times New Roman"/>
          <w:sz w:val="22"/>
        </w:rPr>
        <w:t>that the defining feature of critical discourse analysis</w:t>
      </w:r>
      <w:r w:rsidRPr="000E3A4A">
        <w:rPr>
          <w:rFonts w:cs="Times New Roman"/>
          <w:sz w:val="22"/>
        </w:rPr>
        <w:t xml:space="preserve"> in comparison to other</w:t>
      </w:r>
      <w:r w:rsidR="00F4630C">
        <w:rPr>
          <w:rFonts w:cs="Times New Roman"/>
          <w:sz w:val="22"/>
        </w:rPr>
        <w:t xml:space="preserve"> forms of critical analyses is </w:t>
      </w:r>
      <w:r w:rsidRPr="000E3A4A">
        <w:rPr>
          <w:rFonts w:cs="Times New Roman"/>
          <w:sz w:val="22"/>
        </w:rPr>
        <w:t xml:space="preserve">that it offers </w:t>
      </w:r>
      <w:r w:rsidR="00F4630C">
        <w:rPr>
          <w:rFonts w:cs="Times New Roman"/>
          <w:sz w:val="22"/>
        </w:rPr>
        <w:t>“</w:t>
      </w:r>
      <w:r w:rsidRPr="000E3A4A">
        <w:rPr>
          <w:rFonts w:cs="Times New Roman"/>
          <w:sz w:val="22"/>
        </w:rPr>
        <w:t>not just a critique of discourse</w:t>
      </w:r>
      <w:r w:rsidR="00F4630C">
        <w:rPr>
          <w:rFonts w:cs="Times New Roman"/>
          <w:sz w:val="22"/>
        </w:rPr>
        <w:t>”,</w:t>
      </w:r>
      <w:r w:rsidRPr="000E3A4A">
        <w:rPr>
          <w:rFonts w:cs="Times New Roman"/>
          <w:sz w:val="22"/>
        </w:rPr>
        <w:t xml:space="preserve"> but an </w:t>
      </w:r>
      <w:r w:rsidRPr="000E3A4A">
        <w:rPr>
          <w:rFonts w:cs="Times New Roman"/>
          <w:i/>
          <w:sz w:val="22"/>
        </w:rPr>
        <w:t>explanation</w:t>
      </w:r>
      <w:r w:rsidRPr="000E3A4A">
        <w:rPr>
          <w:rFonts w:cs="Times New Roman"/>
          <w:sz w:val="22"/>
        </w:rPr>
        <w:t xml:space="preserve"> for how the discourse relates to, and contributes to, other elements of existing social reality</w:t>
      </w:r>
      <w:r w:rsidR="00F4630C">
        <w:rPr>
          <w:rFonts w:cs="Times New Roman"/>
          <w:sz w:val="22"/>
        </w:rPr>
        <w:t xml:space="preserve"> (Fairclough, 2014: 4-5)</w:t>
      </w:r>
      <w:r w:rsidRPr="000E3A4A">
        <w:rPr>
          <w:rFonts w:cs="Times New Roman"/>
          <w:sz w:val="22"/>
        </w:rPr>
        <w:t xml:space="preserve">. These elements include ‘social objects’ such as physical objects, places, institutions, events and people; and ‘social elements’ such as </w:t>
      </w:r>
      <w:r w:rsidR="00EB562F">
        <w:rPr>
          <w:rFonts w:cs="Times New Roman"/>
          <w:sz w:val="22"/>
        </w:rPr>
        <w:t>“</w:t>
      </w:r>
      <w:r w:rsidRPr="000E3A4A">
        <w:rPr>
          <w:rFonts w:cs="Times New Roman"/>
          <w:sz w:val="22"/>
        </w:rPr>
        <w:t>power relations, ideologies, economic and political strateg</w:t>
      </w:r>
      <w:r w:rsidR="004E08BD">
        <w:rPr>
          <w:rFonts w:cs="Times New Roman"/>
          <w:sz w:val="22"/>
        </w:rPr>
        <w:t>ies and policies</w:t>
      </w:r>
      <w:r w:rsidR="00EB562F">
        <w:rPr>
          <w:rFonts w:cs="Times New Roman"/>
          <w:sz w:val="22"/>
        </w:rPr>
        <w:t>” (Fairclough, 2014:4)</w:t>
      </w:r>
      <w:r w:rsidR="004E08BD">
        <w:rPr>
          <w:rFonts w:cs="Times New Roman"/>
          <w:sz w:val="22"/>
        </w:rPr>
        <w:t>. Critical discourse analysis entails</w:t>
      </w:r>
      <w:r w:rsidRPr="000E3A4A">
        <w:rPr>
          <w:rFonts w:cs="Times New Roman"/>
          <w:sz w:val="22"/>
        </w:rPr>
        <w:t xml:space="preserve"> a three-stage approach involving normative critique, explanation and action. However, Fairclough recognis</w:t>
      </w:r>
      <w:r w:rsidR="004E08BD">
        <w:rPr>
          <w:rFonts w:cs="Times New Roman"/>
          <w:sz w:val="22"/>
        </w:rPr>
        <w:t>es that whilst proponents of critical discourse analysis</w:t>
      </w:r>
      <w:r w:rsidRPr="000E3A4A">
        <w:rPr>
          <w:rFonts w:cs="Times New Roman"/>
          <w:sz w:val="22"/>
        </w:rPr>
        <w:t xml:space="preserve"> advocate for social change through action, in practice there may be a gap between analytical critiq</w:t>
      </w:r>
      <w:r w:rsidR="004E08BD">
        <w:rPr>
          <w:rFonts w:cs="Times New Roman"/>
          <w:sz w:val="22"/>
        </w:rPr>
        <w:t>ue and action. This is because “</w:t>
      </w:r>
      <w:r w:rsidR="00D503EA">
        <w:rPr>
          <w:rFonts w:cs="Times New Roman"/>
          <w:sz w:val="22"/>
        </w:rPr>
        <w:t>CDA</w:t>
      </w:r>
      <w:r w:rsidRPr="000E3A4A">
        <w:rPr>
          <w:rFonts w:cs="Times New Roman"/>
          <w:sz w:val="22"/>
        </w:rPr>
        <w:t xml:space="preserve"> can directly inform action to change social life </w:t>
      </w:r>
      <w:r w:rsidRPr="000E3A4A">
        <w:rPr>
          <w:rFonts w:cs="Times New Roman"/>
          <w:i/>
          <w:sz w:val="22"/>
        </w:rPr>
        <w:t xml:space="preserve">only </w:t>
      </w:r>
      <w:r w:rsidRPr="000E3A4A">
        <w:rPr>
          <w:rFonts w:cs="Times New Roman"/>
          <w:sz w:val="22"/>
        </w:rPr>
        <w:t>through dialogue with social actors who are in</w:t>
      </w:r>
      <w:r w:rsidR="004E08BD">
        <w:rPr>
          <w:rFonts w:cs="Times New Roman"/>
          <w:sz w:val="22"/>
        </w:rPr>
        <w:t xml:space="preserve"> a position to take such action”</w:t>
      </w:r>
      <w:r w:rsidRPr="000E3A4A">
        <w:rPr>
          <w:rFonts w:cs="Times New Roman"/>
          <w:sz w:val="22"/>
        </w:rPr>
        <w:t xml:space="preserve"> (</w:t>
      </w:r>
      <w:r w:rsidR="00D503EA" w:rsidRPr="00D503EA">
        <w:rPr>
          <w:rFonts w:cs="Times New Roman"/>
          <w:sz w:val="22"/>
        </w:rPr>
        <w:t xml:space="preserve">Fairclough, 2014: 11 </w:t>
      </w:r>
      <w:r w:rsidRPr="000E3A4A">
        <w:rPr>
          <w:rFonts w:cs="Times New Roman"/>
          <w:sz w:val="22"/>
        </w:rPr>
        <w:t xml:space="preserve">emphasis added). </w:t>
      </w:r>
    </w:p>
    <w:p w14:paraId="1177FD6E" w14:textId="0B3AAAB8" w:rsidR="00460259" w:rsidRPr="000E3A4A" w:rsidRDefault="00460259" w:rsidP="00460259">
      <w:pPr>
        <w:rPr>
          <w:rFonts w:cs="Times New Roman"/>
          <w:sz w:val="22"/>
        </w:rPr>
      </w:pPr>
      <w:r w:rsidRPr="000E3A4A">
        <w:rPr>
          <w:rFonts w:cs="Times New Roman"/>
          <w:sz w:val="22"/>
        </w:rPr>
        <w:tab/>
        <w:t>In this regard, I analysed the multiple discourses at work in the data I collected on the circulation of caviar trade policies in the EU. This included analysing the discourses in the textual materials that I followed, but also analysing the discourses embedded within my interview transcripts. Through my analysis of discourses, I explain in the empirical chapters of the thesis how the contrasting discourses focusing on the impact(s) of caviar trade policies in the EU are intrinsically connected to wider social objects and elements identified by Fairclough</w:t>
      </w:r>
      <w:r w:rsidR="00EB562F">
        <w:rPr>
          <w:rFonts w:cs="Times New Roman"/>
          <w:sz w:val="22"/>
        </w:rPr>
        <w:t xml:space="preserve"> (2014)</w:t>
      </w:r>
      <w:r w:rsidRPr="000E3A4A">
        <w:rPr>
          <w:rFonts w:cs="Times New Roman"/>
          <w:sz w:val="22"/>
        </w:rPr>
        <w:t>, such as specific places, institutions, ideologies</w:t>
      </w:r>
      <w:r w:rsidR="00D503EA">
        <w:rPr>
          <w:rFonts w:cs="Times New Roman"/>
          <w:sz w:val="22"/>
        </w:rPr>
        <w:t>,</w:t>
      </w:r>
      <w:r w:rsidRPr="000E3A4A">
        <w:rPr>
          <w:rFonts w:cs="Times New Roman"/>
          <w:sz w:val="22"/>
        </w:rPr>
        <w:t xml:space="preserve"> and political strategies. I interpret, evaluate</w:t>
      </w:r>
      <w:r w:rsidR="00D503EA">
        <w:rPr>
          <w:rFonts w:cs="Times New Roman"/>
          <w:sz w:val="22"/>
        </w:rPr>
        <w:t>,</w:t>
      </w:r>
      <w:r w:rsidRPr="000E3A4A">
        <w:rPr>
          <w:rFonts w:cs="Times New Roman"/>
          <w:sz w:val="22"/>
        </w:rPr>
        <w:t xml:space="preserve"> and critique the discourses</w:t>
      </w:r>
      <w:r w:rsidR="00D503EA">
        <w:rPr>
          <w:rFonts w:cs="Times New Roman"/>
          <w:sz w:val="22"/>
        </w:rPr>
        <w:t xml:space="preserve"> “</w:t>
      </w:r>
      <w:r w:rsidRPr="000E3A4A">
        <w:rPr>
          <w:rFonts w:cs="Times New Roman"/>
          <w:sz w:val="22"/>
        </w:rPr>
        <w:t>specifically in terms of the contradictions between what is claimed and expe</w:t>
      </w:r>
      <w:r w:rsidR="00D503EA">
        <w:rPr>
          <w:rFonts w:cs="Times New Roman"/>
          <w:sz w:val="22"/>
        </w:rPr>
        <w:t>cted to be and what actually is”</w:t>
      </w:r>
      <w:r w:rsidRPr="000E3A4A">
        <w:rPr>
          <w:rFonts w:cs="Times New Roman"/>
          <w:sz w:val="22"/>
        </w:rPr>
        <w:t>; and I expl</w:t>
      </w:r>
      <w:r w:rsidR="00D503EA">
        <w:rPr>
          <w:rFonts w:cs="Times New Roman"/>
          <w:sz w:val="22"/>
        </w:rPr>
        <w:t>ain the discourses in terms of “</w:t>
      </w:r>
      <w:r w:rsidRPr="000E3A4A">
        <w:rPr>
          <w:rFonts w:cs="Times New Roman"/>
          <w:sz w:val="22"/>
        </w:rPr>
        <w:t xml:space="preserve">how such contradictions are caused by and are a part of…the wider social </w:t>
      </w:r>
      <w:r w:rsidR="00D503EA">
        <w:rPr>
          <w:rFonts w:cs="Times New Roman"/>
          <w:sz w:val="22"/>
        </w:rPr>
        <w:t>reality which they exist within”</w:t>
      </w:r>
      <w:r w:rsidRPr="000E3A4A">
        <w:rPr>
          <w:rFonts w:cs="Times New Roman"/>
          <w:sz w:val="22"/>
        </w:rPr>
        <w:t xml:space="preserve"> (</w:t>
      </w:r>
      <w:r w:rsidRPr="002B0A60">
        <w:rPr>
          <w:rFonts w:cs="Times New Roman"/>
          <w:sz w:val="22"/>
        </w:rPr>
        <w:t>Fairclough, 2014:</w:t>
      </w:r>
      <w:r w:rsidR="002B0A60" w:rsidRPr="002B0A60">
        <w:rPr>
          <w:rFonts w:cs="Times New Roman"/>
          <w:sz w:val="22"/>
        </w:rPr>
        <w:t>7</w:t>
      </w:r>
      <w:r w:rsidR="00D503EA">
        <w:rPr>
          <w:rFonts w:cs="Times New Roman"/>
          <w:sz w:val="22"/>
        </w:rPr>
        <w:t>)</w:t>
      </w:r>
      <w:r w:rsidR="002B0A60">
        <w:rPr>
          <w:rFonts w:cs="Times New Roman"/>
          <w:sz w:val="22"/>
        </w:rPr>
        <w:t xml:space="preserve">. </w:t>
      </w:r>
      <w:r w:rsidRPr="000E3A4A">
        <w:rPr>
          <w:rFonts w:cs="Times New Roman"/>
          <w:sz w:val="22"/>
        </w:rPr>
        <w:t xml:space="preserve">In my case, the contradictions in discourse lie in how the </w:t>
      </w:r>
      <w:r w:rsidR="00EB562F">
        <w:rPr>
          <w:rFonts w:cs="Times New Roman"/>
          <w:sz w:val="22"/>
        </w:rPr>
        <w:t xml:space="preserve">impacts of the </w:t>
      </w:r>
      <w:r w:rsidRPr="000E3A4A">
        <w:rPr>
          <w:rFonts w:cs="Times New Roman"/>
          <w:sz w:val="22"/>
        </w:rPr>
        <w:t>caviar trade regulations are pres</w:t>
      </w:r>
      <w:r w:rsidR="00EB562F">
        <w:rPr>
          <w:rFonts w:cs="Times New Roman"/>
          <w:sz w:val="22"/>
        </w:rPr>
        <w:t xml:space="preserve">ented by Western European policymakers and enforcement officials, versus the reality on the ground in sturgeon range states. Moreover, the regulations have had unexpected geopolitical-ecological </w:t>
      </w:r>
      <w:r w:rsidRPr="000E3A4A">
        <w:rPr>
          <w:rFonts w:cs="Times New Roman"/>
          <w:sz w:val="22"/>
        </w:rPr>
        <w:lastRenderedPageBreak/>
        <w:t>consequences caused by the gaps in legislation, which</w:t>
      </w:r>
      <w:r w:rsidR="00EB562F">
        <w:rPr>
          <w:rFonts w:cs="Times New Roman"/>
          <w:sz w:val="22"/>
        </w:rPr>
        <w:t xml:space="preserve"> are overlooked by many of the dominant discourses and deserve</w:t>
      </w:r>
      <w:r w:rsidRPr="000E3A4A">
        <w:rPr>
          <w:rFonts w:cs="Times New Roman"/>
          <w:sz w:val="22"/>
        </w:rPr>
        <w:t xml:space="preserve"> critical interrogation. </w:t>
      </w:r>
    </w:p>
    <w:p w14:paraId="43421DE8" w14:textId="3B871B10" w:rsidR="00460259" w:rsidRPr="000E3A4A" w:rsidRDefault="00460259" w:rsidP="00460259">
      <w:pPr>
        <w:rPr>
          <w:rFonts w:cs="Times New Roman"/>
          <w:sz w:val="22"/>
        </w:rPr>
      </w:pPr>
      <w:r w:rsidRPr="000E3A4A">
        <w:rPr>
          <w:rFonts w:cs="Times New Roman"/>
          <w:sz w:val="22"/>
        </w:rPr>
        <w:tab/>
        <w:t xml:space="preserve">I used the data analysis software NVivo to operationalize this analytical framework and to analyse the discourses in my data in a systematic manner. I uploaded all of my data to NVivo and began analysing the data by developing a coding framework. The codes or ‘nodes’ that I created in this framework were a mixture of analytical and descriptive codes. In the first instance I created analytical codes that referred to the different discourses about the impacts of caviar trade regulations that were present in my data. I created multiple codes to describe the contrasting ways in which caviar trade policies were discussed, and how the impacts of these policies were framed. My descriptive codes broke the analytical codes down into further themes, and began to provide </w:t>
      </w:r>
      <w:r w:rsidR="002B0A60">
        <w:rPr>
          <w:rFonts w:cs="Times New Roman"/>
          <w:sz w:val="22"/>
        </w:rPr>
        <w:t>some of the explanation that critical discourse analysis</w:t>
      </w:r>
      <w:r w:rsidRPr="000E3A4A">
        <w:rPr>
          <w:rFonts w:cs="Times New Roman"/>
          <w:sz w:val="22"/>
        </w:rPr>
        <w:t xml:space="preserve"> requires. I began this explanatory component by beginning to identify how the discourses were variably linked to ‘social objects’ and ‘social elements’ that serve to give certain discourses longevity and power over others. After commencing with my initial coding framework, my approach to coding was iterative and reflexive. I continually amended the coding framework through repeated rounds of coding and to reflect the increasing level of abstraction that came from sustained and detailed analysis of the data. </w:t>
      </w:r>
    </w:p>
    <w:p w14:paraId="5A8228EB" w14:textId="77777777" w:rsidR="00460259" w:rsidRPr="000E3A4A" w:rsidRDefault="00460259" w:rsidP="00460259">
      <w:pPr>
        <w:rPr>
          <w:rFonts w:cs="Times New Roman"/>
          <w:sz w:val="22"/>
        </w:rPr>
      </w:pPr>
    </w:p>
    <w:p w14:paraId="4E689ED4" w14:textId="77777777" w:rsidR="00460259" w:rsidRPr="000E3A4A" w:rsidRDefault="00460259" w:rsidP="00460259">
      <w:pPr>
        <w:pStyle w:val="Heading2"/>
      </w:pPr>
      <w:bookmarkStart w:id="35" w:name="_Toc453224208"/>
      <w:r w:rsidRPr="000E3A4A">
        <w:t>3.5 Conclusion</w:t>
      </w:r>
      <w:bookmarkEnd w:id="35"/>
    </w:p>
    <w:p w14:paraId="446C600B" w14:textId="0E38ABD4" w:rsidR="00460259" w:rsidRDefault="00460259" w:rsidP="00385987">
      <w:pPr>
        <w:rPr>
          <w:rFonts w:cs="Times New Roman"/>
          <w:sz w:val="22"/>
        </w:rPr>
      </w:pPr>
      <w:r w:rsidRPr="000E3A4A">
        <w:rPr>
          <w:rFonts w:cs="Times New Roman"/>
          <w:sz w:val="22"/>
        </w:rPr>
        <w:t>In summary, this chapter has outlined my methodological approach to conducting more-than-human geopolitical ecology research. I explain my methodological trajectory in a self-reflexive and honest manner, which outlines the methodological decisions I made and how they have been informed by the qualitative research strategies of others. I focus on deconstructing the conceptual, practical, political</w:t>
      </w:r>
      <w:r w:rsidR="00C70692">
        <w:rPr>
          <w:rFonts w:cs="Times New Roman"/>
          <w:sz w:val="22"/>
        </w:rPr>
        <w:t>,</w:t>
      </w:r>
      <w:r w:rsidRPr="000E3A4A">
        <w:rPr>
          <w:rFonts w:cs="Times New Roman"/>
          <w:sz w:val="22"/>
        </w:rPr>
        <w:t xml:space="preserve"> and ethical challenges (Cloke </w:t>
      </w:r>
      <w:r w:rsidR="00C6158D">
        <w:rPr>
          <w:rFonts w:cs="Times New Roman"/>
          <w:i/>
          <w:sz w:val="22"/>
        </w:rPr>
        <w:t>et al.</w:t>
      </w:r>
      <w:r w:rsidRPr="000E3A4A">
        <w:rPr>
          <w:rFonts w:cs="Times New Roman"/>
          <w:sz w:val="22"/>
        </w:rPr>
        <w:t>, 2004) that were part of my research process. In particular I present follow the policy as my over-arching methodological framework. I explain how I followed caviar trade policy by follow</w:t>
      </w:r>
      <w:r w:rsidR="00C70692">
        <w:rPr>
          <w:rFonts w:cs="Times New Roman"/>
          <w:sz w:val="22"/>
        </w:rPr>
        <w:t xml:space="preserve">ing people, sturgeon, materials, </w:t>
      </w:r>
      <w:r w:rsidRPr="000E3A4A">
        <w:rPr>
          <w:rFonts w:cs="Times New Roman"/>
          <w:sz w:val="22"/>
        </w:rPr>
        <w:t>and meetings, and I discuss the methods that I employed for each of these practices of ‘following’.  I demonstrate how the process of data collection contributed to the aim of de-fetishizing the policies, and exploring the</w:t>
      </w:r>
      <w:r w:rsidR="00C70692">
        <w:rPr>
          <w:rFonts w:cs="Times New Roman"/>
          <w:sz w:val="22"/>
        </w:rPr>
        <w:t xml:space="preserve"> geopolitical-ecological implications</w:t>
      </w:r>
      <w:r w:rsidRPr="000E3A4A">
        <w:rPr>
          <w:rFonts w:cs="Times New Roman"/>
          <w:sz w:val="22"/>
        </w:rPr>
        <w:t xml:space="preserve"> of caviar trade regulations in the EU. Importantly, this chapter has highlighted how concerns about power and inequality permeate the research design, choice of methods</w:t>
      </w:r>
      <w:r w:rsidR="00C70692">
        <w:rPr>
          <w:rFonts w:cs="Times New Roman"/>
          <w:sz w:val="22"/>
        </w:rPr>
        <w:t>,</w:t>
      </w:r>
      <w:r w:rsidRPr="000E3A4A">
        <w:rPr>
          <w:rFonts w:cs="Times New Roman"/>
          <w:sz w:val="22"/>
        </w:rPr>
        <w:t xml:space="preserve"> and choice of analytical framework for the thesis. My methodology begins to open up space for considering how caviar trade regulations in the European Union have h</w:t>
      </w:r>
      <w:r w:rsidR="00C70692">
        <w:rPr>
          <w:rFonts w:cs="Times New Roman"/>
          <w:sz w:val="22"/>
        </w:rPr>
        <w:t>ad uneven impacts on both human and nonhuman actors</w:t>
      </w:r>
      <w:r w:rsidRPr="000E3A4A">
        <w:rPr>
          <w:rFonts w:cs="Times New Roman"/>
          <w:sz w:val="22"/>
        </w:rPr>
        <w:t xml:space="preserve">. Ensuring that my methodology was attuned to power dynamics was important in producing nuanced empirical analyses, which I begin in the following chapter. Chapter four introduces the EU caviar trade regulations and unpacks the discourse of ‘success’ that surrounds these regulatory frameworks. </w:t>
      </w:r>
    </w:p>
    <w:p w14:paraId="6FC1F819" w14:textId="7510E52E" w:rsidR="00460259" w:rsidRDefault="00460259" w:rsidP="00460259">
      <w:pPr>
        <w:pStyle w:val="Heading1"/>
      </w:pPr>
      <w:bookmarkStart w:id="36" w:name="_Toc453224209"/>
      <w:r>
        <w:lastRenderedPageBreak/>
        <w:t xml:space="preserve">Chapter 4: </w:t>
      </w:r>
      <w:r w:rsidR="001C6557">
        <w:t xml:space="preserve">Declining seizures and the hidden </w:t>
      </w:r>
      <w:r w:rsidR="0037199B">
        <w:t>impacts of EU caviar trade regulations</w:t>
      </w:r>
      <w:bookmarkEnd w:id="36"/>
    </w:p>
    <w:p w14:paraId="7CC0EDD9" w14:textId="09E39D52" w:rsidR="00AC10E7" w:rsidRDefault="00AC10E7" w:rsidP="00AC10E7">
      <w:pPr>
        <w:pStyle w:val="Heading2"/>
      </w:pPr>
      <w:bookmarkStart w:id="37" w:name="_Toc453224210"/>
      <w:r>
        <w:t>4.0 Introduction</w:t>
      </w:r>
      <w:bookmarkEnd w:id="37"/>
      <w:r>
        <w:t xml:space="preserve"> </w:t>
      </w:r>
    </w:p>
    <w:p w14:paraId="1071A169" w14:textId="5E2AA64C" w:rsidR="00AC10E7" w:rsidRPr="00F1751A" w:rsidRDefault="00AC10E7" w:rsidP="009C104B">
      <w:pPr>
        <w:pStyle w:val="Normal1"/>
        <w:spacing w:after="160" w:line="360" w:lineRule="auto"/>
        <w:jc w:val="both"/>
        <w:rPr>
          <w:rFonts w:ascii="Times New Roman" w:eastAsia="Times New Roman" w:hAnsi="Times New Roman" w:cs="Times New Roman"/>
          <w:lang w:val="en-GB"/>
        </w:rPr>
      </w:pPr>
      <w:r>
        <w:rPr>
          <w:rFonts w:ascii="Times New Roman" w:eastAsia="Times New Roman" w:hAnsi="Times New Roman" w:cs="Times New Roman"/>
          <w:lang w:val="en-GB"/>
        </w:rPr>
        <w:t>This chapter begins to outline and deconstruct the variegated impacts of caviar trade regulations in the Eur</w:t>
      </w:r>
      <w:r w:rsidR="008F28F5">
        <w:rPr>
          <w:rFonts w:ascii="Times New Roman" w:eastAsia="Times New Roman" w:hAnsi="Times New Roman" w:cs="Times New Roman"/>
          <w:lang w:val="en-GB"/>
        </w:rPr>
        <w:t>opean Union. In particular, the</w:t>
      </w:r>
      <w:r>
        <w:rPr>
          <w:rFonts w:ascii="Times New Roman" w:eastAsia="Times New Roman" w:hAnsi="Times New Roman" w:cs="Times New Roman"/>
          <w:lang w:val="en-GB"/>
        </w:rPr>
        <w:t xml:space="preserve"> chapter interrogates the relationship between the implementation of regulatory frameworks and seizures of illegal caviar in the EU. </w:t>
      </w:r>
      <w:r w:rsidR="008F28F5">
        <w:rPr>
          <w:rFonts w:ascii="Times New Roman" w:eastAsia="Times New Roman" w:hAnsi="Times New Roman" w:cs="Times New Roman"/>
          <w:lang w:val="en-GB"/>
        </w:rPr>
        <w:t>I introduce</w:t>
      </w:r>
      <w:r w:rsidR="00540BE0">
        <w:rPr>
          <w:rFonts w:ascii="Times New Roman" w:eastAsia="Times New Roman" w:hAnsi="Times New Roman" w:cs="Times New Roman"/>
          <w:lang w:val="en-GB"/>
        </w:rPr>
        <w:t xml:space="preserve"> </w:t>
      </w:r>
      <w:r>
        <w:rPr>
          <w:rFonts w:ascii="Times New Roman" w:eastAsia="Times New Roman" w:hAnsi="Times New Roman" w:cs="Times New Roman"/>
          <w:lang w:val="en-GB"/>
        </w:rPr>
        <w:t>the</w:t>
      </w:r>
      <w:r w:rsidR="00540BE0">
        <w:rPr>
          <w:rFonts w:ascii="Times New Roman" w:eastAsia="Times New Roman" w:hAnsi="Times New Roman" w:cs="Times New Roman"/>
          <w:lang w:val="en-GB"/>
        </w:rPr>
        <w:t xml:space="preserve"> hegemonic policy</w:t>
      </w:r>
      <w:r>
        <w:rPr>
          <w:rFonts w:ascii="Times New Roman" w:eastAsia="Times New Roman" w:hAnsi="Times New Roman" w:cs="Times New Roman"/>
          <w:lang w:val="en-GB"/>
        </w:rPr>
        <w:t xml:space="preserve"> narratives told</w:t>
      </w:r>
      <w:r w:rsidR="00540BE0">
        <w:rPr>
          <w:rFonts w:ascii="Times New Roman" w:eastAsia="Times New Roman" w:hAnsi="Times New Roman" w:cs="Times New Roman"/>
          <w:lang w:val="en-GB"/>
        </w:rPr>
        <w:t xml:space="preserve"> about the impact of regulatory frameworks</w:t>
      </w:r>
      <w:r>
        <w:rPr>
          <w:rFonts w:ascii="Times New Roman" w:eastAsia="Times New Roman" w:hAnsi="Times New Roman" w:cs="Times New Roman"/>
          <w:lang w:val="en-GB"/>
        </w:rPr>
        <w:t xml:space="preserve"> on seizures of caviar, and by extension, </w:t>
      </w:r>
      <w:r w:rsidR="00540BE0">
        <w:rPr>
          <w:rFonts w:ascii="Times New Roman" w:eastAsia="Times New Roman" w:hAnsi="Times New Roman" w:cs="Times New Roman"/>
          <w:lang w:val="en-GB"/>
        </w:rPr>
        <w:t xml:space="preserve">dynamics of </w:t>
      </w:r>
      <w:r>
        <w:rPr>
          <w:rFonts w:ascii="Times New Roman" w:eastAsia="Times New Roman" w:hAnsi="Times New Roman" w:cs="Times New Roman"/>
          <w:lang w:val="en-GB"/>
        </w:rPr>
        <w:t xml:space="preserve">illegal caviar trade in the European Union. I argue that </w:t>
      </w:r>
      <w:r w:rsidR="00BC18AF">
        <w:rPr>
          <w:rFonts w:ascii="Times New Roman" w:eastAsia="Times New Roman" w:hAnsi="Times New Roman" w:cs="Times New Roman"/>
          <w:lang w:val="en-GB"/>
        </w:rPr>
        <w:t xml:space="preserve">some </w:t>
      </w:r>
      <w:r w:rsidR="00540BE0">
        <w:rPr>
          <w:rFonts w:ascii="Times New Roman" w:eastAsia="Times New Roman" w:hAnsi="Times New Roman" w:cs="Times New Roman"/>
          <w:lang w:val="en-GB"/>
        </w:rPr>
        <w:t xml:space="preserve">Western European </w:t>
      </w:r>
      <w:r>
        <w:rPr>
          <w:rFonts w:ascii="Times New Roman" w:eastAsia="Times New Roman" w:hAnsi="Times New Roman" w:cs="Times New Roman"/>
          <w:lang w:val="en-GB"/>
        </w:rPr>
        <w:t>policymaker</w:t>
      </w:r>
      <w:r w:rsidR="00540BE0">
        <w:rPr>
          <w:rFonts w:ascii="Times New Roman" w:eastAsia="Times New Roman" w:hAnsi="Times New Roman" w:cs="Times New Roman"/>
          <w:lang w:val="en-GB"/>
        </w:rPr>
        <w:t xml:space="preserve">s and enforcement officials deploy </w:t>
      </w:r>
      <w:r>
        <w:rPr>
          <w:rFonts w:ascii="Times New Roman" w:eastAsia="Times New Roman" w:hAnsi="Times New Roman" w:cs="Times New Roman"/>
          <w:lang w:val="en-GB"/>
        </w:rPr>
        <w:t xml:space="preserve">seizure data to frame the regulation of the caviar trade in the EU as a ‘success’ story. In doing so, these actors - wittingly or unwittingly – </w:t>
      </w:r>
      <w:r w:rsidR="00540BE0">
        <w:rPr>
          <w:rFonts w:ascii="Times New Roman" w:eastAsia="Times New Roman" w:hAnsi="Times New Roman" w:cs="Times New Roman"/>
          <w:lang w:val="en-GB"/>
        </w:rPr>
        <w:t>o</w:t>
      </w:r>
      <w:r w:rsidR="00D759EA">
        <w:rPr>
          <w:rFonts w:ascii="Times New Roman" w:eastAsia="Times New Roman" w:hAnsi="Times New Roman" w:cs="Times New Roman"/>
          <w:lang w:val="en-GB"/>
        </w:rPr>
        <w:t>verlook</w:t>
      </w:r>
      <w:r>
        <w:rPr>
          <w:rFonts w:ascii="Times New Roman" w:eastAsia="Times New Roman" w:hAnsi="Times New Roman" w:cs="Times New Roman"/>
          <w:lang w:val="en-GB"/>
        </w:rPr>
        <w:t xml:space="preserve"> the unequal p</w:t>
      </w:r>
      <w:r w:rsidR="00AE2935">
        <w:rPr>
          <w:rFonts w:ascii="Times New Roman" w:eastAsia="Times New Roman" w:hAnsi="Times New Roman" w:cs="Times New Roman"/>
          <w:lang w:val="en-GB"/>
        </w:rPr>
        <w:t xml:space="preserve">olitical-ecological implications of </w:t>
      </w:r>
      <w:r>
        <w:rPr>
          <w:rFonts w:ascii="Times New Roman" w:eastAsia="Times New Roman" w:hAnsi="Times New Roman" w:cs="Times New Roman"/>
          <w:lang w:val="en-GB"/>
        </w:rPr>
        <w:t>caviar trade regul</w:t>
      </w:r>
      <w:r w:rsidR="00342240">
        <w:rPr>
          <w:rFonts w:ascii="Times New Roman" w:eastAsia="Times New Roman" w:hAnsi="Times New Roman" w:cs="Times New Roman"/>
          <w:lang w:val="en-GB"/>
        </w:rPr>
        <w:t>ations in the EU. This chapter</w:t>
      </w:r>
      <w:r w:rsidR="00863E39">
        <w:rPr>
          <w:rFonts w:ascii="Times New Roman" w:eastAsia="Times New Roman" w:hAnsi="Times New Roman" w:cs="Times New Roman"/>
          <w:lang w:val="en-GB"/>
        </w:rPr>
        <w:t xml:space="preserve"> therefore</w:t>
      </w:r>
      <w:r>
        <w:rPr>
          <w:rFonts w:ascii="Times New Roman" w:eastAsia="Times New Roman" w:hAnsi="Times New Roman" w:cs="Times New Roman"/>
          <w:lang w:val="en-GB"/>
        </w:rPr>
        <w:t xml:space="preserve"> </w:t>
      </w:r>
      <w:r w:rsidR="008F28F5">
        <w:rPr>
          <w:rFonts w:ascii="Times New Roman" w:eastAsia="Times New Roman" w:hAnsi="Times New Roman" w:cs="Times New Roman"/>
          <w:lang w:val="en-GB"/>
        </w:rPr>
        <w:t xml:space="preserve">unpacks </w:t>
      </w:r>
      <w:r w:rsidR="00342240">
        <w:rPr>
          <w:rFonts w:ascii="Times New Roman" w:eastAsia="Times New Roman" w:hAnsi="Times New Roman" w:cs="Times New Roman"/>
          <w:lang w:val="en-GB"/>
        </w:rPr>
        <w:t>the</w:t>
      </w:r>
      <w:r>
        <w:rPr>
          <w:rFonts w:ascii="Times New Roman" w:eastAsia="Times New Roman" w:hAnsi="Times New Roman" w:cs="Times New Roman"/>
          <w:lang w:val="en-GB"/>
        </w:rPr>
        <w:t xml:space="preserve"> </w:t>
      </w:r>
      <w:r w:rsidR="00AE2935">
        <w:rPr>
          <w:rFonts w:ascii="Times New Roman" w:eastAsia="Times New Roman" w:hAnsi="Times New Roman" w:cs="Times New Roman"/>
          <w:lang w:val="en-GB"/>
        </w:rPr>
        <w:t xml:space="preserve">caviar </w:t>
      </w:r>
      <w:r>
        <w:rPr>
          <w:rFonts w:ascii="Times New Roman" w:eastAsia="Times New Roman" w:hAnsi="Times New Roman" w:cs="Times New Roman"/>
          <w:lang w:val="en-GB"/>
        </w:rPr>
        <w:t>seizure data and problematizes the related ‘success’</w:t>
      </w:r>
      <w:r w:rsidR="00AE2935">
        <w:rPr>
          <w:rFonts w:ascii="Times New Roman" w:eastAsia="Times New Roman" w:hAnsi="Times New Roman" w:cs="Times New Roman"/>
          <w:lang w:val="en-GB"/>
        </w:rPr>
        <w:t xml:space="preserve"> narratives</w:t>
      </w:r>
      <w:r>
        <w:rPr>
          <w:rFonts w:ascii="Times New Roman" w:eastAsia="Times New Roman" w:hAnsi="Times New Roman" w:cs="Times New Roman"/>
          <w:lang w:val="en-GB"/>
        </w:rPr>
        <w:t>, by pointing first to the flaws inherent to the</w:t>
      </w:r>
      <w:r w:rsidR="00342240">
        <w:rPr>
          <w:rFonts w:ascii="Times New Roman" w:eastAsia="Times New Roman" w:hAnsi="Times New Roman" w:cs="Times New Roman"/>
          <w:lang w:val="en-GB"/>
        </w:rPr>
        <w:t>se</w:t>
      </w:r>
      <w:r>
        <w:rPr>
          <w:rFonts w:ascii="Times New Roman" w:eastAsia="Times New Roman" w:hAnsi="Times New Roman" w:cs="Times New Roman"/>
          <w:lang w:val="en-GB"/>
        </w:rPr>
        <w:t xml:space="preserve"> data; and second</w:t>
      </w:r>
      <w:r w:rsidR="008F28F5">
        <w:rPr>
          <w:rFonts w:ascii="Times New Roman" w:eastAsia="Times New Roman" w:hAnsi="Times New Roman" w:cs="Times New Roman"/>
          <w:lang w:val="en-GB"/>
        </w:rPr>
        <w:t>,</w:t>
      </w:r>
      <w:r>
        <w:rPr>
          <w:rFonts w:ascii="Times New Roman" w:eastAsia="Times New Roman" w:hAnsi="Times New Roman" w:cs="Times New Roman"/>
          <w:lang w:val="en-GB"/>
        </w:rPr>
        <w:t xml:space="preserve"> to the hidden </w:t>
      </w:r>
      <w:r w:rsidR="00D759EA">
        <w:rPr>
          <w:rFonts w:ascii="Times New Roman" w:eastAsia="Times New Roman" w:hAnsi="Times New Roman" w:cs="Times New Roman"/>
          <w:lang w:val="en-GB"/>
        </w:rPr>
        <w:t xml:space="preserve">more-than-human </w:t>
      </w:r>
      <w:r>
        <w:rPr>
          <w:rFonts w:ascii="Times New Roman" w:eastAsia="Times New Roman" w:hAnsi="Times New Roman" w:cs="Times New Roman"/>
          <w:lang w:val="en-GB"/>
        </w:rPr>
        <w:t xml:space="preserve">inequalities that caviar trade regulations have entrenched in the European Union. </w:t>
      </w:r>
    </w:p>
    <w:p w14:paraId="7249EB1E" w14:textId="3B6F4E78" w:rsidR="00AC10E7" w:rsidRPr="00122B49" w:rsidRDefault="00AC10E7" w:rsidP="009C104B">
      <w:pPr>
        <w:pStyle w:val="Normal1"/>
        <w:spacing w:after="160" w:line="360" w:lineRule="auto"/>
        <w:jc w:val="both"/>
        <w:rPr>
          <w:rFonts w:ascii="Times New Roman" w:eastAsia="Times New Roman" w:hAnsi="Times New Roman" w:cs="Times New Roman"/>
          <w:lang w:val="en-GB"/>
        </w:rPr>
      </w:pPr>
      <w:r>
        <w:rPr>
          <w:rFonts w:ascii="Times New Roman" w:eastAsia="Times New Roman" w:hAnsi="Times New Roman" w:cs="Times New Roman"/>
        </w:rPr>
        <w:tab/>
      </w:r>
      <w:r>
        <w:rPr>
          <w:rFonts w:ascii="Times New Roman" w:eastAsia="Times New Roman" w:hAnsi="Times New Roman" w:cs="Times New Roman"/>
          <w:lang w:val="en-GB"/>
        </w:rPr>
        <w:t>T</w:t>
      </w:r>
      <w:r w:rsidRPr="00122B49">
        <w:rPr>
          <w:rFonts w:ascii="Times New Roman" w:eastAsia="Times New Roman" w:hAnsi="Times New Roman" w:cs="Times New Roman"/>
        </w:rPr>
        <w:t>he listing of all 27 species of sturgeon and paddle</w:t>
      </w:r>
      <w:r>
        <w:rPr>
          <w:rFonts w:ascii="Times New Roman" w:eastAsia="Times New Roman" w:hAnsi="Times New Roman" w:cs="Times New Roman"/>
        </w:rPr>
        <w:t>fish on the CITES appendices</w:t>
      </w:r>
      <w:r w:rsidRPr="005B292F">
        <w:rPr>
          <w:rStyle w:val="FootnoteReference"/>
        </w:rPr>
        <w:footnoteReference w:id="14"/>
      </w:r>
      <w:r>
        <w:rPr>
          <w:rFonts w:ascii="Times New Roman" w:eastAsia="Times New Roman" w:hAnsi="Times New Roman" w:cs="Times New Roman"/>
          <w:lang w:val="en-GB"/>
        </w:rPr>
        <w:t xml:space="preserve"> </w:t>
      </w:r>
      <w:r w:rsidRPr="00122B49">
        <w:rPr>
          <w:rFonts w:ascii="Times New Roman" w:eastAsia="Times New Roman" w:hAnsi="Times New Roman" w:cs="Times New Roman"/>
        </w:rPr>
        <w:t>in 1998 set the wheels in motion for the creatio</w:t>
      </w:r>
      <w:r>
        <w:rPr>
          <w:rFonts w:ascii="Times New Roman" w:eastAsia="Times New Roman" w:hAnsi="Times New Roman" w:cs="Times New Roman"/>
        </w:rPr>
        <w:t xml:space="preserve">n and implementation of a </w:t>
      </w:r>
      <w:r>
        <w:rPr>
          <w:rFonts w:ascii="Times New Roman" w:eastAsia="Times New Roman" w:hAnsi="Times New Roman" w:cs="Times New Roman"/>
          <w:lang w:val="en-GB"/>
        </w:rPr>
        <w:t>series</w:t>
      </w:r>
      <w:r w:rsidRPr="00122B49">
        <w:rPr>
          <w:rFonts w:ascii="Times New Roman" w:eastAsia="Times New Roman" w:hAnsi="Times New Roman" w:cs="Times New Roman"/>
        </w:rPr>
        <w:t xml:space="preserve"> of legislative </w:t>
      </w:r>
      <w:r>
        <w:rPr>
          <w:rFonts w:ascii="Times New Roman" w:eastAsia="Times New Roman" w:hAnsi="Times New Roman" w:cs="Times New Roman"/>
        </w:rPr>
        <w:t>mechanisms designed to: halt</w:t>
      </w:r>
      <w:r w:rsidRPr="00122B49">
        <w:rPr>
          <w:rFonts w:ascii="Times New Roman" w:eastAsia="Times New Roman" w:hAnsi="Times New Roman" w:cs="Times New Roman"/>
        </w:rPr>
        <w:t xml:space="preserve"> unsustainable over-exploitation of sturgeon in the wild; make legal </w:t>
      </w:r>
      <w:r w:rsidR="00AE2935">
        <w:rPr>
          <w:rFonts w:ascii="Times New Roman" w:eastAsia="Times New Roman" w:hAnsi="Times New Roman" w:cs="Times New Roman"/>
        </w:rPr>
        <w:t xml:space="preserve">caviar </w:t>
      </w:r>
      <w:r w:rsidRPr="00122B49">
        <w:rPr>
          <w:rFonts w:ascii="Times New Roman" w:eastAsia="Times New Roman" w:hAnsi="Times New Roman" w:cs="Times New Roman"/>
        </w:rPr>
        <w:t>trade more s</w:t>
      </w:r>
      <w:r>
        <w:rPr>
          <w:rFonts w:ascii="Times New Roman" w:eastAsia="Times New Roman" w:hAnsi="Times New Roman" w:cs="Times New Roman"/>
        </w:rPr>
        <w:t>ustainable and traceable; and</w:t>
      </w:r>
      <w:r w:rsidRPr="00122B49">
        <w:rPr>
          <w:rFonts w:ascii="Times New Roman" w:eastAsia="Times New Roman" w:hAnsi="Times New Roman" w:cs="Times New Roman"/>
        </w:rPr>
        <w:t xml:space="preserve"> crackdown on soaring levels of poaching and </w:t>
      </w:r>
      <w:r>
        <w:rPr>
          <w:rFonts w:ascii="Times New Roman" w:eastAsia="Times New Roman" w:hAnsi="Times New Roman" w:cs="Times New Roman"/>
          <w:lang w:val="en-GB"/>
        </w:rPr>
        <w:t>trafficking</w:t>
      </w:r>
      <w:r w:rsidRPr="00122B49">
        <w:rPr>
          <w:rFonts w:ascii="Times New Roman" w:eastAsia="Times New Roman" w:hAnsi="Times New Roman" w:cs="Times New Roman"/>
        </w:rPr>
        <w:t xml:space="preserve"> in caviar.</w:t>
      </w:r>
      <w:r>
        <w:rPr>
          <w:rFonts w:ascii="Times New Roman" w:eastAsia="Times New Roman" w:hAnsi="Times New Roman" w:cs="Times New Roman"/>
          <w:lang w:val="en-GB"/>
        </w:rPr>
        <w:t xml:space="preserve"> </w:t>
      </w:r>
      <w:r>
        <w:rPr>
          <w:rFonts w:ascii="Times New Roman" w:eastAsia="Times New Roman" w:hAnsi="Times New Roman" w:cs="Times New Roman"/>
        </w:rPr>
        <w:t>The transposition</w:t>
      </w:r>
      <w:r>
        <w:rPr>
          <w:rFonts w:ascii="Times New Roman" w:eastAsia="Times New Roman" w:hAnsi="Times New Roman" w:cs="Times New Roman"/>
          <w:lang w:val="en-GB"/>
        </w:rPr>
        <w:t xml:space="preserve"> of CITES regulations into EU law </w:t>
      </w:r>
      <w:r w:rsidR="008F28F5">
        <w:rPr>
          <w:rFonts w:ascii="Times New Roman" w:eastAsia="Times New Roman" w:hAnsi="Times New Roman" w:cs="Times New Roman"/>
          <w:lang w:val="en-GB"/>
        </w:rPr>
        <w:t>has had</w:t>
      </w:r>
      <w:r>
        <w:rPr>
          <w:rFonts w:ascii="Times New Roman" w:eastAsia="Times New Roman" w:hAnsi="Times New Roman" w:cs="Times New Roman"/>
        </w:rPr>
        <w:t xml:space="preserve"> a major impact upon levels of illegal caviar trade within the European Union. In 2000, 4325kg of caviar</w:t>
      </w:r>
      <w:r w:rsidR="00342240">
        <w:rPr>
          <w:rFonts w:ascii="Times New Roman" w:eastAsia="Times New Roman" w:hAnsi="Times New Roman" w:cs="Times New Roman"/>
        </w:rPr>
        <w:t xml:space="preserve"> was</w:t>
      </w:r>
      <w:r>
        <w:rPr>
          <w:rFonts w:ascii="Times New Roman" w:eastAsia="Times New Roman" w:hAnsi="Times New Roman" w:cs="Times New Roman"/>
        </w:rPr>
        <w:t xml:space="preserve"> seized in the EU (Engler &amp; Knapp, 2008:29)</w:t>
      </w:r>
      <w:r w:rsidR="00342240">
        <w:rPr>
          <w:rFonts w:ascii="Times New Roman" w:eastAsia="Times New Roman" w:hAnsi="Times New Roman" w:cs="Times New Roman"/>
          <w:lang w:val="en-GB"/>
        </w:rPr>
        <w:t>. However,</w:t>
      </w:r>
      <w:r>
        <w:rPr>
          <w:rFonts w:ascii="Times New Roman" w:eastAsia="Times New Roman" w:hAnsi="Times New Roman" w:cs="Times New Roman"/>
        </w:rPr>
        <w:t xml:space="preserve"> by 2016 </w:t>
      </w:r>
      <w:r w:rsidR="00BC18AF">
        <w:rPr>
          <w:rFonts w:ascii="Times New Roman" w:eastAsia="Times New Roman" w:hAnsi="Times New Roman" w:cs="Times New Roman"/>
        </w:rPr>
        <w:t xml:space="preserve">reported </w:t>
      </w:r>
      <w:r>
        <w:rPr>
          <w:rFonts w:ascii="Times New Roman" w:eastAsia="Times New Roman" w:hAnsi="Times New Roman" w:cs="Times New Roman"/>
        </w:rPr>
        <w:t xml:space="preserve">seizures of caviar had declined to 60kg (Harris &amp; Shiraishi, 2018: 9). </w:t>
      </w:r>
      <w:r>
        <w:rPr>
          <w:rFonts w:ascii="Times New Roman" w:eastAsia="Times New Roman" w:hAnsi="Times New Roman" w:cs="Times New Roman"/>
          <w:lang w:val="en-GB"/>
        </w:rPr>
        <w:t>Some actors in policy and enforcement spheres have presented the declining</w:t>
      </w:r>
      <w:r w:rsidR="00AE2935">
        <w:rPr>
          <w:rFonts w:ascii="Times New Roman" w:eastAsia="Times New Roman" w:hAnsi="Times New Roman" w:cs="Times New Roman"/>
          <w:lang w:val="en-GB"/>
        </w:rPr>
        <w:t xml:space="preserve"> seizures as indicative of the ‘</w:t>
      </w:r>
      <w:r>
        <w:rPr>
          <w:rFonts w:ascii="Times New Roman" w:eastAsia="Times New Roman" w:hAnsi="Times New Roman" w:cs="Times New Roman"/>
          <w:lang w:val="en-GB"/>
        </w:rPr>
        <w:t>success’ of caviar trade regulations in the EU, thereby consolidating the</w:t>
      </w:r>
      <w:r w:rsidR="00AE2935">
        <w:rPr>
          <w:rFonts w:ascii="Times New Roman" w:eastAsia="Times New Roman" w:hAnsi="Times New Roman" w:cs="Times New Roman"/>
        </w:rPr>
        <w:t xml:space="preserve"> “</w:t>
      </w:r>
      <w:r>
        <w:rPr>
          <w:rFonts w:ascii="Times New Roman" w:eastAsia="Times New Roman" w:hAnsi="Times New Roman" w:cs="Times New Roman"/>
        </w:rPr>
        <w:t>widespread belief that the caviar trade is under control</w:t>
      </w:r>
      <w:r w:rsidR="00AE2935">
        <w:rPr>
          <w:rFonts w:ascii="Times New Roman" w:eastAsia="Times New Roman" w:hAnsi="Times New Roman" w:cs="Times New Roman"/>
        </w:rPr>
        <w:t>”</w:t>
      </w:r>
      <w:r w:rsidRPr="005B292F">
        <w:rPr>
          <w:rStyle w:val="FootnoteReference"/>
        </w:rPr>
        <w:footnoteReference w:id="15"/>
      </w:r>
      <w:r>
        <w:rPr>
          <w:rFonts w:ascii="Times New Roman" w:eastAsia="Times New Roman" w:hAnsi="Times New Roman" w:cs="Times New Roman"/>
        </w:rPr>
        <w:t>. However, a</w:t>
      </w:r>
      <w:r>
        <w:rPr>
          <w:rFonts w:ascii="Times New Roman" w:eastAsia="Times New Roman" w:hAnsi="Times New Roman" w:cs="Times New Roman"/>
          <w:lang w:val="en-GB"/>
        </w:rPr>
        <w:t xml:space="preserve"> </w:t>
      </w:r>
      <w:r>
        <w:rPr>
          <w:rFonts w:ascii="Times New Roman" w:eastAsia="Times New Roman" w:hAnsi="Times New Roman" w:cs="Times New Roman"/>
        </w:rPr>
        <w:t>2017</w:t>
      </w:r>
      <w:r>
        <w:rPr>
          <w:rFonts w:ascii="Times New Roman" w:eastAsia="Times New Roman" w:hAnsi="Times New Roman" w:cs="Times New Roman"/>
          <w:lang w:val="en-GB"/>
        </w:rPr>
        <w:t xml:space="preserve"> </w:t>
      </w:r>
      <w:r w:rsidR="00863E39">
        <w:rPr>
          <w:rFonts w:ascii="Times New Roman" w:eastAsia="Times New Roman" w:hAnsi="Times New Roman" w:cs="Times New Roman"/>
          <w:lang w:val="en-GB"/>
        </w:rPr>
        <w:t xml:space="preserve">multi-agency </w:t>
      </w:r>
      <w:r>
        <w:rPr>
          <w:rFonts w:ascii="Times New Roman" w:eastAsia="Times New Roman" w:hAnsi="Times New Roman" w:cs="Times New Roman"/>
        </w:rPr>
        <w:t>report</w:t>
      </w:r>
      <w:r w:rsidRPr="005B292F">
        <w:rPr>
          <w:rStyle w:val="FootnoteReference"/>
        </w:rPr>
        <w:footnoteReference w:id="16"/>
      </w:r>
      <w:r>
        <w:rPr>
          <w:rFonts w:ascii="Times New Roman" w:eastAsia="Times New Roman" w:hAnsi="Times New Roman" w:cs="Times New Roman"/>
        </w:rPr>
        <w:t xml:space="preserve"> on wildlife crime in the Danube-Carpathian region of Europe</w:t>
      </w:r>
      <w:r w:rsidRPr="005B292F">
        <w:rPr>
          <w:rStyle w:val="FootnoteReference"/>
        </w:rPr>
        <w:footnoteReference w:id="17"/>
      </w:r>
      <w:r w:rsidR="00BC18AF">
        <w:rPr>
          <w:rFonts w:ascii="Times New Roman" w:eastAsia="Times New Roman" w:hAnsi="Times New Roman" w:cs="Times New Roman"/>
        </w:rPr>
        <w:t xml:space="preserve"> </w:t>
      </w:r>
      <w:r w:rsidR="004263E1">
        <w:rPr>
          <w:rFonts w:ascii="Times New Roman" w:eastAsia="Times New Roman" w:hAnsi="Times New Roman" w:cs="Times New Roman"/>
        </w:rPr>
        <w:t>declared that despite a “multitude of legal instruments”, “</w:t>
      </w:r>
      <w:r>
        <w:rPr>
          <w:rFonts w:ascii="Times New Roman" w:eastAsia="Times New Roman" w:hAnsi="Times New Roman" w:cs="Times New Roman"/>
        </w:rPr>
        <w:t xml:space="preserve">illegal fishing and trade has reached alarming proportions and become the main threat to the </w:t>
      </w:r>
      <w:r w:rsidR="004263E1">
        <w:rPr>
          <w:rFonts w:ascii="Times New Roman" w:eastAsia="Times New Roman" w:hAnsi="Times New Roman" w:cs="Times New Roman"/>
        </w:rPr>
        <w:t>survival of the Danube sturgeon”</w:t>
      </w:r>
      <w:r>
        <w:rPr>
          <w:rFonts w:ascii="Times New Roman" w:eastAsia="Times New Roman" w:hAnsi="Times New Roman" w:cs="Times New Roman"/>
        </w:rPr>
        <w:t xml:space="preserve"> </w:t>
      </w:r>
      <w:r>
        <w:rPr>
          <w:rFonts w:ascii="Times New Roman" w:eastAsia="Times New Roman" w:hAnsi="Times New Roman" w:cs="Times New Roman"/>
        </w:rPr>
        <w:fldChar w:fldCharType="begin" w:fldLock="1"/>
      </w:r>
      <w:r w:rsidR="00EC7F7E">
        <w:rPr>
          <w:rFonts w:ascii="Times New Roman" w:eastAsia="Times New Roman" w:hAnsi="Times New Roman" w:cs="Times New Roman"/>
        </w:rPr>
        <w:instrText>ADDIN CSL_CITATION {"citationItems":[{"id":"ITEM-1","itemData":{"author":[{"dropping-particle":"","family":"Schlingeman","given":"Lynn","non-dropping-particle":"","parse-names":false,"suffix":""},{"dropping-particle":"","family":"Bortoli","given":"Isidoro","non-dropping-particle":"de","parse-names":false,"suffix":""},{"dropping-particle":"","family":"Favilli","given":"Filippo","non-dropping-particle":"","parse-names":false,"suffix":""},{"dropping-particle":"","family":"Egerer","given":"Harold","non-dropping-particle":"","parse-names":false,"suffix":""},{"dropping-particle":"","family":"Musco","given":"Eleonora","non-dropping-particle":"","parse-names":false,"suffix":""},{"dropping-particle":"","family":"Lucius","given":"Irene","non-dropping-particle":"","parse-names":false,"suffix":""}],"container-title":"A UN Environment - Eurac Research - WWF Reort","id":"ITEM-1","issued":{"date-parts":[["2017"]]},"title":"Combating Wildlife and Forest Crime in the Danube-Carpathian Region","type":"article-journal"},"uris":["http://www.mendeley.com/documents/?uuid=bc7d1b54-017b-476c-9072-7bd5fa99aeda"]}],"mendeley":{"formattedCitation":"(Schlingeman &lt;i&gt;et al.&lt;/i&gt;, 2017)","manualFormatting":"(Schlingeman et al., 2017:10)","plainTextFormattedCitation":"(Schlingeman et al., 2017)","previouslyFormattedCitation":"(Schlingeman &lt;i&gt;et al.&lt;/i&gt;, 2017)"},"properties":{"noteIndex":0},"schema":"https://github.com/citation-style-language/schema/raw/master/csl-citation.json"}</w:instrText>
      </w:r>
      <w:r>
        <w:rPr>
          <w:rFonts w:ascii="Times New Roman" w:eastAsia="Times New Roman" w:hAnsi="Times New Roman" w:cs="Times New Roman"/>
        </w:rPr>
        <w:fldChar w:fldCharType="separate"/>
      </w:r>
      <w:r w:rsidRPr="00F17088">
        <w:rPr>
          <w:rFonts w:ascii="Times New Roman" w:eastAsia="Times New Roman" w:hAnsi="Times New Roman" w:cs="Times New Roman"/>
          <w:noProof/>
        </w:rPr>
        <w:t xml:space="preserve">(Schlingeman </w:t>
      </w:r>
      <w:r w:rsidRPr="00C6158D">
        <w:rPr>
          <w:rFonts w:ascii="Times New Roman" w:eastAsia="Times New Roman" w:hAnsi="Times New Roman" w:cs="Times New Roman"/>
          <w:i/>
          <w:noProof/>
        </w:rPr>
        <w:t>et al</w:t>
      </w:r>
      <w:r w:rsidRPr="00F17088">
        <w:rPr>
          <w:rFonts w:ascii="Times New Roman" w:eastAsia="Times New Roman" w:hAnsi="Times New Roman" w:cs="Times New Roman"/>
          <w:noProof/>
        </w:rPr>
        <w:t>., 2017</w:t>
      </w:r>
      <w:r>
        <w:rPr>
          <w:rFonts w:ascii="Times New Roman" w:eastAsia="Times New Roman" w:hAnsi="Times New Roman" w:cs="Times New Roman"/>
          <w:noProof/>
        </w:rPr>
        <w:t>:10</w:t>
      </w:r>
      <w:r w:rsidRPr="00F17088">
        <w:rPr>
          <w:rFonts w:ascii="Times New Roman" w:eastAsia="Times New Roman" w:hAnsi="Times New Roman" w:cs="Times New Roman"/>
          <w:noProof/>
        </w:rPr>
        <w:t>)</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p w14:paraId="409B2A42" w14:textId="77777777" w:rsidR="00863E39" w:rsidRDefault="00AC10E7" w:rsidP="009C104B">
      <w:pPr>
        <w:pStyle w:val="Normal1"/>
        <w:spacing w:after="160" w:line="360" w:lineRule="auto"/>
        <w:ind w:firstLine="720"/>
        <w:jc w:val="both"/>
        <w:rPr>
          <w:rFonts w:ascii="Times New Roman" w:eastAsia="Times New Roman" w:hAnsi="Times New Roman" w:cs="Times New Roman"/>
          <w:lang w:val="en-GB"/>
        </w:rPr>
      </w:pPr>
      <w:r>
        <w:rPr>
          <w:rFonts w:ascii="Times New Roman" w:eastAsia="Times New Roman" w:hAnsi="Times New Roman" w:cs="Times New Roman"/>
        </w:rPr>
        <w:lastRenderedPageBreak/>
        <w:t>This chapter examine</w:t>
      </w:r>
      <w:r>
        <w:rPr>
          <w:rFonts w:ascii="Times New Roman" w:eastAsia="Times New Roman" w:hAnsi="Times New Roman" w:cs="Times New Roman"/>
          <w:lang w:val="en-GB"/>
        </w:rPr>
        <w:t>s</w:t>
      </w:r>
      <w:r w:rsidR="00863E39">
        <w:rPr>
          <w:rFonts w:ascii="Times New Roman" w:eastAsia="Times New Roman" w:hAnsi="Times New Roman" w:cs="Times New Roman"/>
        </w:rPr>
        <w:t xml:space="preserve"> this</w:t>
      </w:r>
      <w:r>
        <w:rPr>
          <w:rFonts w:ascii="Times New Roman" w:eastAsia="Times New Roman" w:hAnsi="Times New Roman" w:cs="Times New Roman"/>
        </w:rPr>
        <w:t xml:space="preserve"> </w:t>
      </w:r>
      <w:r w:rsidR="00BC18AF">
        <w:rPr>
          <w:rFonts w:ascii="Times New Roman" w:eastAsia="Times New Roman" w:hAnsi="Times New Roman" w:cs="Times New Roman"/>
        </w:rPr>
        <w:t>apparent contradiction</w:t>
      </w:r>
      <w:r w:rsidR="00C8547A">
        <w:rPr>
          <w:rFonts w:ascii="Times New Roman" w:eastAsia="Times New Roman" w:hAnsi="Times New Roman" w:cs="Times New Roman"/>
        </w:rPr>
        <w:t xml:space="preserve"> </w:t>
      </w:r>
      <w:r w:rsidR="00BC18AF">
        <w:rPr>
          <w:rFonts w:ascii="Times New Roman" w:eastAsia="Times New Roman" w:hAnsi="Times New Roman" w:cs="Times New Roman"/>
        </w:rPr>
        <w:t>between</w:t>
      </w:r>
      <w:r>
        <w:rPr>
          <w:rFonts w:ascii="Times New Roman" w:eastAsia="Times New Roman" w:hAnsi="Times New Roman" w:cs="Times New Roman"/>
        </w:rPr>
        <w:t xml:space="preserve"> the </w:t>
      </w:r>
      <w:r w:rsidR="00342240">
        <w:rPr>
          <w:rFonts w:ascii="Times New Roman" w:eastAsia="Times New Roman" w:hAnsi="Times New Roman" w:cs="Times New Roman"/>
        </w:rPr>
        <w:t>dominant</w:t>
      </w:r>
      <w:r w:rsidR="004263E1">
        <w:rPr>
          <w:rFonts w:ascii="Times New Roman" w:eastAsia="Times New Roman" w:hAnsi="Times New Roman" w:cs="Times New Roman"/>
        </w:rPr>
        <w:t xml:space="preserve"> </w:t>
      </w:r>
      <w:r>
        <w:rPr>
          <w:rFonts w:ascii="Times New Roman" w:eastAsia="Times New Roman" w:hAnsi="Times New Roman" w:cs="Times New Roman"/>
        </w:rPr>
        <w:t xml:space="preserve">narratives </w:t>
      </w:r>
      <w:r w:rsidR="00342240">
        <w:rPr>
          <w:rFonts w:ascii="Times New Roman" w:eastAsia="Times New Roman" w:hAnsi="Times New Roman" w:cs="Times New Roman"/>
        </w:rPr>
        <w:t xml:space="preserve">promulgated </w:t>
      </w:r>
      <w:r>
        <w:rPr>
          <w:rFonts w:ascii="Times New Roman" w:eastAsia="Times New Roman" w:hAnsi="Times New Roman" w:cs="Times New Roman"/>
        </w:rPr>
        <w:t xml:space="preserve">by </w:t>
      </w:r>
      <w:r w:rsidR="004263E1">
        <w:rPr>
          <w:rFonts w:ascii="Times New Roman" w:eastAsia="Times New Roman" w:hAnsi="Times New Roman" w:cs="Times New Roman"/>
        </w:rPr>
        <w:t xml:space="preserve">Western European </w:t>
      </w:r>
      <w:r>
        <w:rPr>
          <w:rFonts w:ascii="Times New Roman" w:eastAsia="Times New Roman" w:hAnsi="Times New Roman" w:cs="Times New Roman"/>
        </w:rPr>
        <w:t>policymakers and enforcement</w:t>
      </w:r>
      <w:r w:rsidR="00342240">
        <w:rPr>
          <w:rFonts w:ascii="Times New Roman" w:eastAsia="Times New Roman" w:hAnsi="Times New Roman" w:cs="Times New Roman"/>
        </w:rPr>
        <w:t xml:space="preserve"> officials</w:t>
      </w:r>
      <w:r>
        <w:rPr>
          <w:rFonts w:ascii="Times New Roman" w:eastAsia="Times New Roman" w:hAnsi="Times New Roman" w:cs="Times New Roman"/>
        </w:rPr>
        <w:t xml:space="preserve">, </w:t>
      </w:r>
      <w:r>
        <w:rPr>
          <w:rFonts w:ascii="Times New Roman" w:eastAsia="Times New Roman" w:hAnsi="Times New Roman" w:cs="Times New Roman"/>
          <w:lang w:val="en-GB"/>
        </w:rPr>
        <w:t>versus</w:t>
      </w:r>
      <w:r>
        <w:rPr>
          <w:rFonts w:ascii="Times New Roman" w:eastAsia="Times New Roman" w:hAnsi="Times New Roman" w:cs="Times New Roman"/>
        </w:rPr>
        <w:t xml:space="preserve"> </w:t>
      </w:r>
      <w:r>
        <w:rPr>
          <w:rFonts w:ascii="Times New Roman" w:eastAsia="Times New Roman" w:hAnsi="Times New Roman" w:cs="Times New Roman"/>
          <w:lang w:val="en-GB"/>
        </w:rPr>
        <w:t>those</w:t>
      </w:r>
      <w:r w:rsidR="00342240">
        <w:rPr>
          <w:rFonts w:ascii="Times New Roman" w:eastAsia="Times New Roman" w:hAnsi="Times New Roman" w:cs="Times New Roman"/>
        </w:rPr>
        <w:t xml:space="preserve"> espoused</w:t>
      </w:r>
      <w:r>
        <w:rPr>
          <w:rFonts w:ascii="Times New Roman" w:eastAsia="Times New Roman" w:hAnsi="Times New Roman" w:cs="Times New Roman"/>
        </w:rPr>
        <w:t xml:space="preserve"> by </w:t>
      </w:r>
      <w:r>
        <w:rPr>
          <w:rFonts w:ascii="Times New Roman" w:eastAsia="Times New Roman" w:hAnsi="Times New Roman" w:cs="Times New Roman"/>
          <w:lang w:val="en-GB"/>
        </w:rPr>
        <w:t>NGOs and actors</w:t>
      </w:r>
      <w:r>
        <w:rPr>
          <w:rFonts w:ascii="Times New Roman" w:eastAsia="Times New Roman" w:hAnsi="Times New Roman" w:cs="Times New Roman"/>
        </w:rPr>
        <w:t xml:space="preserve"> working on the ground in </w:t>
      </w:r>
      <w:r w:rsidR="00863E39">
        <w:rPr>
          <w:rFonts w:ascii="Times New Roman" w:eastAsia="Times New Roman" w:hAnsi="Times New Roman" w:cs="Times New Roman"/>
        </w:rPr>
        <w:t xml:space="preserve">EU </w:t>
      </w:r>
      <w:r>
        <w:rPr>
          <w:rFonts w:ascii="Times New Roman" w:eastAsia="Times New Roman" w:hAnsi="Times New Roman" w:cs="Times New Roman"/>
        </w:rPr>
        <w:t xml:space="preserve">sturgeon range states. </w:t>
      </w:r>
      <w:r>
        <w:rPr>
          <w:rFonts w:ascii="Times New Roman" w:eastAsia="Times New Roman" w:hAnsi="Times New Roman" w:cs="Times New Roman"/>
          <w:lang w:val="en-GB"/>
        </w:rPr>
        <w:t xml:space="preserve">In scrutinizing these contradictory narratives, I demonstrate that the seizure data </w:t>
      </w:r>
      <w:r w:rsidR="004263E1">
        <w:rPr>
          <w:rFonts w:ascii="Times New Roman" w:eastAsia="Times New Roman" w:hAnsi="Times New Roman" w:cs="Times New Roman"/>
          <w:lang w:val="en-GB"/>
        </w:rPr>
        <w:t>deployed</w:t>
      </w:r>
      <w:r>
        <w:rPr>
          <w:rFonts w:ascii="Times New Roman" w:eastAsia="Times New Roman" w:hAnsi="Times New Roman" w:cs="Times New Roman"/>
          <w:lang w:val="en-GB"/>
        </w:rPr>
        <w:t xml:space="preserve"> </w:t>
      </w:r>
      <w:r w:rsidR="00BC18AF">
        <w:rPr>
          <w:rFonts w:ascii="Times New Roman" w:eastAsia="Times New Roman" w:hAnsi="Times New Roman" w:cs="Times New Roman"/>
          <w:lang w:val="en-GB"/>
        </w:rPr>
        <w:t>to present</w:t>
      </w:r>
      <w:r w:rsidR="005758BB">
        <w:rPr>
          <w:rFonts w:ascii="Times New Roman" w:eastAsia="Times New Roman" w:hAnsi="Times New Roman" w:cs="Times New Roman"/>
          <w:lang w:val="en-GB"/>
        </w:rPr>
        <w:t xml:space="preserve"> and sustain</w:t>
      </w:r>
      <w:r w:rsidR="00BC18AF">
        <w:rPr>
          <w:rFonts w:ascii="Times New Roman" w:eastAsia="Times New Roman" w:hAnsi="Times New Roman" w:cs="Times New Roman"/>
          <w:lang w:val="en-GB"/>
        </w:rPr>
        <w:t xml:space="preserve"> a particular narrative of </w:t>
      </w:r>
      <w:r w:rsidR="00C8547A">
        <w:rPr>
          <w:rFonts w:ascii="Times New Roman" w:eastAsia="Times New Roman" w:hAnsi="Times New Roman" w:cs="Times New Roman"/>
          <w:lang w:val="en-GB"/>
        </w:rPr>
        <w:t xml:space="preserve">policy </w:t>
      </w:r>
      <w:r w:rsidR="00BC18AF">
        <w:rPr>
          <w:rFonts w:ascii="Times New Roman" w:eastAsia="Times New Roman" w:hAnsi="Times New Roman" w:cs="Times New Roman"/>
          <w:lang w:val="en-GB"/>
        </w:rPr>
        <w:t xml:space="preserve">success, is flawed and incomplete. I therefore question the utility of </w:t>
      </w:r>
      <w:r w:rsidR="00351539">
        <w:rPr>
          <w:rFonts w:ascii="Times New Roman" w:eastAsia="Times New Roman" w:hAnsi="Times New Roman" w:cs="Times New Roman"/>
          <w:lang w:val="en-GB"/>
        </w:rPr>
        <w:t>foregrounding these data to guide</w:t>
      </w:r>
      <w:r w:rsidR="00C8547A">
        <w:rPr>
          <w:rFonts w:ascii="Times New Roman" w:eastAsia="Times New Roman" w:hAnsi="Times New Roman" w:cs="Times New Roman"/>
          <w:lang w:val="en-GB"/>
        </w:rPr>
        <w:t xml:space="preserve"> </w:t>
      </w:r>
      <w:r w:rsidR="005758BB">
        <w:rPr>
          <w:rFonts w:ascii="Times New Roman" w:eastAsia="Times New Roman" w:hAnsi="Times New Roman" w:cs="Times New Roman"/>
          <w:lang w:val="en-GB"/>
        </w:rPr>
        <w:t>on-going</w:t>
      </w:r>
      <w:r w:rsidR="00351539">
        <w:rPr>
          <w:rFonts w:ascii="Times New Roman" w:eastAsia="Times New Roman" w:hAnsi="Times New Roman" w:cs="Times New Roman"/>
          <w:lang w:val="en-GB"/>
        </w:rPr>
        <w:t xml:space="preserve"> EU policy priorities and enforcement strategies.</w:t>
      </w:r>
      <w:r w:rsidR="00254DB4">
        <w:rPr>
          <w:rFonts w:ascii="Times New Roman" w:eastAsia="Times New Roman" w:hAnsi="Times New Roman" w:cs="Times New Roman"/>
          <w:lang w:val="en-GB"/>
        </w:rPr>
        <w:t xml:space="preserve"> </w:t>
      </w:r>
    </w:p>
    <w:p w14:paraId="74ED6B07" w14:textId="75C38239" w:rsidR="00863E39" w:rsidRDefault="00AC10E7" w:rsidP="009C104B">
      <w:pPr>
        <w:pStyle w:val="Normal1"/>
        <w:spacing w:after="160" w:line="360" w:lineRule="auto"/>
        <w:ind w:firstLine="720"/>
        <w:jc w:val="both"/>
        <w:rPr>
          <w:rFonts w:ascii="Times New Roman" w:eastAsia="Times New Roman" w:hAnsi="Times New Roman" w:cs="Times New Roman"/>
          <w:lang w:val="en-GB"/>
        </w:rPr>
      </w:pPr>
      <w:r>
        <w:rPr>
          <w:rFonts w:ascii="Times New Roman" w:eastAsia="Times New Roman" w:hAnsi="Times New Roman" w:cs="Times New Roman"/>
          <w:lang w:val="en-GB"/>
        </w:rPr>
        <w:t xml:space="preserve">I then develop the main argument of the chapter: that </w:t>
      </w:r>
      <w:r w:rsidR="005758BB">
        <w:rPr>
          <w:rFonts w:ascii="Times New Roman" w:eastAsia="Times New Roman" w:hAnsi="Times New Roman" w:cs="Times New Roman"/>
          <w:lang w:val="en-GB"/>
        </w:rPr>
        <w:t xml:space="preserve">the EU </w:t>
      </w:r>
      <w:r>
        <w:rPr>
          <w:rFonts w:ascii="Times New Roman" w:eastAsia="Times New Roman" w:hAnsi="Times New Roman" w:cs="Times New Roman"/>
          <w:lang w:val="en-GB"/>
        </w:rPr>
        <w:t xml:space="preserve">caviar trade </w:t>
      </w:r>
      <w:r w:rsidR="005758BB">
        <w:rPr>
          <w:rFonts w:ascii="Times New Roman" w:eastAsia="Times New Roman" w:hAnsi="Times New Roman" w:cs="Times New Roman"/>
          <w:lang w:val="en-GB"/>
        </w:rPr>
        <w:t xml:space="preserve">regulations </w:t>
      </w:r>
      <w:r w:rsidRPr="00C1397A">
        <w:rPr>
          <w:rFonts w:ascii="Times New Roman" w:eastAsia="Times New Roman" w:hAnsi="Times New Roman" w:cs="Times New Roman"/>
          <w:lang w:val="en-GB"/>
        </w:rPr>
        <w:t xml:space="preserve">have had </w:t>
      </w:r>
      <w:r w:rsidR="005758BB">
        <w:rPr>
          <w:rFonts w:ascii="Times New Roman" w:eastAsia="Times New Roman" w:hAnsi="Times New Roman" w:cs="Times New Roman"/>
          <w:lang w:val="en-GB"/>
        </w:rPr>
        <w:t xml:space="preserve">nuanced </w:t>
      </w:r>
      <w:r w:rsidRPr="00C1397A">
        <w:rPr>
          <w:rFonts w:ascii="Times New Roman" w:eastAsia="Times New Roman" w:hAnsi="Times New Roman" w:cs="Times New Roman"/>
          <w:lang w:val="en-GB"/>
        </w:rPr>
        <w:t>political-ecological effects that span beyond declinin</w:t>
      </w:r>
      <w:r w:rsidR="005758BB">
        <w:rPr>
          <w:rFonts w:ascii="Times New Roman" w:eastAsia="Times New Roman" w:hAnsi="Times New Roman" w:cs="Times New Roman"/>
          <w:lang w:val="en-GB"/>
        </w:rPr>
        <w:t>g seizures of contraband caviar</w:t>
      </w:r>
      <w:r w:rsidR="00254DB4">
        <w:rPr>
          <w:rFonts w:ascii="Times New Roman" w:eastAsia="Times New Roman" w:hAnsi="Times New Roman" w:cs="Times New Roman"/>
          <w:lang w:val="en-GB"/>
        </w:rPr>
        <w:t xml:space="preserve">. </w:t>
      </w:r>
      <w:r w:rsidR="00282F9F">
        <w:rPr>
          <w:rFonts w:ascii="Times New Roman" w:eastAsia="Times New Roman" w:hAnsi="Times New Roman" w:cs="Times New Roman"/>
          <w:lang w:val="en-GB"/>
        </w:rPr>
        <w:t>Specifically</w:t>
      </w:r>
      <w:r w:rsidR="00254DB4">
        <w:rPr>
          <w:rFonts w:ascii="Times New Roman" w:eastAsia="Times New Roman" w:hAnsi="Times New Roman" w:cs="Times New Roman"/>
          <w:lang w:val="en-GB"/>
        </w:rPr>
        <w:t>, I argue that the regulatory frameworks have entrenched inequalities in the EU</w:t>
      </w:r>
      <w:r w:rsidR="00863E39">
        <w:rPr>
          <w:rFonts w:ascii="Times New Roman" w:eastAsia="Times New Roman" w:hAnsi="Times New Roman" w:cs="Times New Roman"/>
          <w:lang w:val="en-GB"/>
        </w:rPr>
        <w:t xml:space="preserve"> and even catalysed sturgeon poaching in some instances</w:t>
      </w:r>
      <w:r w:rsidR="00254DB4">
        <w:rPr>
          <w:rFonts w:ascii="Times New Roman" w:eastAsia="Times New Roman" w:hAnsi="Times New Roman" w:cs="Times New Roman"/>
          <w:lang w:val="en-GB"/>
        </w:rPr>
        <w:t xml:space="preserve">. </w:t>
      </w:r>
      <w:r w:rsidR="00863E39">
        <w:rPr>
          <w:rFonts w:ascii="Times New Roman" w:eastAsia="Times New Roman" w:hAnsi="Times New Roman" w:cs="Times New Roman"/>
          <w:lang w:val="en-GB"/>
        </w:rPr>
        <w:t>However,</w:t>
      </w:r>
      <w:r w:rsidR="005758BB">
        <w:rPr>
          <w:rFonts w:ascii="Times New Roman" w:eastAsia="Times New Roman" w:hAnsi="Times New Roman" w:cs="Times New Roman"/>
          <w:lang w:val="en-GB"/>
        </w:rPr>
        <w:t xml:space="preserve"> the hegemonic policy narratives fixating </w:t>
      </w:r>
      <w:r w:rsidR="00863E39">
        <w:rPr>
          <w:rFonts w:ascii="Times New Roman" w:eastAsia="Times New Roman" w:hAnsi="Times New Roman" w:cs="Times New Roman"/>
          <w:lang w:val="en-GB"/>
        </w:rPr>
        <w:t xml:space="preserve">solely </w:t>
      </w:r>
      <w:r w:rsidR="005758BB">
        <w:rPr>
          <w:rFonts w:ascii="Times New Roman" w:eastAsia="Times New Roman" w:hAnsi="Times New Roman" w:cs="Times New Roman"/>
          <w:lang w:val="en-GB"/>
        </w:rPr>
        <w:t xml:space="preserve">on </w:t>
      </w:r>
      <w:r w:rsidR="00863E39">
        <w:rPr>
          <w:rFonts w:ascii="Times New Roman" w:eastAsia="Times New Roman" w:hAnsi="Times New Roman" w:cs="Times New Roman"/>
          <w:lang w:val="en-GB"/>
        </w:rPr>
        <w:t xml:space="preserve">declining </w:t>
      </w:r>
      <w:r w:rsidR="005758BB">
        <w:rPr>
          <w:rFonts w:ascii="Times New Roman" w:eastAsia="Times New Roman" w:hAnsi="Times New Roman" w:cs="Times New Roman"/>
          <w:lang w:val="en-GB"/>
        </w:rPr>
        <w:t>caviar sei</w:t>
      </w:r>
      <w:r w:rsidR="00E00AD6">
        <w:rPr>
          <w:rFonts w:ascii="Times New Roman" w:eastAsia="Times New Roman" w:hAnsi="Times New Roman" w:cs="Times New Roman"/>
          <w:lang w:val="en-GB"/>
        </w:rPr>
        <w:t>zures overlook</w:t>
      </w:r>
      <w:r w:rsidR="00A967F4">
        <w:rPr>
          <w:rFonts w:ascii="Times New Roman" w:eastAsia="Times New Roman" w:hAnsi="Times New Roman" w:cs="Times New Roman"/>
          <w:lang w:val="en-GB"/>
        </w:rPr>
        <w:t xml:space="preserve"> these broader implications of the caviar trade regulations</w:t>
      </w:r>
      <w:r w:rsidR="005758BB">
        <w:rPr>
          <w:rFonts w:ascii="Times New Roman" w:eastAsia="Times New Roman" w:hAnsi="Times New Roman" w:cs="Times New Roman"/>
          <w:lang w:val="en-GB"/>
        </w:rPr>
        <w:t>.</w:t>
      </w:r>
      <w:r w:rsidR="00A967F4">
        <w:rPr>
          <w:rFonts w:ascii="Times New Roman" w:eastAsia="Times New Roman" w:hAnsi="Times New Roman" w:cs="Times New Roman"/>
          <w:lang w:val="en-GB"/>
        </w:rPr>
        <w:t xml:space="preserve"> </w:t>
      </w:r>
      <w:r w:rsidR="00863E39">
        <w:rPr>
          <w:rFonts w:ascii="Times New Roman" w:eastAsia="Times New Roman" w:hAnsi="Times New Roman" w:cs="Times New Roman"/>
          <w:lang w:val="en-GB"/>
        </w:rPr>
        <w:t>This chapter therefore contributes to the main argument of the thesis, by demonstrating that regulations designed to prevent illegal caviar trade have not completely prevented illegal caviar trade</w:t>
      </w:r>
      <w:r w:rsidR="00282F9F">
        <w:rPr>
          <w:rFonts w:ascii="Times New Roman" w:eastAsia="Times New Roman" w:hAnsi="Times New Roman" w:cs="Times New Roman"/>
          <w:lang w:val="en-GB"/>
        </w:rPr>
        <w:t xml:space="preserve"> in the EU, and have had other significant unintended impacts</w:t>
      </w:r>
      <w:r w:rsidR="00863E39">
        <w:rPr>
          <w:rFonts w:ascii="Times New Roman" w:eastAsia="Times New Roman" w:hAnsi="Times New Roman" w:cs="Times New Roman"/>
          <w:lang w:val="en-GB"/>
        </w:rPr>
        <w:t xml:space="preserve">. </w:t>
      </w:r>
      <w:r w:rsidR="00282F9F">
        <w:rPr>
          <w:rFonts w:ascii="Times New Roman" w:eastAsia="Times New Roman" w:hAnsi="Times New Roman" w:cs="Times New Roman"/>
          <w:lang w:val="en-GB"/>
        </w:rPr>
        <w:t xml:space="preserve">Indeed, due to a number of oversights in the regulatory frameworks (such as the lack of provision for sturgeon fishing communities impacted by the establishment of zero export quotas and fishing bans), the economic insecurity for already marginalised groups has been heightened, and prompted participation in sturgeon crimes. </w:t>
      </w:r>
    </w:p>
    <w:p w14:paraId="0B978E65" w14:textId="6EEA4DEC" w:rsidR="00AC10E7" w:rsidRPr="00E00AD6" w:rsidRDefault="00A967F4" w:rsidP="009C104B">
      <w:pPr>
        <w:pStyle w:val="Normal1"/>
        <w:spacing w:after="160" w:line="360" w:lineRule="auto"/>
        <w:ind w:firstLine="720"/>
        <w:jc w:val="both"/>
        <w:rPr>
          <w:rFonts w:ascii="Times New Roman" w:eastAsia="Times New Roman" w:hAnsi="Times New Roman" w:cs="Times New Roman"/>
          <w:lang w:val="en-GB"/>
        </w:rPr>
      </w:pPr>
      <w:r>
        <w:rPr>
          <w:rFonts w:ascii="Times New Roman" w:eastAsia="Times New Roman" w:hAnsi="Times New Roman" w:cs="Times New Roman"/>
          <w:lang w:val="en-GB"/>
        </w:rPr>
        <w:t>This argument aligns with my theoretical framework for more-than-huma</w:t>
      </w:r>
      <w:r w:rsidR="00E00AD6">
        <w:rPr>
          <w:rFonts w:ascii="Times New Roman" w:eastAsia="Times New Roman" w:hAnsi="Times New Roman" w:cs="Times New Roman"/>
          <w:lang w:val="en-GB"/>
        </w:rPr>
        <w:t xml:space="preserve">n geopolitical ecology </w:t>
      </w:r>
      <w:r>
        <w:rPr>
          <w:rFonts w:ascii="Times New Roman" w:eastAsia="Times New Roman" w:hAnsi="Times New Roman" w:cs="Times New Roman"/>
          <w:lang w:val="en-GB"/>
        </w:rPr>
        <w:t xml:space="preserve">in a number of ways. First, </w:t>
      </w:r>
      <w:r w:rsidR="00E00AD6">
        <w:rPr>
          <w:rFonts w:ascii="Times New Roman" w:eastAsia="Times New Roman" w:hAnsi="Times New Roman" w:cs="Times New Roman"/>
          <w:lang w:val="en-GB"/>
        </w:rPr>
        <w:t xml:space="preserve">in line with O’Lear (2018) </w:t>
      </w:r>
      <w:r>
        <w:rPr>
          <w:rFonts w:ascii="Times New Roman" w:eastAsia="Times New Roman" w:hAnsi="Times New Roman" w:cs="Times New Roman"/>
          <w:lang w:val="en-GB"/>
        </w:rPr>
        <w:t xml:space="preserve">I focus my analysis on deconstructing </w:t>
      </w:r>
      <w:r w:rsidR="00E07FA9">
        <w:rPr>
          <w:rFonts w:ascii="Times New Roman" w:eastAsia="Times New Roman" w:hAnsi="Times New Roman" w:cs="Times New Roman"/>
          <w:lang w:val="en-GB"/>
        </w:rPr>
        <w:t xml:space="preserve">the </w:t>
      </w:r>
      <w:r w:rsidR="00211153">
        <w:rPr>
          <w:rFonts w:ascii="Times New Roman" w:eastAsia="Times New Roman" w:hAnsi="Times New Roman" w:cs="Times New Roman"/>
          <w:lang w:val="en-GB"/>
        </w:rPr>
        <w:t>powerful policy discourses that</w:t>
      </w:r>
      <w:r w:rsidR="00E00AD6">
        <w:rPr>
          <w:rFonts w:ascii="Times New Roman" w:eastAsia="Times New Roman" w:hAnsi="Times New Roman" w:cs="Times New Roman"/>
          <w:lang w:val="en-GB"/>
        </w:rPr>
        <w:t xml:space="preserve"> cast a narrow and partial view on the geopolitical-ecological implications of caviar trade regulations in the EU. </w:t>
      </w:r>
      <w:r w:rsidR="00C818EF">
        <w:rPr>
          <w:rFonts w:ascii="Times New Roman" w:eastAsia="Times New Roman" w:hAnsi="Times New Roman" w:cs="Times New Roman"/>
          <w:lang w:val="en-GB"/>
        </w:rPr>
        <w:t>I demonstrate how seizure data is deployed as a pseudo-‘scientific’ fact in order</w:t>
      </w:r>
      <w:r w:rsidR="00FB0817">
        <w:rPr>
          <w:rFonts w:ascii="Times New Roman" w:eastAsia="Times New Roman" w:hAnsi="Times New Roman" w:cs="Times New Roman"/>
          <w:lang w:val="en-GB"/>
        </w:rPr>
        <w:t xml:space="preserve"> to stabilise these narratives, whilst simultaneously marginalising alternative narratives and voices. Building upon this, my discussion develops a</w:t>
      </w:r>
      <w:r w:rsidR="00775D3E">
        <w:rPr>
          <w:rFonts w:ascii="Times New Roman" w:eastAsia="Times New Roman" w:hAnsi="Times New Roman" w:cs="Times New Roman"/>
          <w:lang w:val="en-GB"/>
        </w:rPr>
        <w:t xml:space="preserve"> further</w:t>
      </w:r>
      <w:r w:rsidR="00FB0817">
        <w:rPr>
          <w:rFonts w:ascii="Times New Roman" w:eastAsia="Times New Roman" w:hAnsi="Times New Roman" w:cs="Times New Roman"/>
          <w:lang w:val="en-GB"/>
        </w:rPr>
        <w:t xml:space="preserve"> key dimension of more-than-human geopolitical ecology</w:t>
      </w:r>
      <w:r w:rsidR="00282F9F">
        <w:rPr>
          <w:rFonts w:ascii="Times New Roman" w:eastAsia="Times New Roman" w:hAnsi="Times New Roman" w:cs="Times New Roman"/>
          <w:lang w:val="en-GB"/>
        </w:rPr>
        <w:t xml:space="preserve">, by </w:t>
      </w:r>
      <w:r w:rsidR="00FB0817">
        <w:rPr>
          <w:rFonts w:ascii="Times New Roman" w:eastAsia="Times New Roman" w:hAnsi="Times New Roman" w:cs="Times New Roman"/>
          <w:lang w:val="en-GB"/>
        </w:rPr>
        <w:t xml:space="preserve">theorising the </w:t>
      </w:r>
      <w:r w:rsidR="00E00AD6">
        <w:rPr>
          <w:rFonts w:ascii="Times New Roman" w:eastAsia="Times New Roman" w:hAnsi="Times New Roman" w:cs="Times New Roman"/>
          <w:lang w:val="en-GB"/>
        </w:rPr>
        <w:t xml:space="preserve">unequal impacts of </w:t>
      </w:r>
      <w:r w:rsidR="00282F9F">
        <w:rPr>
          <w:rFonts w:ascii="Times New Roman" w:eastAsia="Times New Roman" w:hAnsi="Times New Roman" w:cs="Times New Roman"/>
          <w:lang w:val="en-GB"/>
        </w:rPr>
        <w:t xml:space="preserve">the regulatory frameworks on both human and nonhuman actors. </w:t>
      </w:r>
      <w:r w:rsidR="00E00AD6">
        <w:rPr>
          <w:rFonts w:ascii="Times New Roman" w:eastAsia="Times New Roman" w:hAnsi="Times New Roman" w:cs="Times New Roman"/>
          <w:lang w:val="en-GB"/>
        </w:rPr>
        <w:t>I make the case that the regulatory frameworks have benefitted certain individuals and groups such as the caviar industry, at the expense of less powerful groups including sturgeon-fishing communities.</w:t>
      </w:r>
      <w:r w:rsidR="00FB0817">
        <w:rPr>
          <w:rFonts w:ascii="Times New Roman" w:eastAsia="Times New Roman" w:hAnsi="Times New Roman" w:cs="Times New Roman"/>
          <w:lang w:val="en-GB"/>
        </w:rPr>
        <w:t xml:space="preserve"> </w:t>
      </w:r>
      <w:r w:rsidR="00F44D34">
        <w:rPr>
          <w:rFonts w:ascii="Times New Roman" w:eastAsia="Times New Roman" w:hAnsi="Times New Roman" w:cs="Times New Roman"/>
          <w:lang w:val="en-GB"/>
        </w:rPr>
        <w:t xml:space="preserve">Moreover, I show how the regulations and concomitant policy narratives </w:t>
      </w:r>
      <w:r w:rsidR="00282F9F">
        <w:rPr>
          <w:rFonts w:ascii="Times New Roman" w:eastAsia="Times New Roman" w:hAnsi="Times New Roman" w:cs="Times New Roman"/>
          <w:lang w:val="en-GB"/>
        </w:rPr>
        <w:t xml:space="preserve">have side-lined </w:t>
      </w:r>
      <w:r w:rsidR="00F44D34">
        <w:rPr>
          <w:rFonts w:ascii="Times New Roman" w:eastAsia="Times New Roman" w:hAnsi="Times New Roman" w:cs="Times New Roman"/>
          <w:lang w:val="en-GB"/>
        </w:rPr>
        <w:t xml:space="preserve">wild sturgeon and impeded conservation interventions in the EU. </w:t>
      </w:r>
    </w:p>
    <w:p w14:paraId="7749E2D7" w14:textId="6A86D261" w:rsidR="00BB026C" w:rsidRDefault="00AC10E7" w:rsidP="009C104B">
      <w:pPr>
        <w:pStyle w:val="Normal1"/>
        <w:spacing w:after="160" w:line="360" w:lineRule="auto"/>
        <w:jc w:val="both"/>
        <w:rPr>
          <w:rFonts w:ascii="Times New Roman" w:eastAsia="Times New Roman" w:hAnsi="Times New Roman" w:cs="Times New Roman"/>
        </w:rPr>
      </w:pPr>
      <w:r>
        <w:rPr>
          <w:rFonts w:ascii="Times New Roman" w:eastAsia="Times New Roman" w:hAnsi="Times New Roman" w:cs="Times New Roman"/>
        </w:rPr>
        <w:tab/>
        <w:t>The</w:t>
      </w:r>
      <w:r w:rsidR="00B348D5">
        <w:rPr>
          <w:rFonts w:ascii="Times New Roman" w:eastAsia="Times New Roman" w:hAnsi="Times New Roman" w:cs="Times New Roman"/>
        </w:rPr>
        <w:t xml:space="preserve"> chapter is structured as follows</w:t>
      </w:r>
      <w:r>
        <w:rPr>
          <w:rFonts w:ascii="Times New Roman" w:eastAsia="Times New Roman" w:hAnsi="Times New Roman" w:cs="Times New Roman"/>
        </w:rPr>
        <w:t xml:space="preserve">. </w:t>
      </w:r>
      <w:r>
        <w:rPr>
          <w:rFonts w:ascii="Times New Roman" w:eastAsia="Times New Roman" w:hAnsi="Times New Roman" w:cs="Times New Roman"/>
          <w:lang w:val="en-GB"/>
        </w:rPr>
        <w:t>S</w:t>
      </w:r>
      <w:r>
        <w:rPr>
          <w:rFonts w:ascii="Times New Roman" w:eastAsia="Times New Roman" w:hAnsi="Times New Roman" w:cs="Times New Roman"/>
        </w:rPr>
        <w:t xml:space="preserve">ection </w:t>
      </w:r>
      <w:r w:rsidR="00FB46AA">
        <w:rPr>
          <w:rFonts w:ascii="Times New Roman" w:eastAsia="Times New Roman" w:hAnsi="Times New Roman" w:cs="Times New Roman"/>
          <w:lang w:val="en-GB"/>
        </w:rPr>
        <w:t>4.1</w:t>
      </w:r>
      <w:r>
        <w:rPr>
          <w:rFonts w:ascii="Times New Roman" w:eastAsia="Times New Roman" w:hAnsi="Times New Roman" w:cs="Times New Roman"/>
          <w:lang w:val="en-GB"/>
        </w:rPr>
        <w:t xml:space="preserve"> </w:t>
      </w:r>
      <w:r>
        <w:rPr>
          <w:rFonts w:ascii="Times New Roman" w:eastAsia="Times New Roman" w:hAnsi="Times New Roman" w:cs="Times New Roman"/>
        </w:rPr>
        <w:t xml:space="preserve">outlines the regulatory frameworks in detail: providing the context for </w:t>
      </w:r>
      <w:r w:rsidR="00B348D5">
        <w:rPr>
          <w:rFonts w:ascii="Times New Roman" w:eastAsia="Times New Roman" w:hAnsi="Times New Roman" w:cs="Times New Roman"/>
        </w:rPr>
        <w:t xml:space="preserve">the creation of the regulations; </w:t>
      </w:r>
      <w:r>
        <w:rPr>
          <w:rFonts w:ascii="Times New Roman" w:eastAsia="Times New Roman" w:hAnsi="Times New Roman" w:cs="Times New Roman"/>
        </w:rPr>
        <w:t>expl</w:t>
      </w:r>
      <w:r w:rsidR="00B348D5">
        <w:rPr>
          <w:rFonts w:ascii="Times New Roman" w:eastAsia="Times New Roman" w:hAnsi="Times New Roman" w:cs="Times New Roman"/>
        </w:rPr>
        <w:t>aining what the regulations are;</w:t>
      </w:r>
      <w:r>
        <w:rPr>
          <w:rFonts w:ascii="Times New Roman" w:eastAsia="Times New Roman" w:hAnsi="Times New Roman" w:cs="Times New Roman"/>
        </w:rPr>
        <w:t xml:space="preserve"> </w:t>
      </w:r>
      <w:r w:rsidR="00B348D5">
        <w:rPr>
          <w:rFonts w:ascii="Times New Roman" w:eastAsia="Times New Roman" w:hAnsi="Times New Roman" w:cs="Times New Roman"/>
        </w:rPr>
        <w:t xml:space="preserve">identifying some of the inconsistencies in the regulations; and describing their implementation in the European Union. In section 4.2 I examine how some actors have framed the impacts of the EU caviar trade regulations as a ‘success’ </w:t>
      </w:r>
      <w:r>
        <w:rPr>
          <w:rFonts w:ascii="Times New Roman" w:eastAsia="Times New Roman" w:hAnsi="Times New Roman" w:cs="Times New Roman"/>
        </w:rPr>
        <w:t>exemplified by declining seizures of contraband caviar</w:t>
      </w:r>
      <w:r w:rsidR="00B348D5">
        <w:rPr>
          <w:rFonts w:ascii="Times New Roman" w:eastAsia="Times New Roman" w:hAnsi="Times New Roman" w:cs="Times New Roman"/>
        </w:rPr>
        <w:t xml:space="preserve">. I critically analyse these </w:t>
      </w:r>
      <w:r>
        <w:rPr>
          <w:rFonts w:ascii="Times New Roman" w:eastAsia="Times New Roman" w:hAnsi="Times New Roman" w:cs="Times New Roman"/>
        </w:rPr>
        <w:t>seizure data, and highlight the discrepanci</w:t>
      </w:r>
      <w:r w:rsidR="00B348D5">
        <w:rPr>
          <w:rFonts w:ascii="Times New Roman" w:eastAsia="Times New Roman" w:hAnsi="Times New Roman" w:cs="Times New Roman"/>
        </w:rPr>
        <w:t xml:space="preserve">es and absences inbuilt in these data. </w:t>
      </w:r>
      <w:r w:rsidR="00B348D5">
        <w:rPr>
          <w:rFonts w:ascii="Times New Roman" w:eastAsia="Times New Roman" w:hAnsi="Times New Roman" w:cs="Times New Roman"/>
          <w:lang w:val="en-GB"/>
        </w:rPr>
        <w:t>S</w:t>
      </w:r>
      <w:r>
        <w:rPr>
          <w:rFonts w:ascii="Times New Roman" w:eastAsia="Times New Roman" w:hAnsi="Times New Roman" w:cs="Times New Roman"/>
          <w:lang w:val="en-GB"/>
        </w:rPr>
        <w:t xml:space="preserve">ection </w:t>
      </w:r>
      <w:r w:rsidR="00FB46AA">
        <w:rPr>
          <w:rFonts w:ascii="Times New Roman" w:eastAsia="Times New Roman" w:hAnsi="Times New Roman" w:cs="Times New Roman"/>
          <w:lang w:val="en-GB"/>
        </w:rPr>
        <w:lastRenderedPageBreak/>
        <w:t xml:space="preserve">4.3 </w:t>
      </w:r>
      <w:r>
        <w:rPr>
          <w:rFonts w:ascii="Times New Roman" w:eastAsia="Times New Roman" w:hAnsi="Times New Roman" w:cs="Times New Roman"/>
        </w:rPr>
        <w:t>develop</w:t>
      </w:r>
      <w:r w:rsidR="00B348D5">
        <w:rPr>
          <w:rFonts w:ascii="Times New Roman" w:eastAsia="Times New Roman" w:hAnsi="Times New Roman" w:cs="Times New Roman"/>
        </w:rPr>
        <w:t>s</w:t>
      </w:r>
      <w:r>
        <w:rPr>
          <w:rFonts w:ascii="Times New Roman" w:eastAsia="Times New Roman" w:hAnsi="Times New Roman" w:cs="Times New Roman"/>
        </w:rPr>
        <w:t xml:space="preserve"> the argument that </w:t>
      </w:r>
      <w:r w:rsidR="00B348D5">
        <w:rPr>
          <w:rFonts w:ascii="Times New Roman" w:eastAsia="Times New Roman" w:hAnsi="Times New Roman" w:cs="Times New Roman"/>
        </w:rPr>
        <w:t>to assess the impact of EU caviar trade policies, it is imperative to look not only at levels of seizures but also at the overlooked political-ecological implications</w:t>
      </w:r>
      <w:r>
        <w:rPr>
          <w:rFonts w:ascii="Times New Roman" w:eastAsia="Times New Roman" w:hAnsi="Times New Roman" w:cs="Times New Roman"/>
        </w:rPr>
        <w:t xml:space="preserve"> of </w:t>
      </w:r>
      <w:r w:rsidR="00B348D5">
        <w:rPr>
          <w:rFonts w:ascii="Times New Roman" w:eastAsia="Times New Roman" w:hAnsi="Times New Roman" w:cs="Times New Roman"/>
        </w:rPr>
        <w:t xml:space="preserve">the </w:t>
      </w:r>
      <w:r>
        <w:rPr>
          <w:rFonts w:ascii="Times New Roman" w:eastAsia="Times New Roman" w:hAnsi="Times New Roman" w:cs="Times New Roman"/>
        </w:rPr>
        <w:t xml:space="preserve">regulations. In particular, I argue that attention should be paid to the impact of the regulations upon </w:t>
      </w:r>
      <w:r w:rsidR="00BB026C">
        <w:rPr>
          <w:rFonts w:ascii="Times New Roman" w:eastAsia="Times New Roman" w:hAnsi="Times New Roman" w:cs="Times New Roman"/>
        </w:rPr>
        <w:t xml:space="preserve">sturgeon </w:t>
      </w:r>
      <w:r>
        <w:rPr>
          <w:rFonts w:ascii="Times New Roman" w:eastAsia="Times New Roman" w:hAnsi="Times New Roman" w:cs="Times New Roman"/>
        </w:rPr>
        <w:t>fishing communities</w:t>
      </w:r>
      <w:r w:rsidR="00BB026C">
        <w:rPr>
          <w:rFonts w:ascii="Times New Roman" w:eastAsia="Times New Roman" w:hAnsi="Times New Roman" w:cs="Times New Roman"/>
        </w:rPr>
        <w:t xml:space="preserve"> and wild sturgeon populations; </w:t>
      </w:r>
      <w:r>
        <w:rPr>
          <w:rFonts w:ascii="Times New Roman" w:eastAsia="Times New Roman" w:hAnsi="Times New Roman" w:cs="Times New Roman"/>
        </w:rPr>
        <w:t xml:space="preserve">dimensions which are not accounted for - but add necessary nuance </w:t>
      </w:r>
      <w:r w:rsidR="00BB026C">
        <w:rPr>
          <w:rFonts w:ascii="Times New Roman" w:eastAsia="Times New Roman" w:hAnsi="Times New Roman" w:cs="Times New Roman"/>
        </w:rPr>
        <w:t>–</w:t>
      </w:r>
      <w:r>
        <w:rPr>
          <w:rFonts w:ascii="Times New Roman" w:eastAsia="Times New Roman" w:hAnsi="Times New Roman" w:cs="Times New Roman"/>
        </w:rPr>
        <w:t xml:space="preserve"> </w:t>
      </w:r>
      <w:r w:rsidR="00BB026C">
        <w:rPr>
          <w:rFonts w:ascii="Times New Roman" w:eastAsia="Times New Roman" w:hAnsi="Times New Roman" w:cs="Times New Roman"/>
        </w:rPr>
        <w:t>to the narratives that deploy seizure data to tell a ‘success’ story about the impact of</w:t>
      </w:r>
      <w:r w:rsidR="00605089">
        <w:rPr>
          <w:rFonts w:ascii="Times New Roman" w:eastAsia="Times New Roman" w:hAnsi="Times New Roman" w:cs="Times New Roman"/>
        </w:rPr>
        <w:t xml:space="preserve"> EU caviar trade regulations</w:t>
      </w:r>
      <w:r w:rsidR="00BB026C">
        <w:rPr>
          <w:rFonts w:ascii="Times New Roman" w:eastAsia="Times New Roman" w:hAnsi="Times New Roman" w:cs="Times New Roman"/>
        </w:rPr>
        <w:t>.</w:t>
      </w:r>
    </w:p>
    <w:p w14:paraId="073E2E7C" w14:textId="77777777" w:rsidR="00AC10E7" w:rsidRPr="009F7F42" w:rsidRDefault="00AC10E7" w:rsidP="00AC10E7">
      <w:pPr>
        <w:pStyle w:val="Normal1"/>
        <w:spacing w:line="360" w:lineRule="auto"/>
        <w:jc w:val="both"/>
        <w:rPr>
          <w:rFonts w:ascii="Times New Roman" w:eastAsia="Times New Roman" w:hAnsi="Times New Roman" w:cs="Times New Roman"/>
          <w:lang w:val="en-GB"/>
        </w:rPr>
      </w:pPr>
    </w:p>
    <w:p w14:paraId="7789FF6B" w14:textId="2444B77C" w:rsidR="00AC10E7" w:rsidRDefault="00FB46AA" w:rsidP="00AC10E7">
      <w:pPr>
        <w:pStyle w:val="Heading2"/>
      </w:pPr>
      <w:bookmarkStart w:id="38" w:name="_Toc453224211"/>
      <w:r>
        <w:t>4</w:t>
      </w:r>
      <w:r w:rsidR="00AC10E7">
        <w:t>.1 Regulating the caviar trade in the European Union</w:t>
      </w:r>
      <w:bookmarkEnd w:id="38"/>
      <w:r w:rsidR="00AC10E7">
        <w:t xml:space="preserve"> </w:t>
      </w:r>
    </w:p>
    <w:p w14:paraId="0418AACE" w14:textId="3E9E5BFB" w:rsidR="00AC10E7" w:rsidRPr="00F3395B" w:rsidRDefault="00AC10E7" w:rsidP="0025452A">
      <w:pPr>
        <w:pStyle w:val="Normal1"/>
        <w:spacing w:after="160" w:line="360" w:lineRule="auto"/>
        <w:jc w:val="both"/>
        <w:rPr>
          <w:rFonts w:ascii="Times New Roman" w:eastAsia="Times New Roman" w:hAnsi="Times New Roman" w:cs="Times New Roman"/>
          <w:bCs/>
          <w:lang w:val="en-GB"/>
        </w:rPr>
      </w:pPr>
      <w:r>
        <w:rPr>
          <w:rFonts w:ascii="Times New Roman" w:eastAsia="Times New Roman" w:hAnsi="Times New Roman" w:cs="Times New Roman"/>
          <w:bCs/>
          <w:lang w:val="en-GB"/>
        </w:rPr>
        <w:t xml:space="preserve">In order to analyse the variegated impacts </w:t>
      </w:r>
      <w:r w:rsidR="00FB46AA">
        <w:rPr>
          <w:rFonts w:ascii="Times New Roman" w:eastAsia="Times New Roman" w:hAnsi="Times New Roman" w:cs="Times New Roman"/>
          <w:bCs/>
          <w:lang w:val="en-GB"/>
        </w:rPr>
        <w:t xml:space="preserve">of </w:t>
      </w:r>
      <w:r>
        <w:rPr>
          <w:rFonts w:ascii="Times New Roman" w:eastAsia="Times New Roman" w:hAnsi="Times New Roman" w:cs="Times New Roman"/>
          <w:bCs/>
          <w:lang w:val="en-GB"/>
        </w:rPr>
        <w:t>EU caviar trade regulations, it is firstly imperative</w:t>
      </w:r>
      <w:r w:rsidR="008A009E">
        <w:rPr>
          <w:rFonts w:ascii="Times New Roman" w:eastAsia="Times New Roman" w:hAnsi="Times New Roman" w:cs="Times New Roman"/>
          <w:bCs/>
          <w:lang w:val="en-GB"/>
        </w:rPr>
        <w:t xml:space="preserve"> to situate the regulations in their</w:t>
      </w:r>
      <w:r>
        <w:rPr>
          <w:rFonts w:ascii="Times New Roman" w:eastAsia="Times New Roman" w:hAnsi="Times New Roman" w:cs="Times New Roman"/>
          <w:bCs/>
          <w:lang w:val="en-GB"/>
        </w:rPr>
        <w:t xml:space="preserve"> broader context. This section outlines why and how the caviar trade became highly regulated in the European Union. In describing the major mechanisms of the regulatory frameworks I begin to demonstrate how the global caviar industry has changed since the listing of sturgeon on CITES. I </w:t>
      </w:r>
      <w:r w:rsidR="00CC32FA">
        <w:rPr>
          <w:rFonts w:ascii="Times New Roman" w:eastAsia="Times New Roman" w:hAnsi="Times New Roman" w:cs="Times New Roman"/>
          <w:bCs/>
          <w:lang w:val="en-GB"/>
        </w:rPr>
        <w:t xml:space="preserve">also </w:t>
      </w:r>
      <w:r w:rsidR="008A009E">
        <w:rPr>
          <w:rFonts w:ascii="Times New Roman" w:eastAsia="Times New Roman" w:hAnsi="Times New Roman" w:cs="Times New Roman"/>
          <w:bCs/>
          <w:lang w:val="en-GB"/>
        </w:rPr>
        <w:t>start to identify</w:t>
      </w:r>
      <w:r>
        <w:rPr>
          <w:rFonts w:ascii="Times New Roman" w:eastAsia="Times New Roman" w:hAnsi="Times New Roman" w:cs="Times New Roman"/>
          <w:bCs/>
          <w:lang w:val="en-GB"/>
        </w:rPr>
        <w:t xml:space="preserve"> gaps and grey ar</w:t>
      </w:r>
      <w:r w:rsidR="00CC32FA">
        <w:rPr>
          <w:rFonts w:ascii="Times New Roman" w:eastAsia="Times New Roman" w:hAnsi="Times New Roman" w:cs="Times New Roman"/>
          <w:bCs/>
          <w:lang w:val="en-GB"/>
        </w:rPr>
        <w:t>eas in caviar trade regulations</w:t>
      </w:r>
      <w:r>
        <w:rPr>
          <w:rFonts w:ascii="Times New Roman" w:eastAsia="Times New Roman" w:hAnsi="Times New Roman" w:cs="Times New Roman"/>
          <w:bCs/>
          <w:lang w:val="en-GB"/>
        </w:rPr>
        <w:t>. Deconstructing the regulations and highlighting their inconsistencies is an important foundation for the arguments made in this chapter</w:t>
      </w:r>
      <w:r w:rsidR="00CC32FA">
        <w:rPr>
          <w:rFonts w:ascii="Times New Roman" w:eastAsia="Times New Roman" w:hAnsi="Times New Roman" w:cs="Times New Roman"/>
          <w:bCs/>
          <w:lang w:val="en-GB"/>
        </w:rPr>
        <w:t xml:space="preserve"> and the </w:t>
      </w:r>
      <w:r w:rsidR="00216F7D">
        <w:rPr>
          <w:rFonts w:ascii="Times New Roman" w:eastAsia="Times New Roman" w:hAnsi="Times New Roman" w:cs="Times New Roman"/>
          <w:bCs/>
          <w:lang w:val="en-GB"/>
        </w:rPr>
        <w:t>following chapters</w:t>
      </w:r>
      <w:r>
        <w:rPr>
          <w:rFonts w:ascii="Times New Roman" w:eastAsia="Times New Roman" w:hAnsi="Times New Roman" w:cs="Times New Roman"/>
          <w:bCs/>
          <w:lang w:val="en-GB"/>
        </w:rPr>
        <w:t xml:space="preserve">. I argue that the regulations have impacts beyond </w:t>
      </w:r>
      <w:r w:rsidR="008A009E">
        <w:rPr>
          <w:rFonts w:ascii="Times New Roman" w:eastAsia="Times New Roman" w:hAnsi="Times New Roman" w:cs="Times New Roman"/>
          <w:bCs/>
          <w:lang w:val="en-GB"/>
        </w:rPr>
        <w:t xml:space="preserve">declining seizures of caviar in the EU. Some of these overlooked impacts are a direct result of gaps and grey areas in the regulations. So, it is necessary to </w:t>
      </w:r>
      <w:r>
        <w:rPr>
          <w:rFonts w:ascii="Times New Roman" w:eastAsia="Times New Roman" w:hAnsi="Times New Roman" w:cs="Times New Roman"/>
          <w:bCs/>
          <w:lang w:val="en-GB"/>
        </w:rPr>
        <w:t xml:space="preserve">first reflect upon the context and specificities of regulating caviar trade in the EU. </w:t>
      </w:r>
    </w:p>
    <w:p w14:paraId="415D48EC" w14:textId="77777777" w:rsidR="00AC10E7" w:rsidRDefault="00AC10E7" w:rsidP="00AC10E7">
      <w:pPr>
        <w:pStyle w:val="Normal1"/>
        <w:spacing w:line="360" w:lineRule="auto"/>
        <w:jc w:val="both"/>
        <w:rPr>
          <w:rFonts w:ascii="Times New Roman" w:eastAsia="Times New Roman" w:hAnsi="Times New Roman" w:cs="Times New Roman"/>
          <w:u w:val="single"/>
          <w:lang w:val="en-GB"/>
        </w:rPr>
      </w:pPr>
    </w:p>
    <w:p w14:paraId="32C36665" w14:textId="1AD6DD59" w:rsidR="00AC10E7" w:rsidRDefault="00FB46AA" w:rsidP="00AC10E7">
      <w:pPr>
        <w:pStyle w:val="Heading3"/>
      </w:pPr>
      <w:bookmarkStart w:id="39" w:name="_Toc453224212"/>
      <w:r>
        <w:t>4</w:t>
      </w:r>
      <w:r w:rsidR="00CC32FA">
        <w:t>.1.1</w:t>
      </w:r>
      <w:r w:rsidR="00AC10E7">
        <w:t xml:space="preserve"> Background to the CITES listing of sturgeon</w:t>
      </w:r>
      <w:bookmarkEnd w:id="39"/>
      <w:r w:rsidR="00AC10E7">
        <w:t xml:space="preserve"> </w:t>
      </w:r>
    </w:p>
    <w:p w14:paraId="0D3BF04F" w14:textId="6B175274" w:rsidR="00AC10E7" w:rsidRPr="009023E6" w:rsidRDefault="00AC10E7" w:rsidP="0025452A">
      <w:pPr>
        <w:pStyle w:val="Normal1"/>
        <w:spacing w:after="160" w:line="360" w:lineRule="auto"/>
        <w:jc w:val="both"/>
        <w:rPr>
          <w:rFonts w:ascii="Times New Roman" w:eastAsia="Times New Roman" w:hAnsi="Times New Roman" w:cs="Times New Roman"/>
        </w:rPr>
      </w:pPr>
      <w:r w:rsidRPr="009023E6">
        <w:rPr>
          <w:rFonts w:ascii="Times New Roman" w:eastAsia="Times New Roman" w:hAnsi="Times New Roman" w:cs="Times New Roman"/>
        </w:rPr>
        <w:t xml:space="preserve">In April 1998, following decisions made at the 10th CITES Conference of the Parties (CoP10) in Harare, Zimbabwe in June 1997, </w:t>
      </w:r>
      <w:r w:rsidR="00051FAA" w:rsidRPr="009023E6">
        <w:rPr>
          <w:rFonts w:ascii="Times New Roman" w:eastAsia="Times New Roman" w:hAnsi="Times New Roman" w:cs="Times New Roman"/>
        </w:rPr>
        <w:t xml:space="preserve">all 27 species of sturgeon and paddlefish were listed on the CITES appendices. </w:t>
      </w:r>
      <w:r w:rsidRPr="009023E6">
        <w:rPr>
          <w:rFonts w:ascii="Times New Roman" w:eastAsia="Times New Roman" w:hAnsi="Times New Roman" w:cs="Times New Roman"/>
        </w:rPr>
        <w:t xml:space="preserve">Prior to this, there had been no universal control mechanisms to regulate the international trade in sturgeon and caviar. Although strict fisheries regulations previously existed in the Caspian Sea </w:t>
      </w:r>
      <w:r w:rsidRPr="009023E6">
        <w:rPr>
          <w:rFonts w:ascii="Times New Roman" w:eastAsia="Times New Roman" w:hAnsi="Times New Roman" w:cs="Times New Roman"/>
          <w:lang w:val="en-GB"/>
        </w:rPr>
        <w:t xml:space="preserve">- </w:t>
      </w:r>
      <w:r w:rsidRPr="009023E6">
        <w:rPr>
          <w:rFonts w:ascii="Times New Roman" w:eastAsia="Times New Roman" w:hAnsi="Times New Roman" w:cs="Times New Roman"/>
        </w:rPr>
        <w:t xml:space="preserve">where </w:t>
      </w:r>
      <w:r w:rsidRPr="009023E6">
        <w:rPr>
          <w:rFonts w:ascii="Times New Roman" w:eastAsia="Times New Roman" w:hAnsi="Times New Roman" w:cs="Times New Roman"/>
          <w:lang w:val="en-GB"/>
        </w:rPr>
        <w:t xml:space="preserve">90% of the world’s caviar historically originated </w:t>
      </w:r>
      <w:r w:rsidR="00CC32FA" w:rsidRPr="009023E6">
        <w:rPr>
          <w:rFonts w:ascii="Times New Roman" w:eastAsia="Times New Roman" w:hAnsi="Times New Roman" w:cs="Times New Roman"/>
          <w:lang w:val="en-GB"/>
        </w:rPr>
        <w:fldChar w:fldCharType="begin" w:fldLock="1"/>
      </w:r>
      <w:r w:rsidR="00B14782" w:rsidRPr="009023E6">
        <w:rPr>
          <w:rFonts w:ascii="Times New Roman" w:eastAsia="Times New Roman" w:hAnsi="Times New Roman" w:cs="Times New Roman"/>
          <w:lang w:val="en-GB"/>
        </w:rPr>
        <w:instrText>ADDIN CSL_CITATION {"citationItems":[{"id":"ITEM-1","itemData":{"DOI":"10.1038/35084355","ISSN":"0028-0836","author":[{"dropping-particle":"","family":"Goodman","given":"Sally","non-dropping-particle":"","parse-names":false,"suffix":""}],"container-title":"Nature","id":"ITEM-1","issue":"6843","issued":{"date-parts":[["2001","7"]]},"page":"108-108","title":"Battle to save beleaguered beluga","type":"article-journal","volume":"412"},"uris":["http://www.mendeley.com/documents/?uuid=ab95cdd1-82e0-30f3-8fb5-2d16bd00d43d"]}],"mendeley":{"formattedCitation":"(Goodman, 2001)","plainTextFormattedCitation":"(Goodman, 2001)","previouslyFormattedCitation":"(Goodman, 2001)"},"properties":{"noteIndex":0},"schema":"https://github.com/citation-style-language/schema/raw/master/csl-citation.json"}</w:instrText>
      </w:r>
      <w:r w:rsidR="00CC32FA" w:rsidRPr="009023E6">
        <w:rPr>
          <w:rFonts w:ascii="Times New Roman" w:eastAsia="Times New Roman" w:hAnsi="Times New Roman" w:cs="Times New Roman"/>
          <w:lang w:val="en-GB"/>
        </w:rPr>
        <w:fldChar w:fldCharType="separate"/>
      </w:r>
      <w:r w:rsidR="00CC32FA" w:rsidRPr="009023E6">
        <w:rPr>
          <w:rFonts w:ascii="Times New Roman" w:eastAsia="Times New Roman" w:hAnsi="Times New Roman" w:cs="Times New Roman"/>
          <w:noProof/>
          <w:lang w:val="en-GB"/>
        </w:rPr>
        <w:t>(Goodman, 2001)</w:t>
      </w:r>
      <w:r w:rsidR="00CC32FA" w:rsidRPr="009023E6">
        <w:rPr>
          <w:rFonts w:ascii="Times New Roman" w:eastAsia="Times New Roman" w:hAnsi="Times New Roman" w:cs="Times New Roman"/>
          <w:lang w:val="en-GB"/>
        </w:rPr>
        <w:fldChar w:fldCharType="end"/>
      </w:r>
      <w:r w:rsidR="00CC32FA" w:rsidRPr="009023E6">
        <w:rPr>
          <w:rFonts w:ascii="Times New Roman" w:eastAsia="Times New Roman" w:hAnsi="Times New Roman" w:cs="Times New Roman"/>
          <w:lang w:val="en-GB"/>
        </w:rPr>
        <w:t xml:space="preserve"> </w:t>
      </w:r>
      <w:r w:rsidRPr="009023E6">
        <w:rPr>
          <w:rFonts w:ascii="Times New Roman" w:eastAsia="Times New Roman" w:hAnsi="Times New Roman" w:cs="Times New Roman"/>
          <w:lang w:val="en-GB"/>
        </w:rPr>
        <w:t>–</w:t>
      </w:r>
      <w:r w:rsidRPr="009023E6">
        <w:rPr>
          <w:rFonts w:ascii="Times New Roman" w:eastAsia="Times New Roman" w:hAnsi="Times New Roman" w:cs="Times New Roman"/>
        </w:rPr>
        <w:t xml:space="preserve"> these fisheries controls were eradicated after the collapse of the Soviet Union in 1991. By the mid 1990s it was becoming increasingly apparent that international </w:t>
      </w:r>
      <w:r w:rsidRPr="009023E6">
        <w:rPr>
          <w:rFonts w:ascii="Times New Roman" w:eastAsia="Times New Roman" w:hAnsi="Times New Roman" w:cs="Times New Roman"/>
          <w:lang w:val="en-GB"/>
        </w:rPr>
        <w:t xml:space="preserve">trade </w:t>
      </w:r>
      <w:r w:rsidRPr="009023E6">
        <w:rPr>
          <w:rFonts w:ascii="Times New Roman" w:eastAsia="Times New Roman" w:hAnsi="Times New Roman" w:cs="Times New Roman"/>
        </w:rPr>
        <w:t>control mechanisms were urgently required. Sturgeon stocks were plummeting in the wild, whilst imports of caviar into Western European s</w:t>
      </w:r>
      <w:r w:rsidR="00CC32FA" w:rsidRPr="009023E6">
        <w:rPr>
          <w:rFonts w:ascii="Times New Roman" w:eastAsia="Times New Roman" w:hAnsi="Times New Roman" w:cs="Times New Roman"/>
        </w:rPr>
        <w:t>tates such as Germany showed a “</w:t>
      </w:r>
      <w:r w:rsidRPr="009023E6">
        <w:rPr>
          <w:rFonts w:ascii="Times New Roman" w:eastAsia="Times New Roman" w:hAnsi="Times New Roman" w:cs="Times New Roman"/>
        </w:rPr>
        <w:t>remarkable increase as a result of t</w:t>
      </w:r>
      <w:r w:rsidR="00CC32FA" w:rsidRPr="009023E6">
        <w:rPr>
          <w:rFonts w:ascii="Times New Roman" w:eastAsia="Times New Roman" w:hAnsi="Times New Roman" w:cs="Times New Roman"/>
        </w:rPr>
        <w:t>he intensive fishing operations”</w:t>
      </w:r>
      <w:r w:rsidRPr="009023E6">
        <w:rPr>
          <w:rFonts w:ascii="Times New Roman" w:eastAsia="Times New Roman" w:hAnsi="Times New Roman" w:cs="Times New Roman"/>
        </w:rPr>
        <w:t xml:space="preserve"> taking place in an unregulated manner amongst the former Soviet states bordering the Caspian Sea </w:t>
      </w:r>
      <w:r w:rsidRPr="009023E6">
        <w:rPr>
          <w:rFonts w:ascii="Times New Roman" w:eastAsia="Times New Roman" w:hAnsi="Times New Roman" w:cs="Times New Roman"/>
        </w:rPr>
        <w:fldChar w:fldCharType="begin" w:fldLock="1"/>
      </w:r>
      <w:r w:rsidR="00EC7F7E" w:rsidRPr="009023E6">
        <w:rPr>
          <w:rFonts w:ascii="Times New Roman" w:eastAsia="Times New Roman" w:hAnsi="Times New Roman" w:cs="Times New Roman"/>
        </w:rPr>
        <w:instrText>ADDIN CSL_CITATION {"citationItems":[{"id":"ITEM-1","itemData":{"ISBN":"2831704014","PMID":"4334630","abstract":"The situation regarding the worldwide stocks of sturgeons used for caviar production is alarming. Many of the stocks are in decline and some species are in danger of extinction. The economic changes and financial problems in the former Soviet Union (FSU) have led to uncontrolled exploitation of sturgeon stocks. Previously successful breeding programmes have been curtailed because of financial problems and falling numbers of mature females needed for breeding. The FAO estimates that the sturgeon population has recently been reduced by 50% in the FSU. The quality of caviar has also worsened. With repackaging, bartering and smuggling, the caviar trade is increasingly affected by crime. Other factors which are jointly responsible for the sturgeons' decline include the destruction of their spawning grounds, the building of migration barriers and water pollution. The common sturgeon (Acipenser sturio) is now virtually extinct in the northern, western and central Europe. In the FSU, however, it is still possible that sturgeon populations can be saved and thereby guarantee the long-term production of caviar.","author":[{"dropping-particle":"","family":"Birstein","given":"V J","non-dropping-particle":"","parse-names":false,"suffix":""},{"dropping-particle":"","family":"Bauer","given":"A","non-dropping-particle":"","parse-names":false,"suffix":""},{"dropping-particle":"","family":"Kaiser-Pohlmann","given":"A","non-dropping-particle":"","parse-names":false,"suffix":""}],"id":"ITEM-1","issue":"17","issued":{"date-parts":[["1995"]]},"number-of-pages":"93","title":"Sturgeon stocks and caviar trade workshop","type":"report"},"uris":["http://www.mendeley.com/documents/?uuid=982a44d6-4d4c-3e69-9207-84682e384764"]}],"mendeley":{"formattedCitation":"(Birstein, Bauer and Kaiser-Pohlmann, 1995)","manualFormatting":"(Birstein et al. ","plainTextFormattedCitation":"(Birstein, Bauer and Kaiser-Pohlmann, 1995)","previouslyFormattedCitation":"(Birstein, Bauer and Kaiser-Pohlmann, 1995)"},"properties":{"noteIndex":0},"schema":"https://github.com/citation-style-language/schema/raw/master/csl-citation.json"}</w:instrText>
      </w:r>
      <w:r w:rsidRPr="009023E6">
        <w:rPr>
          <w:rFonts w:ascii="Times New Roman" w:eastAsia="Times New Roman" w:hAnsi="Times New Roman" w:cs="Times New Roman"/>
        </w:rPr>
        <w:fldChar w:fldCharType="separate"/>
      </w:r>
      <w:r w:rsidRPr="009023E6">
        <w:rPr>
          <w:rFonts w:ascii="Times New Roman" w:eastAsia="Times New Roman" w:hAnsi="Times New Roman" w:cs="Times New Roman"/>
          <w:noProof/>
        </w:rPr>
        <w:t xml:space="preserve">(Birstein </w:t>
      </w:r>
      <w:r w:rsidRPr="009023E6">
        <w:rPr>
          <w:rFonts w:ascii="Times New Roman" w:eastAsia="Times New Roman" w:hAnsi="Times New Roman" w:cs="Times New Roman"/>
          <w:i/>
          <w:noProof/>
        </w:rPr>
        <w:t>et al</w:t>
      </w:r>
      <w:r w:rsidRPr="009023E6">
        <w:rPr>
          <w:rFonts w:ascii="Times New Roman" w:eastAsia="Times New Roman" w:hAnsi="Times New Roman" w:cs="Times New Roman"/>
          <w:noProof/>
        </w:rPr>
        <w:t xml:space="preserve">. </w:t>
      </w:r>
      <w:r w:rsidRPr="009023E6">
        <w:rPr>
          <w:rFonts w:ascii="Times New Roman" w:eastAsia="Times New Roman" w:hAnsi="Times New Roman" w:cs="Times New Roman"/>
        </w:rPr>
        <w:fldChar w:fldCharType="end"/>
      </w:r>
      <w:r w:rsidRPr="009023E6">
        <w:rPr>
          <w:rFonts w:ascii="Times New Roman" w:eastAsia="Times New Roman" w:hAnsi="Times New Roman" w:cs="Times New Roman"/>
        </w:rPr>
        <w:t xml:space="preserve"> 1997: 4). </w:t>
      </w:r>
    </w:p>
    <w:p w14:paraId="4F7EC257" w14:textId="5CAB0822" w:rsidR="00AC10E7" w:rsidRPr="009023E6" w:rsidRDefault="00AC10E7" w:rsidP="0025452A">
      <w:pPr>
        <w:pStyle w:val="Normal1"/>
        <w:spacing w:after="160" w:line="360" w:lineRule="auto"/>
        <w:ind w:firstLine="720"/>
        <w:jc w:val="both"/>
        <w:rPr>
          <w:rFonts w:ascii="Times New Roman" w:eastAsia="Times New Roman" w:hAnsi="Times New Roman" w:cs="Times New Roman"/>
        </w:rPr>
      </w:pPr>
      <w:r w:rsidRPr="009023E6">
        <w:rPr>
          <w:rFonts w:ascii="Times New Roman" w:eastAsia="Times New Roman" w:hAnsi="Times New Roman" w:cs="Times New Roman"/>
        </w:rPr>
        <w:lastRenderedPageBreak/>
        <w:t>An IUCN</w:t>
      </w:r>
      <w:r w:rsidRPr="009023E6">
        <w:rPr>
          <w:rStyle w:val="FootnoteReference"/>
          <w:rFonts w:ascii="Times New Roman" w:hAnsi="Times New Roman" w:cs="Times New Roman"/>
        </w:rPr>
        <w:footnoteReference w:id="18"/>
      </w:r>
      <w:r w:rsidRPr="009023E6">
        <w:rPr>
          <w:rFonts w:ascii="Times New Roman" w:eastAsia="Times New Roman" w:hAnsi="Times New Roman" w:cs="Times New Roman"/>
        </w:rPr>
        <w:t xml:space="preserve"> workshop on ‘sturgeon stocks and caviar trade’ held in Bonn, Germany in October 1995 concluded that over-exploitation of sturgeon and poaching for caviar, were the main factors contributing to sturgeon decline</w:t>
      </w:r>
      <w:r w:rsidR="00051FAA" w:rsidRPr="009023E6">
        <w:rPr>
          <w:rFonts w:ascii="Times New Roman" w:eastAsia="Times New Roman" w:hAnsi="Times New Roman" w:cs="Times New Roman"/>
        </w:rPr>
        <w:t xml:space="preserve"> (see </w:t>
      </w:r>
      <w:r w:rsidR="00051FAA" w:rsidRPr="009023E6">
        <w:rPr>
          <w:rFonts w:ascii="Times New Roman" w:eastAsia="Times New Roman" w:hAnsi="Times New Roman" w:cs="Times New Roman"/>
        </w:rPr>
        <w:fldChar w:fldCharType="begin" w:fldLock="1"/>
      </w:r>
      <w:r w:rsidR="004C1513">
        <w:rPr>
          <w:rFonts w:ascii="Times New Roman" w:eastAsia="Times New Roman" w:hAnsi="Times New Roman" w:cs="Times New Roman"/>
        </w:rPr>
        <w:instrText>ADDIN CSL_CITATION {"citationItems":[{"id":"ITEM-1","itemData":{"ISBN":"2831704014","PMID":"4334630","abstract":"The situation regarding the worldwide stocks of sturgeons used for caviar production is alarming. Many of the stocks are in decline and some species are in danger of extinction. The economic changes and financial problems in the former Soviet Union (FSU) have led to uncontrolled exploitation of sturgeon stocks. Previously successful breeding programmes have been curtailed because of financial problems and falling numbers of mature females needed for breeding. The FAO estimates that the sturgeon population has recently been reduced by 50% in the FSU. The quality of caviar has also worsened. With repackaging, bartering and smuggling, the caviar trade is increasingly affected by crime. Other factors which are jointly responsible for the sturgeons' decline include the destruction of their spawning grounds, the building of migration barriers and water pollution. The common sturgeon (Acipenser sturio) is now virtually extinct in the northern, western and central Europe. In the FSU, however, it is still possible that sturgeon populations can be saved and thereby guarantee the long-term production of caviar.","author":[{"dropping-particle":"","family":"Birstein","given":"V J","non-dropping-particle":"","parse-names":false,"suffix":""},{"dropping-particle":"","family":"Bauer","given":"A","non-dropping-particle":"","parse-names":false,"suffix":""},{"dropping-particle":"","family":"Kaiser-Pohlmann","given":"A","non-dropping-particle":"","parse-names":false,"suffix":""}],"id":"ITEM-1","issue":"17","issued":{"date-parts":[["1995"]]},"number-of-pages":"93","title":"Sturgeon stocks and caviar trade workshop","type":"report"},"uris":["http://www.mendeley.com/documents/?uuid=982a44d6-4d4c-3e69-9207-84682e384764"]}],"mendeley":{"formattedCitation":"(Birstein, Bauer and Kaiser-Pohlmann, 1995)","manualFormatting":"Birstein et al. ","plainTextFormattedCitation":"(Birstein, Bauer and Kaiser-Pohlmann, 1995)","previouslyFormattedCitation":"(Birstein, Bauer and Kaiser-Pohlmann, 1995)"},"properties":{"noteIndex":0},"schema":"https://github.com/citation-style-language/schema/raw/master/csl-citation.json"}</w:instrText>
      </w:r>
      <w:r w:rsidR="00051FAA" w:rsidRPr="009023E6">
        <w:rPr>
          <w:rFonts w:ascii="Times New Roman" w:eastAsia="Times New Roman" w:hAnsi="Times New Roman" w:cs="Times New Roman"/>
        </w:rPr>
        <w:fldChar w:fldCharType="separate"/>
      </w:r>
      <w:r w:rsidR="00051FAA" w:rsidRPr="009023E6">
        <w:rPr>
          <w:rFonts w:ascii="Times New Roman" w:eastAsia="Times New Roman" w:hAnsi="Times New Roman" w:cs="Times New Roman"/>
          <w:noProof/>
        </w:rPr>
        <w:t xml:space="preserve">Birstein </w:t>
      </w:r>
      <w:r w:rsidR="00051FAA" w:rsidRPr="009023E6">
        <w:rPr>
          <w:rFonts w:ascii="Times New Roman" w:eastAsia="Times New Roman" w:hAnsi="Times New Roman" w:cs="Times New Roman"/>
          <w:i/>
          <w:noProof/>
        </w:rPr>
        <w:t>et al</w:t>
      </w:r>
      <w:r w:rsidR="00051FAA" w:rsidRPr="009023E6">
        <w:rPr>
          <w:rFonts w:ascii="Times New Roman" w:eastAsia="Times New Roman" w:hAnsi="Times New Roman" w:cs="Times New Roman"/>
          <w:noProof/>
        </w:rPr>
        <w:t xml:space="preserve">. </w:t>
      </w:r>
      <w:r w:rsidR="00051FAA" w:rsidRPr="009023E6">
        <w:rPr>
          <w:rFonts w:ascii="Times New Roman" w:eastAsia="Times New Roman" w:hAnsi="Times New Roman" w:cs="Times New Roman"/>
        </w:rPr>
        <w:fldChar w:fldCharType="end"/>
      </w:r>
      <w:r w:rsidR="00051FAA" w:rsidRPr="009023E6">
        <w:rPr>
          <w:rFonts w:ascii="Times New Roman" w:eastAsia="Times New Roman" w:hAnsi="Times New Roman" w:cs="Times New Roman"/>
        </w:rPr>
        <w:t xml:space="preserve"> 1997)</w:t>
      </w:r>
      <w:r w:rsidRPr="009023E6">
        <w:rPr>
          <w:rFonts w:ascii="Times New Roman" w:eastAsia="Times New Roman" w:hAnsi="Times New Roman" w:cs="Times New Roman"/>
        </w:rPr>
        <w:t>. Catalysed by the expert conclusions from this workshop, at the first World Conservation Congress held in Montreal, Canada in 1996, members of IUCN passed a resolution that urged parties to CITES to commence regulation of trade in sturgeon products by including all species of sturgeon and paddlefish in Appendix II of the Convention. Subsequently, the issue of the conservation of sturgeon was put forward as a proposal to be considered at the 13th meeting of the CITES Animal Committee in Pruhonice, Czech Republic in 1996. At this meeting, it was decided that the proposal should be put forward for adoption at the CITES CoP10 in 1997.</w:t>
      </w:r>
    </w:p>
    <w:p w14:paraId="4CF273EC" w14:textId="61D06D4C" w:rsidR="00AC10E7" w:rsidRPr="009023E6" w:rsidRDefault="00AC10E7" w:rsidP="0025452A">
      <w:pPr>
        <w:pStyle w:val="Normal1"/>
        <w:spacing w:after="160" w:line="360" w:lineRule="auto"/>
        <w:jc w:val="both"/>
        <w:rPr>
          <w:rFonts w:ascii="Times New Roman" w:eastAsia="Times New Roman" w:hAnsi="Times New Roman" w:cs="Times New Roman"/>
        </w:rPr>
      </w:pPr>
      <w:r w:rsidRPr="009023E6">
        <w:rPr>
          <w:rFonts w:ascii="Times New Roman" w:eastAsia="Times New Roman" w:hAnsi="Times New Roman" w:cs="Times New Roman"/>
        </w:rPr>
        <w:tab/>
        <w:t xml:space="preserve">The decision to include all 27 species of sturgeon and paddlefish on the CITES Appendices meant that from 1st April 1998 all international trade in live specimens of sturgeon, as well as derivatives including caviar, meat, leather, fertilised eggs and cartilage, were subject to </w:t>
      </w:r>
      <w:r w:rsidR="00051FAA" w:rsidRPr="009023E6">
        <w:rPr>
          <w:rFonts w:ascii="Times New Roman" w:eastAsia="Times New Roman" w:hAnsi="Times New Roman" w:cs="Times New Roman"/>
        </w:rPr>
        <w:t xml:space="preserve">international </w:t>
      </w:r>
      <w:r w:rsidRPr="009023E6">
        <w:rPr>
          <w:rFonts w:ascii="Times New Roman" w:eastAsia="Times New Roman" w:hAnsi="Times New Roman" w:cs="Times New Roman"/>
        </w:rPr>
        <w:t>regulation</w:t>
      </w:r>
      <w:r w:rsidR="00CC32FA" w:rsidRPr="009023E6">
        <w:rPr>
          <w:rFonts w:ascii="Times New Roman" w:eastAsia="Times New Roman" w:hAnsi="Times New Roman" w:cs="Times New Roman"/>
          <w:lang w:val="en-GB"/>
        </w:rPr>
        <w:t>. Most s</w:t>
      </w:r>
      <w:r w:rsidRPr="009023E6">
        <w:rPr>
          <w:rFonts w:ascii="Times New Roman" w:eastAsia="Times New Roman" w:hAnsi="Times New Roman" w:cs="Times New Roman"/>
          <w:lang w:val="en-GB"/>
        </w:rPr>
        <w:t xml:space="preserve">turgeon </w:t>
      </w:r>
      <w:r w:rsidRPr="009023E6">
        <w:rPr>
          <w:rFonts w:ascii="Times New Roman" w:eastAsia="Times New Roman" w:hAnsi="Times New Roman" w:cs="Times New Roman"/>
        </w:rPr>
        <w:t>and paddlefish are listed in CITES Appendix II, which determines that international commercial trade in these species is permitted under certain conditions whereby CITES import and export permits for international trade have been granted by the relevant CITES authorities. The exceptions to this are the Shortnose sturgeon (</w:t>
      </w:r>
      <w:r w:rsidRPr="009023E6">
        <w:rPr>
          <w:rFonts w:ascii="Times New Roman" w:eastAsia="Times New Roman" w:hAnsi="Times New Roman" w:cs="Times New Roman"/>
          <w:i/>
        </w:rPr>
        <w:t>A.brevirostrum</w:t>
      </w:r>
      <w:r w:rsidRPr="009023E6">
        <w:rPr>
          <w:rFonts w:ascii="Times New Roman" w:eastAsia="Times New Roman" w:hAnsi="Times New Roman" w:cs="Times New Roman"/>
        </w:rPr>
        <w:t>) and the Atlantic sturgeon (</w:t>
      </w:r>
      <w:r w:rsidRPr="009023E6">
        <w:rPr>
          <w:rFonts w:ascii="Times New Roman" w:eastAsia="Times New Roman" w:hAnsi="Times New Roman" w:cs="Times New Roman"/>
          <w:i/>
        </w:rPr>
        <w:t>A.Sturio</w:t>
      </w:r>
      <w:r w:rsidRPr="009023E6">
        <w:rPr>
          <w:rFonts w:ascii="Times New Roman" w:eastAsia="Times New Roman" w:hAnsi="Times New Roman" w:cs="Times New Roman"/>
        </w:rPr>
        <w:t>)</w:t>
      </w:r>
      <w:r w:rsidRPr="009023E6">
        <w:rPr>
          <w:rStyle w:val="FootnoteReference"/>
          <w:rFonts w:ascii="Times New Roman" w:hAnsi="Times New Roman" w:cs="Times New Roman"/>
        </w:rPr>
        <w:footnoteReference w:id="19"/>
      </w:r>
      <w:r w:rsidRPr="009023E6">
        <w:rPr>
          <w:rFonts w:ascii="Times New Roman" w:eastAsia="Times New Roman" w:hAnsi="Times New Roman" w:cs="Times New Roman"/>
        </w:rPr>
        <w:t xml:space="preserve"> which have even stricter trade regulations: the listing of the</w:t>
      </w:r>
      <w:r w:rsidR="00051FAA" w:rsidRPr="009023E6">
        <w:rPr>
          <w:rFonts w:ascii="Times New Roman" w:eastAsia="Times New Roman" w:hAnsi="Times New Roman" w:cs="Times New Roman"/>
        </w:rPr>
        <w:t>se</w:t>
      </w:r>
      <w:r w:rsidRPr="009023E6">
        <w:rPr>
          <w:rFonts w:ascii="Times New Roman" w:eastAsia="Times New Roman" w:hAnsi="Times New Roman" w:cs="Times New Roman"/>
        </w:rPr>
        <w:t xml:space="preserve"> species on Appendix I means that commercial</w:t>
      </w:r>
      <w:r w:rsidRPr="009023E6">
        <w:rPr>
          <w:rFonts w:ascii="Times New Roman" w:eastAsia="Times New Roman" w:hAnsi="Times New Roman" w:cs="Times New Roman"/>
          <w:lang w:val="en-GB"/>
        </w:rPr>
        <w:t xml:space="preserve"> international</w:t>
      </w:r>
      <w:r w:rsidRPr="009023E6">
        <w:rPr>
          <w:rFonts w:ascii="Times New Roman" w:eastAsia="Times New Roman" w:hAnsi="Times New Roman" w:cs="Times New Roman"/>
        </w:rPr>
        <w:t xml:space="preserve"> trade is prohibited.</w:t>
      </w:r>
    </w:p>
    <w:p w14:paraId="29D51D30" w14:textId="289BC3D3" w:rsidR="00B14782" w:rsidRPr="009023E6" w:rsidRDefault="00AC10E7" w:rsidP="0025452A">
      <w:pPr>
        <w:pStyle w:val="Normal1"/>
        <w:spacing w:after="160" w:line="360" w:lineRule="auto"/>
        <w:jc w:val="both"/>
        <w:rPr>
          <w:rFonts w:ascii="Times New Roman" w:eastAsia="Times New Roman" w:hAnsi="Times New Roman" w:cs="Times New Roman"/>
        </w:rPr>
      </w:pPr>
      <w:r w:rsidRPr="009023E6">
        <w:rPr>
          <w:rFonts w:ascii="Times New Roman" w:eastAsia="Times New Roman" w:hAnsi="Times New Roman" w:cs="Times New Roman"/>
        </w:rPr>
        <w:tab/>
      </w:r>
      <w:r w:rsidR="00051FAA" w:rsidRPr="009023E6">
        <w:rPr>
          <w:rFonts w:ascii="Times New Roman" w:eastAsia="Times New Roman" w:hAnsi="Times New Roman" w:cs="Times New Roman"/>
        </w:rPr>
        <w:t>Adding sturgeon to</w:t>
      </w:r>
      <w:r w:rsidRPr="009023E6">
        <w:rPr>
          <w:rFonts w:ascii="Times New Roman" w:eastAsia="Times New Roman" w:hAnsi="Times New Roman" w:cs="Times New Roman"/>
        </w:rPr>
        <w:t xml:space="preserve"> the CITES Appendices proved to be a momentous decision</w:t>
      </w:r>
      <w:r w:rsidRPr="009023E6">
        <w:rPr>
          <w:rFonts w:ascii="Times New Roman" w:eastAsia="Times New Roman" w:hAnsi="Times New Roman" w:cs="Times New Roman"/>
          <w:lang w:val="en-GB"/>
        </w:rPr>
        <w:t xml:space="preserve"> and task</w:t>
      </w:r>
      <w:r w:rsidRPr="009023E6">
        <w:rPr>
          <w:rFonts w:ascii="Times New Roman" w:eastAsia="Times New Roman" w:hAnsi="Times New Roman" w:cs="Times New Roman"/>
        </w:rPr>
        <w:t xml:space="preserve">. </w:t>
      </w:r>
      <w:r w:rsidRPr="009023E6">
        <w:rPr>
          <w:rFonts w:ascii="Times New Roman" w:eastAsia="Times New Roman" w:hAnsi="Times New Roman" w:cs="Times New Roman"/>
          <w:lang w:val="en-GB"/>
        </w:rPr>
        <w:t>The listing</w:t>
      </w:r>
      <w:r w:rsidRPr="009023E6">
        <w:rPr>
          <w:rFonts w:ascii="Times New Roman" w:eastAsia="Times New Roman" w:hAnsi="Times New Roman" w:cs="Times New Roman"/>
        </w:rPr>
        <w:t xml:space="preserve"> set the wheels in motion for further regulatory changes that have been implemented since 1998</w:t>
      </w:r>
      <w:r w:rsidR="00051FAA" w:rsidRPr="009023E6">
        <w:rPr>
          <w:rFonts w:ascii="Times New Roman" w:eastAsia="Times New Roman" w:hAnsi="Times New Roman" w:cs="Times New Roman"/>
        </w:rPr>
        <w:t>,</w:t>
      </w:r>
      <w:r w:rsidRPr="009023E6">
        <w:rPr>
          <w:rFonts w:ascii="Times New Roman" w:eastAsia="Times New Roman" w:hAnsi="Times New Roman" w:cs="Times New Roman"/>
          <w:lang w:val="en-GB"/>
        </w:rPr>
        <w:t xml:space="preserve"> and have fundamentally transformed the </w:t>
      </w:r>
      <w:r w:rsidR="00051FAA" w:rsidRPr="009023E6">
        <w:rPr>
          <w:rFonts w:ascii="Times New Roman" w:eastAsia="Times New Roman" w:hAnsi="Times New Roman" w:cs="Times New Roman"/>
          <w:lang w:val="en-GB"/>
        </w:rPr>
        <w:t>global dynamics</w:t>
      </w:r>
      <w:r w:rsidRPr="009023E6">
        <w:rPr>
          <w:rFonts w:ascii="Times New Roman" w:eastAsia="Times New Roman" w:hAnsi="Times New Roman" w:cs="Times New Roman"/>
          <w:lang w:val="en-GB"/>
        </w:rPr>
        <w:t xml:space="preserve"> of caviar trade</w:t>
      </w:r>
      <w:r w:rsidRPr="009023E6">
        <w:rPr>
          <w:rFonts w:ascii="Times New Roman" w:eastAsia="Times New Roman" w:hAnsi="Times New Roman" w:cs="Times New Roman"/>
        </w:rPr>
        <w:t xml:space="preserve">. These regulations (explained in the following section) make detailed provisions for how, and under what conditions, international trade in sturgeon and </w:t>
      </w:r>
      <w:r w:rsidR="00051FAA" w:rsidRPr="009023E6">
        <w:rPr>
          <w:rFonts w:ascii="Times New Roman" w:eastAsia="Times New Roman" w:hAnsi="Times New Roman" w:cs="Times New Roman"/>
        </w:rPr>
        <w:t xml:space="preserve">caviar </w:t>
      </w:r>
      <w:r w:rsidRPr="009023E6">
        <w:rPr>
          <w:rFonts w:ascii="Times New Roman" w:eastAsia="Times New Roman" w:hAnsi="Times New Roman" w:cs="Times New Roman"/>
        </w:rPr>
        <w:t>can take place. However, the creation, implementation and amendment of these regulatio</w:t>
      </w:r>
      <w:r w:rsidR="00051FAA" w:rsidRPr="009023E6">
        <w:rPr>
          <w:rFonts w:ascii="Times New Roman" w:eastAsia="Times New Roman" w:hAnsi="Times New Roman" w:cs="Times New Roman"/>
        </w:rPr>
        <w:t xml:space="preserve">ns has not been straightforward </w:t>
      </w:r>
      <w:r w:rsidRPr="009023E6">
        <w:rPr>
          <w:rFonts w:ascii="Times New Roman" w:eastAsia="Times New Roman" w:hAnsi="Times New Roman" w:cs="Times New Roman"/>
        </w:rPr>
        <w:t>and is still ongoing</w:t>
      </w:r>
      <w:r w:rsidRPr="009023E6">
        <w:rPr>
          <w:rFonts w:ascii="Times New Roman" w:eastAsia="Times New Roman" w:hAnsi="Times New Roman" w:cs="Times New Roman"/>
          <w:lang w:val="en-GB"/>
        </w:rPr>
        <w:t xml:space="preserve"> </w:t>
      </w:r>
      <w:r w:rsidRPr="009023E6">
        <w:rPr>
          <w:rFonts w:ascii="Times New Roman" w:eastAsia="Times New Roman" w:hAnsi="Times New Roman" w:cs="Times New Roman"/>
        </w:rPr>
        <w:t xml:space="preserve">over two decades since the initial CITES listing of sturgeon. Indeed, ex-chief of enforcement for CITES, John M.Sellar reflected during his introductory address </w:t>
      </w:r>
      <w:r w:rsidRPr="009023E6">
        <w:rPr>
          <w:rFonts w:ascii="Times New Roman" w:eastAsia="Times New Roman" w:hAnsi="Times New Roman" w:cs="Times New Roman"/>
          <w:lang w:val="en-GB"/>
        </w:rPr>
        <w:t>at</w:t>
      </w:r>
      <w:r w:rsidRPr="009023E6">
        <w:rPr>
          <w:rFonts w:ascii="Times New Roman" w:eastAsia="Times New Roman" w:hAnsi="Times New Roman" w:cs="Times New Roman"/>
        </w:rPr>
        <w:t xml:space="preserve"> a 2006 European Commission enforcement </w:t>
      </w:r>
      <w:r w:rsidR="00B14782" w:rsidRPr="009023E6">
        <w:rPr>
          <w:rFonts w:ascii="Times New Roman" w:eastAsia="Times New Roman" w:hAnsi="Times New Roman" w:cs="Times New Roman"/>
        </w:rPr>
        <w:t>workshop on caviar trade, how “</w:t>
      </w:r>
      <w:r w:rsidRPr="009023E6">
        <w:rPr>
          <w:rFonts w:ascii="Times New Roman" w:hAnsi="Times New Roman" w:cs="Times New Roman"/>
        </w:rPr>
        <w:t>it took some time before the CITES community fully appreciated just wha</w:t>
      </w:r>
      <w:r w:rsidR="00B14782" w:rsidRPr="009023E6">
        <w:rPr>
          <w:rFonts w:ascii="Times New Roman" w:hAnsi="Times New Roman" w:cs="Times New Roman"/>
        </w:rPr>
        <w:t>t an awesome task was before us”</w:t>
      </w:r>
      <w:r w:rsidRPr="009023E6">
        <w:rPr>
          <w:rFonts w:ascii="Times New Roman" w:hAnsi="Times New Roman" w:cs="Times New Roman"/>
        </w:rPr>
        <w:t xml:space="preserve"> </w:t>
      </w:r>
      <w:r w:rsidR="00B14782" w:rsidRPr="009023E6">
        <w:rPr>
          <w:rFonts w:ascii="Times New Roman" w:hAnsi="Times New Roman" w:cs="Times New Roman"/>
        </w:rPr>
        <w:t>and that the listing presented “</w:t>
      </w:r>
      <w:r w:rsidRPr="009023E6">
        <w:rPr>
          <w:rFonts w:ascii="Times New Roman" w:hAnsi="Times New Roman" w:cs="Times New Roman"/>
        </w:rPr>
        <w:t>a massive challenge, one that we have st</w:t>
      </w:r>
      <w:r w:rsidR="00B14782" w:rsidRPr="009023E6">
        <w:rPr>
          <w:rFonts w:ascii="Times New Roman" w:hAnsi="Times New Roman" w:cs="Times New Roman"/>
        </w:rPr>
        <w:t>ill fully to come to grips with”</w:t>
      </w:r>
      <w:r w:rsidRPr="009023E6">
        <w:rPr>
          <w:rFonts w:ascii="Times New Roman" w:hAnsi="Times New Roman" w:cs="Times New Roman"/>
        </w:rPr>
        <w:t xml:space="preserve"> (Sellar quoted in </w:t>
      </w:r>
      <w:r w:rsidR="00B14782" w:rsidRPr="009023E6">
        <w:rPr>
          <w:rFonts w:ascii="Times New Roman" w:hAnsi="Times New Roman" w:cs="Times New Roman"/>
        </w:rPr>
        <w:fldChar w:fldCharType="begin" w:fldLock="1"/>
      </w:r>
      <w:r w:rsidR="007F5D2E" w:rsidRPr="009023E6">
        <w:rPr>
          <w:rFonts w:ascii="Times New Roman" w:hAnsi="Times New Roman" w:cs="Times New Roman"/>
        </w:rPr>
        <w:instrText>ADDIN CSL_CITATION {"citationItems":[{"id":"ITEM-1","itemData":{"author":[{"dropping-particle":"","family":"Knapp","given":"A","non-dropping-particle":"","parse-names":false,"suffix":""},{"dropping-particle":"","family":"Kitschke","given":"C","non-dropping-particle":"","parse-names":false,"suffix":""},{"dropping-particle":"","family":"Meibom","given":"S","non-dropping-particle":"von","parse-names":false,"suffix":""},{"dropping-particle":"","family":"TRAFFIC Europe","given":"","non-dropping-particle":"","parse-names":false,"suffix":""}],"container-title":"Proceedings of the international sturgeon enforcement workshop to combat illegal trade in caviar","id":"ITEM-1","issue":"June","issued":{"date-parts":[["2006"]]},"page":"-","title":"Proceedings of the international sturgeon enforcement workshop to combat illegal trade in caviar","type":"article-journal"},"uris":["http://www.mendeley.com/documents/?uuid=b8a3bcce-00b8-43f0-ae25-12c603609b00"]}],"mendeley":{"formattedCitation":"(Knapp &lt;i&gt;et al.&lt;/i&gt;, 2006)","manualFormatting":"Knapp et al., 2006: 22)","plainTextFormattedCitation":"(Knapp et al., 2006)","previouslyFormattedCitation":"(Knapp &lt;i&gt;et al.&lt;/i&gt;, 2006)"},"properties":{"noteIndex":0},"schema":"https://github.com/citation-style-language/schema/raw/master/csl-citation.json"}</w:instrText>
      </w:r>
      <w:r w:rsidR="00B14782" w:rsidRPr="009023E6">
        <w:rPr>
          <w:rFonts w:ascii="Times New Roman" w:hAnsi="Times New Roman" w:cs="Times New Roman"/>
        </w:rPr>
        <w:fldChar w:fldCharType="separate"/>
      </w:r>
      <w:r w:rsidR="00B14782" w:rsidRPr="009023E6">
        <w:rPr>
          <w:rFonts w:ascii="Times New Roman" w:hAnsi="Times New Roman" w:cs="Times New Roman"/>
          <w:noProof/>
        </w:rPr>
        <w:t xml:space="preserve">Knapp </w:t>
      </w:r>
      <w:r w:rsidR="00B14782" w:rsidRPr="009023E6">
        <w:rPr>
          <w:rFonts w:ascii="Times New Roman" w:hAnsi="Times New Roman" w:cs="Times New Roman"/>
          <w:i/>
          <w:noProof/>
        </w:rPr>
        <w:t>et al.</w:t>
      </w:r>
      <w:r w:rsidR="00B14782" w:rsidRPr="009023E6">
        <w:rPr>
          <w:rFonts w:ascii="Times New Roman" w:hAnsi="Times New Roman" w:cs="Times New Roman"/>
          <w:noProof/>
        </w:rPr>
        <w:t>, 2006: 22)</w:t>
      </w:r>
      <w:r w:rsidR="00B14782" w:rsidRPr="009023E6">
        <w:rPr>
          <w:rFonts w:ascii="Times New Roman" w:hAnsi="Times New Roman" w:cs="Times New Roman"/>
        </w:rPr>
        <w:fldChar w:fldCharType="end"/>
      </w:r>
    </w:p>
    <w:p w14:paraId="63AE9779" w14:textId="310BBEEC" w:rsidR="00AC10E7" w:rsidRPr="00051FAA" w:rsidRDefault="00AC10E7" w:rsidP="0025452A">
      <w:pPr>
        <w:pStyle w:val="Normal1"/>
        <w:spacing w:after="160" w:line="360" w:lineRule="auto"/>
        <w:ind w:firstLine="720"/>
        <w:jc w:val="both"/>
        <w:rPr>
          <w:rFonts w:ascii="Times New Roman" w:eastAsia="Times New Roman" w:hAnsi="Times New Roman" w:cs="Times New Roman"/>
          <w:lang w:val="en-GB"/>
        </w:rPr>
      </w:pPr>
      <w:r w:rsidRPr="009023E6">
        <w:rPr>
          <w:rFonts w:ascii="Times New Roman" w:eastAsia="Times New Roman" w:hAnsi="Times New Roman" w:cs="Times New Roman"/>
          <w:lang w:val="en-GB"/>
        </w:rPr>
        <w:t xml:space="preserve">Indeed, </w:t>
      </w:r>
      <w:r w:rsidRPr="009023E6">
        <w:rPr>
          <w:rFonts w:ascii="Times New Roman" w:eastAsia="Times New Roman" w:hAnsi="Times New Roman" w:cs="Times New Roman"/>
        </w:rPr>
        <w:t>the international community is still getting to grips with the ‘awesome t</w:t>
      </w:r>
      <w:r w:rsidR="00051FAA" w:rsidRPr="009023E6">
        <w:rPr>
          <w:rFonts w:ascii="Times New Roman" w:eastAsia="Times New Roman" w:hAnsi="Times New Roman" w:cs="Times New Roman"/>
        </w:rPr>
        <w:t>ask’ of regulating caviar trade.</w:t>
      </w:r>
      <w:r w:rsidRPr="009023E6">
        <w:rPr>
          <w:rFonts w:ascii="Times New Roman" w:eastAsia="Times New Roman" w:hAnsi="Times New Roman" w:cs="Times New Roman"/>
        </w:rPr>
        <w:t xml:space="preserve"> </w:t>
      </w:r>
      <w:r w:rsidR="00051FAA" w:rsidRPr="009023E6">
        <w:rPr>
          <w:rFonts w:ascii="Times New Roman" w:eastAsia="Times New Roman" w:hAnsi="Times New Roman" w:cs="Times New Roman"/>
        </w:rPr>
        <w:t xml:space="preserve">This task is further complicated by the gaps and grey areas in regulatory </w:t>
      </w:r>
      <w:r w:rsidR="00051FAA" w:rsidRPr="009023E6">
        <w:rPr>
          <w:rFonts w:ascii="Times New Roman" w:eastAsia="Times New Roman" w:hAnsi="Times New Roman" w:cs="Times New Roman"/>
        </w:rPr>
        <w:lastRenderedPageBreak/>
        <w:t xml:space="preserve">frameworks that </w:t>
      </w:r>
      <w:r w:rsidRPr="009023E6">
        <w:rPr>
          <w:rFonts w:ascii="Times New Roman" w:eastAsia="Times New Roman" w:hAnsi="Times New Roman" w:cs="Times New Roman"/>
          <w:lang w:val="en-GB"/>
        </w:rPr>
        <w:t xml:space="preserve">enable illegal caviar trade to continue. </w:t>
      </w:r>
      <w:r w:rsidR="00A62514" w:rsidRPr="009023E6">
        <w:rPr>
          <w:rFonts w:ascii="Times New Roman" w:eastAsia="Times New Roman" w:hAnsi="Times New Roman" w:cs="Times New Roman"/>
          <w:lang w:val="en-GB"/>
        </w:rPr>
        <w:t>I</w:t>
      </w:r>
      <w:r w:rsidR="00051FAA" w:rsidRPr="009023E6">
        <w:rPr>
          <w:rFonts w:ascii="Times New Roman" w:eastAsia="Times New Roman" w:hAnsi="Times New Roman" w:cs="Times New Roman"/>
          <w:lang w:val="en-GB"/>
        </w:rPr>
        <w:t xml:space="preserve">t has long been recognised that there are discrepancies in the regulatory frameworks. </w:t>
      </w:r>
      <w:r w:rsidR="00A62514" w:rsidRPr="009023E6">
        <w:rPr>
          <w:rFonts w:ascii="Times New Roman" w:eastAsia="Times New Roman" w:hAnsi="Times New Roman" w:cs="Times New Roman"/>
          <w:lang w:val="en-GB"/>
        </w:rPr>
        <w:t>For example, at</w:t>
      </w:r>
      <w:r w:rsidRPr="009023E6">
        <w:rPr>
          <w:rFonts w:ascii="Times New Roman" w:eastAsia="Times New Roman" w:hAnsi="Times New Roman" w:cs="Times New Roman"/>
          <w:lang w:val="en-GB"/>
        </w:rPr>
        <w:t xml:space="preserve"> the</w:t>
      </w:r>
      <w:r w:rsidR="00226D35" w:rsidRPr="009023E6">
        <w:rPr>
          <w:rFonts w:ascii="Times New Roman" w:eastAsia="Times New Roman" w:hAnsi="Times New Roman" w:cs="Times New Roman"/>
          <w:lang w:val="en-GB"/>
        </w:rPr>
        <w:t xml:space="preserve"> </w:t>
      </w:r>
      <w:r w:rsidR="00A62514" w:rsidRPr="009023E6">
        <w:rPr>
          <w:rFonts w:ascii="Times New Roman" w:eastAsia="Times New Roman" w:hAnsi="Times New Roman" w:cs="Times New Roman"/>
          <w:lang w:val="en-GB"/>
        </w:rPr>
        <w:t xml:space="preserve">aforementioned </w:t>
      </w:r>
      <w:r w:rsidR="00051FAA" w:rsidRPr="009023E6">
        <w:rPr>
          <w:rFonts w:ascii="Times New Roman" w:eastAsia="Times New Roman" w:hAnsi="Times New Roman" w:cs="Times New Roman"/>
          <w:lang w:val="en-GB"/>
        </w:rPr>
        <w:t>2006 European C</w:t>
      </w:r>
      <w:r w:rsidRPr="009023E6">
        <w:rPr>
          <w:rFonts w:ascii="Times New Roman" w:eastAsia="Times New Roman" w:hAnsi="Times New Roman" w:cs="Times New Roman"/>
          <w:lang w:val="en-GB"/>
        </w:rPr>
        <w:t>ommission enforcement meeting on caviar trade</w:t>
      </w:r>
      <w:r w:rsidR="00051FAA" w:rsidRPr="009023E6">
        <w:rPr>
          <w:rFonts w:ascii="Times New Roman" w:eastAsia="Times New Roman" w:hAnsi="Times New Roman" w:cs="Times New Roman"/>
          <w:lang w:val="en-GB"/>
        </w:rPr>
        <w:t>,</w:t>
      </w:r>
      <w:r w:rsidRPr="009023E6">
        <w:rPr>
          <w:rFonts w:ascii="Times New Roman" w:eastAsia="Times New Roman" w:hAnsi="Times New Roman" w:cs="Times New Roman"/>
          <w:lang w:val="en-GB"/>
        </w:rPr>
        <w:t xml:space="preserve"> there was a workshop focused specifically on legislative gaps and weaknesses. H</w:t>
      </w:r>
      <w:r w:rsidR="00051FAA" w:rsidRPr="009023E6">
        <w:rPr>
          <w:rFonts w:ascii="Times New Roman" w:eastAsia="Times New Roman" w:hAnsi="Times New Roman" w:cs="Times New Roman"/>
          <w:lang w:val="en-GB"/>
        </w:rPr>
        <w:t>owever, what is novel about my</w:t>
      </w:r>
      <w:r w:rsidRPr="009023E6">
        <w:rPr>
          <w:rFonts w:ascii="Times New Roman" w:eastAsia="Times New Roman" w:hAnsi="Times New Roman" w:cs="Times New Roman"/>
          <w:lang w:val="en-GB"/>
        </w:rPr>
        <w:t xml:space="preserve"> analysis is the focus on how </w:t>
      </w:r>
      <w:r w:rsidR="000F3772" w:rsidRPr="009023E6">
        <w:rPr>
          <w:rFonts w:ascii="Times New Roman" w:eastAsia="Times New Roman" w:hAnsi="Times New Roman" w:cs="Times New Roman"/>
          <w:lang w:val="en-GB"/>
        </w:rPr>
        <w:t xml:space="preserve">legislative holes and ambiguities </w:t>
      </w:r>
      <w:r w:rsidRPr="009023E6">
        <w:rPr>
          <w:rFonts w:ascii="Times New Roman" w:eastAsia="Times New Roman" w:hAnsi="Times New Roman" w:cs="Times New Roman"/>
          <w:lang w:val="en-GB"/>
        </w:rPr>
        <w:t>have produced unexpected challenges for the international</w:t>
      </w:r>
      <w:r w:rsidR="000F3772" w:rsidRPr="009023E6">
        <w:rPr>
          <w:rFonts w:ascii="Times New Roman" w:eastAsia="Times New Roman" w:hAnsi="Times New Roman" w:cs="Times New Roman"/>
          <w:lang w:val="en-GB"/>
        </w:rPr>
        <w:t xml:space="preserve"> policy and enforcement</w:t>
      </w:r>
      <w:r w:rsidRPr="009023E6">
        <w:rPr>
          <w:rFonts w:ascii="Times New Roman" w:eastAsia="Times New Roman" w:hAnsi="Times New Roman" w:cs="Times New Roman"/>
          <w:lang w:val="en-GB"/>
        </w:rPr>
        <w:t xml:space="preserve"> community to respond to. This chapter and the following chapter couch</w:t>
      </w:r>
      <w:r>
        <w:rPr>
          <w:rFonts w:ascii="Times New Roman" w:eastAsia="Times New Roman" w:hAnsi="Times New Roman" w:cs="Times New Roman"/>
          <w:lang w:val="en-GB"/>
        </w:rPr>
        <w:t xml:space="preserve"> these challenges in terms of ongoing illegal caviar trade; chapters six and seven present the security challenges that have emerged</w:t>
      </w:r>
      <w:r w:rsidR="00226D35">
        <w:rPr>
          <w:rFonts w:ascii="Times New Roman" w:eastAsia="Times New Roman" w:hAnsi="Times New Roman" w:cs="Times New Roman"/>
          <w:lang w:val="en-GB"/>
        </w:rPr>
        <w:t xml:space="preserve"> from regulatory gaps and grey areas</w:t>
      </w:r>
      <w:r>
        <w:rPr>
          <w:rFonts w:ascii="Times New Roman" w:eastAsia="Times New Roman" w:hAnsi="Times New Roman" w:cs="Times New Roman"/>
          <w:lang w:val="en-GB"/>
        </w:rPr>
        <w:t xml:space="preserve">; and finally chapter eight analyses the geopolitical challenges borne out of </w:t>
      </w:r>
      <w:r w:rsidR="000F3772">
        <w:rPr>
          <w:rFonts w:ascii="Times New Roman" w:eastAsia="Times New Roman" w:hAnsi="Times New Roman" w:cs="Times New Roman"/>
          <w:lang w:val="en-GB"/>
        </w:rPr>
        <w:t xml:space="preserve">the idiosyncrasies in the regulatory frameworks. </w:t>
      </w:r>
      <w:r w:rsidR="000F3772">
        <w:rPr>
          <w:rFonts w:ascii="Times New Roman" w:eastAsia="Times New Roman" w:hAnsi="Times New Roman" w:cs="Times New Roman"/>
        </w:rPr>
        <w:t>As a foundation to these later analyses</w:t>
      </w:r>
      <w:r>
        <w:rPr>
          <w:rFonts w:ascii="Times New Roman" w:eastAsia="Times New Roman" w:hAnsi="Times New Roman" w:cs="Times New Roman"/>
        </w:rPr>
        <w:t xml:space="preserve">, the following section explains in detail the CITES regulations related to sturgeon and caviar trade, and </w:t>
      </w:r>
      <w:r w:rsidR="000F3772">
        <w:rPr>
          <w:rFonts w:ascii="Times New Roman" w:eastAsia="Times New Roman" w:hAnsi="Times New Roman" w:cs="Times New Roman"/>
        </w:rPr>
        <w:t xml:space="preserve">describes </w:t>
      </w:r>
      <w:r>
        <w:rPr>
          <w:rFonts w:ascii="Times New Roman" w:eastAsia="Times New Roman" w:hAnsi="Times New Roman" w:cs="Times New Roman"/>
        </w:rPr>
        <w:t>how these regulations are transposed into EU law.</w:t>
      </w:r>
    </w:p>
    <w:p w14:paraId="3BF5F6B7" w14:textId="77777777" w:rsidR="00AC10E7" w:rsidRDefault="00AC10E7" w:rsidP="0025452A">
      <w:pPr>
        <w:pStyle w:val="Normal1"/>
        <w:spacing w:after="160" w:line="360" w:lineRule="auto"/>
        <w:jc w:val="both"/>
        <w:rPr>
          <w:rFonts w:ascii="Times New Roman" w:eastAsia="Times New Roman" w:hAnsi="Times New Roman" w:cs="Times New Roman"/>
        </w:rPr>
      </w:pPr>
    </w:p>
    <w:p w14:paraId="6606AAB0" w14:textId="2A009D26" w:rsidR="00AC10E7" w:rsidRDefault="00226D35" w:rsidP="00AC10E7">
      <w:pPr>
        <w:pStyle w:val="Heading3"/>
      </w:pPr>
      <w:bookmarkStart w:id="40" w:name="_Toc453224213"/>
      <w:r>
        <w:t>4</w:t>
      </w:r>
      <w:r w:rsidR="00AC10E7">
        <w:t>.1.2 CITES Resolution Conf. 12.7</w:t>
      </w:r>
      <w:bookmarkEnd w:id="40"/>
    </w:p>
    <w:p w14:paraId="28CF0478" w14:textId="5B2FA633" w:rsidR="00AC10E7" w:rsidRPr="00A322AC" w:rsidRDefault="00AC10E7" w:rsidP="00AC10E7">
      <w:pPr>
        <w:pStyle w:val="Normal1"/>
        <w:spacing w:line="360" w:lineRule="auto"/>
        <w:jc w:val="both"/>
        <w:rPr>
          <w:rFonts w:ascii="Times New Roman" w:eastAsia="Times New Roman" w:hAnsi="Times New Roman" w:cs="Times New Roman"/>
          <w:u w:val="single"/>
        </w:rPr>
      </w:pPr>
      <w:r>
        <w:rPr>
          <w:rFonts w:ascii="Times New Roman" w:eastAsia="Times New Roman" w:hAnsi="Times New Roman" w:cs="Times New Roman"/>
        </w:rPr>
        <w:t>CITES Resolution Conf. 12.7 (Rev. CoP17)</w:t>
      </w:r>
      <w:r w:rsidRPr="005B292F">
        <w:rPr>
          <w:rStyle w:val="FootnoteReference"/>
        </w:rPr>
        <w:footnoteReference w:id="20"/>
      </w:r>
      <w:r>
        <w:rPr>
          <w:rFonts w:ascii="Times New Roman" w:eastAsia="Times New Roman" w:hAnsi="Times New Roman" w:cs="Times New Roman"/>
        </w:rPr>
        <w:t xml:space="preserve"> </w:t>
      </w:r>
      <w:r w:rsidR="00F0673A">
        <w:rPr>
          <w:rFonts w:ascii="Times New Roman" w:eastAsia="Times New Roman" w:hAnsi="Times New Roman" w:cs="Times New Roman"/>
        </w:rPr>
        <w:t>en</w:t>
      </w:r>
      <w:r>
        <w:rPr>
          <w:rFonts w:ascii="Times New Roman" w:eastAsia="Times New Roman" w:hAnsi="Times New Roman" w:cs="Times New Roman"/>
        </w:rPr>
        <w:t>titled ‘</w:t>
      </w:r>
      <w:r>
        <w:rPr>
          <w:rFonts w:ascii="Times New Roman" w:eastAsia="Times New Roman" w:hAnsi="Times New Roman" w:cs="Times New Roman"/>
          <w:i/>
        </w:rPr>
        <w:t>Conservation of and trade in sturgeons and paddlefish</w:t>
      </w:r>
      <w:r w:rsidR="00F0673A">
        <w:rPr>
          <w:rFonts w:ascii="Times New Roman" w:eastAsia="Times New Roman" w:hAnsi="Times New Roman" w:cs="Times New Roman"/>
        </w:rPr>
        <w:t xml:space="preserve">’, </w:t>
      </w:r>
      <w:r>
        <w:rPr>
          <w:rFonts w:ascii="Times New Roman" w:eastAsia="Times New Roman" w:hAnsi="Times New Roman" w:cs="Times New Roman"/>
        </w:rPr>
        <w:t xml:space="preserve">is the authoritative document </w:t>
      </w:r>
      <w:r w:rsidR="00F0673A">
        <w:rPr>
          <w:rFonts w:ascii="Times New Roman" w:eastAsia="Times New Roman" w:hAnsi="Times New Roman" w:cs="Times New Roman"/>
        </w:rPr>
        <w:t xml:space="preserve">outlining </w:t>
      </w:r>
      <w:r>
        <w:rPr>
          <w:rFonts w:ascii="Times New Roman" w:eastAsia="Times New Roman" w:hAnsi="Times New Roman" w:cs="Times New Roman"/>
        </w:rPr>
        <w:t xml:space="preserve">the measures that all CITES parties should take in order to ensure sustainable trade in sturgeon and sturgeon derivatives. </w:t>
      </w:r>
      <w:r w:rsidR="00F0673A">
        <w:rPr>
          <w:rFonts w:ascii="Times New Roman" w:eastAsia="Times New Roman" w:hAnsi="Times New Roman" w:cs="Times New Roman"/>
        </w:rPr>
        <w:t xml:space="preserve">CITES </w:t>
      </w:r>
      <w:r>
        <w:rPr>
          <w:rFonts w:ascii="Times New Roman" w:eastAsia="Times New Roman" w:hAnsi="Times New Roman" w:cs="Times New Roman"/>
        </w:rPr>
        <w:t>Resolution Conf. 12.7 details the regulations regarding the import, (re)export, and labelling requirements for both international and</w:t>
      </w:r>
      <w:r w:rsidR="00F0673A">
        <w:rPr>
          <w:rFonts w:ascii="Times New Roman" w:eastAsia="Times New Roman" w:hAnsi="Times New Roman" w:cs="Times New Roman"/>
        </w:rPr>
        <w:t xml:space="preserve"> domestic trade in sturgeon and </w:t>
      </w:r>
      <w:r>
        <w:rPr>
          <w:rFonts w:ascii="Times New Roman" w:eastAsia="Times New Roman" w:hAnsi="Times New Roman" w:cs="Times New Roman"/>
        </w:rPr>
        <w:t>caviar. In the following subsections I outline the major regulatory mechanisms included in CITES Re</w:t>
      </w:r>
      <w:r w:rsidR="00226D35">
        <w:rPr>
          <w:rFonts w:ascii="Times New Roman" w:eastAsia="Times New Roman" w:hAnsi="Times New Roman" w:cs="Times New Roman"/>
        </w:rPr>
        <w:t>solution Conf. 12.7</w:t>
      </w:r>
      <w:r>
        <w:rPr>
          <w:rFonts w:ascii="Times New Roman" w:eastAsia="Times New Roman" w:hAnsi="Times New Roman" w:cs="Times New Roman"/>
        </w:rPr>
        <w:t xml:space="preserve">. </w:t>
      </w:r>
    </w:p>
    <w:p w14:paraId="28EB43F7" w14:textId="77777777" w:rsidR="00AC10E7" w:rsidRDefault="00AC10E7" w:rsidP="00AC10E7">
      <w:pPr>
        <w:pStyle w:val="Normal1"/>
        <w:spacing w:line="360" w:lineRule="auto"/>
        <w:jc w:val="both"/>
        <w:rPr>
          <w:rFonts w:ascii="Times New Roman" w:eastAsia="Times New Roman" w:hAnsi="Times New Roman" w:cs="Times New Roman"/>
        </w:rPr>
      </w:pPr>
    </w:p>
    <w:p w14:paraId="649B226F" w14:textId="77777777" w:rsidR="00AC10E7" w:rsidRDefault="00AC10E7" w:rsidP="00AC10E7">
      <w:pPr>
        <w:pStyle w:val="Notasubsection"/>
      </w:pPr>
      <w:r>
        <w:t>CITES Export quotas</w:t>
      </w:r>
    </w:p>
    <w:p w14:paraId="2E84F602" w14:textId="4F859945" w:rsidR="00AC10E7" w:rsidRPr="005B0C68" w:rsidRDefault="00AC10E7" w:rsidP="0025452A">
      <w:pPr>
        <w:pStyle w:val="Normal1"/>
        <w:spacing w:after="160" w:line="360" w:lineRule="auto"/>
        <w:jc w:val="both"/>
        <w:rPr>
          <w:rFonts w:ascii="Times New Roman" w:eastAsia="Times New Roman" w:hAnsi="Times New Roman" w:cs="Times New Roman"/>
        </w:rPr>
      </w:pPr>
      <w:r w:rsidRPr="005B0C68">
        <w:rPr>
          <w:rFonts w:ascii="Times New Roman" w:eastAsia="Times New Roman" w:hAnsi="Times New Roman" w:cs="Times New Roman"/>
        </w:rPr>
        <w:t>One of the major steps the CITES Secretariat took in regulating international caviar trade was through the establishment of export quotas for caviar harvested from st</w:t>
      </w:r>
      <w:r>
        <w:rPr>
          <w:rFonts w:ascii="Times New Roman" w:eastAsia="Times New Roman" w:hAnsi="Times New Roman" w:cs="Times New Roman"/>
        </w:rPr>
        <w:t>urgeon shared stocks</w:t>
      </w:r>
      <w:r w:rsidRPr="005B292F">
        <w:rPr>
          <w:rStyle w:val="FootnoteReference"/>
        </w:rPr>
        <w:footnoteReference w:id="21"/>
      </w:r>
      <w:r w:rsidRPr="005B0C68">
        <w:rPr>
          <w:rFonts w:ascii="Times New Roman" w:eastAsia="Times New Roman" w:hAnsi="Times New Roman" w:cs="Times New Roman"/>
        </w:rPr>
        <w:t xml:space="preserve">. </w:t>
      </w:r>
      <w:r w:rsidR="00F0673A">
        <w:rPr>
          <w:rFonts w:ascii="Times New Roman" w:eastAsia="Times New Roman" w:hAnsi="Times New Roman" w:cs="Times New Roman"/>
        </w:rPr>
        <w:t>CITES first implemented caviar export quotas in 2000</w:t>
      </w:r>
      <w:r w:rsidRPr="005B0C68">
        <w:rPr>
          <w:rFonts w:ascii="Times New Roman" w:eastAsia="Times New Roman" w:hAnsi="Times New Roman" w:cs="Times New Roman"/>
        </w:rPr>
        <w:t xml:space="preserve">. Through this regulation all range states to shared stocks are required to establish and agree upon scientifically informed annual catch and export quotas for </w:t>
      </w:r>
      <w:r w:rsidRPr="005B0C68">
        <w:rPr>
          <w:rFonts w:ascii="Times New Roman" w:eastAsia="Times New Roman" w:hAnsi="Times New Roman" w:cs="Times New Roman"/>
        </w:rPr>
        <w:lastRenderedPageBreak/>
        <w:t>each of the sturgeon species native to that stock. On agreeing these quotas, the range states are required to report the quotas to the CITES Secretariat for approval. The agreed quotas are then publicly listed on the CITES website. When no quota has been published for a CITES listed sturgeon species in a shared stock, then international trade in that species from the stock in question, is prohibited until the quotas ar</w:t>
      </w:r>
      <w:r>
        <w:rPr>
          <w:rFonts w:ascii="Times New Roman" w:eastAsia="Times New Roman" w:hAnsi="Times New Roman" w:cs="Times New Roman"/>
        </w:rPr>
        <w:t xml:space="preserve">e reviewed the following year. </w:t>
      </w:r>
      <w:r w:rsidRPr="005B0C68">
        <w:rPr>
          <w:rFonts w:ascii="Times New Roman" w:eastAsia="Times New Roman" w:hAnsi="Times New Roman" w:cs="Times New Roman"/>
        </w:rPr>
        <w:t>As such, CITES Parties are reminded to not accept imports of caviar and meat from sturgeon species originating in shared stocks, unless export quotas have been agreed and published.</w:t>
      </w:r>
    </w:p>
    <w:p w14:paraId="3DDE83F7" w14:textId="430FF024" w:rsidR="00AC10E7" w:rsidRPr="005B0C68" w:rsidRDefault="00AC10E7" w:rsidP="0025452A">
      <w:pPr>
        <w:pStyle w:val="Normal1"/>
        <w:spacing w:after="160" w:line="360" w:lineRule="auto"/>
        <w:jc w:val="both"/>
        <w:rPr>
          <w:rFonts w:ascii="Times New Roman" w:eastAsia="Times New Roman" w:hAnsi="Times New Roman" w:cs="Times New Roman"/>
        </w:rPr>
      </w:pPr>
      <w:r w:rsidRPr="005B0C68">
        <w:rPr>
          <w:rFonts w:ascii="Times New Roman" w:eastAsia="Times New Roman" w:hAnsi="Times New Roman" w:cs="Times New Roman"/>
        </w:rPr>
        <w:t xml:space="preserve">             Despite the introduction of the export quota system, data shows incidences of caviar range states significantly exceeding their export quotas. </w:t>
      </w:r>
      <w:r w:rsidR="00F0673A">
        <w:rPr>
          <w:rFonts w:ascii="Times New Roman" w:eastAsia="Times New Roman" w:hAnsi="Times New Roman" w:cs="Times New Roman"/>
        </w:rPr>
        <w:t>I</w:t>
      </w:r>
      <w:r w:rsidRPr="005B0C68">
        <w:rPr>
          <w:rFonts w:ascii="Times New Roman" w:eastAsia="Times New Roman" w:hAnsi="Times New Roman" w:cs="Times New Roman"/>
        </w:rPr>
        <w:t>n 2004 and 2005 Azerbaijan exceeded their export quota for Stellate sturgeon (</w:t>
      </w:r>
      <w:r w:rsidRPr="005B0C68">
        <w:rPr>
          <w:rFonts w:ascii="Times New Roman" w:eastAsia="Times New Roman" w:hAnsi="Times New Roman" w:cs="Times New Roman"/>
          <w:i/>
          <w:iCs/>
        </w:rPr>
        <w:t>A.Stellatus</w:t>
      </w:r>
      <w:r w:rsidRPr="005B0C68">
        <w:rPr>
          <w:rFonts w:ascii="Times New Roman" w:eastAsia="Times New Roman" w:hAnsi="Times New Roman" w:cs="Times New Roman"/>
        </w:rPr>
        <w:t>) by a total of 3193kg (UNEP-WCMC, 2008: 13). Moreover, in 2006 there was a suspension of international trade in wild caviar, as no export quotas were published by the CITES Secretariat for that year - apart from an exceptional export quota of caviar from Persian sturgeon (</w:t>
      </w:r>
      <w:r w:rsidRPr="005B0C68">
        <w:rPr>
          <w:rFonts w:ascii="Times New Roman" w:eastAsia="Times New Roman" w:hAnsi="Times New Roman" w:cs="Times New Roman"/>
          <w:i/>
          <w:iCs/>
        </w:rPr>
        <w:t>A.Persicus</w:t>
      </w:r>
      <w:r w:rsidRPr="005B0C68">
        <w:rPr>
          <w:rFonts w:ascii="Times New Roman" w:eastAsia="Times New Roman" w:hAnsi="Times New Roman" w:cs="Times New Roman"/>
        </w:rPr>
        <w:t>) from Iran. Despite this trade suspension, in 2006 Kazakhstan exported 203kg of caviar from Stellate sturgeon (</w:t>
      </w:r>
      <w:r w:rsidRPr="005B0C68">
        <w:rPr>
          <w:rFonts w:ascii="Times New Roman" w:eastAsia="Times New Roman" w:hAnsi="Times New Roman" w:cs="Times New Roman"/>
          <w:i/>
          <w:iCs/>
        </w:rPr>
        <w:t>A.Stellatus</w:t>
      </w:r>
      <w:r w:rsidRPr="005B0C68">
        <w:rPr>
          <w:rFonts w:ascii="Times New Roman" w:eastAsia="Times New Roman" w:hAnsi="Times New Roman" w:cs="Times New Roman"/>
        </w:rPr>
        <w:t>) and 199kg of caviar from Beluga sturgeon (</w:t>
      </w:r>
      <w:r w:rsidRPr="005B0C68">
        <w:rPr>
          <w:rFonts w:ascii="Times New Roman" w:eastAsia="Times New Roman" w:hAnsi="Times New Roman" w:cs="Times New Roman"/>
          <w:i/>
          <w:iCs/>
        </w:rPr>
        <w:t>Huso Huso</w:t>
      </w:r>
      <w:r w:rsidRPr="005B0C68">
        <w:rPr>
          <w:rFonts w:ascii="Times New Roman" w:eastAsia="Times New Roman" w:hAnsi="Times New Roman" w:cs="Times New Roman"/>
        </w:rPr>
        <w:t>) (Engler &amp; Knapp, 2006:28)</w:t>
      </w:r>
      <w:r w:rsidR="00226D35" w:rsidRPr="005B292F">
        <w:rPr>
          <w:rStyle w:val="FootnoteReference"/>
        </w:rPr>
        <w:footnoteReference w:id="22"/>
      </w:r>
      <w:r w:rsidRPr="005B0C68">
        <w:rPr>
          <w:rFonts w:ascii="Times New Roman" w:eastAsia="Times New Roman" w:hAnsi="Times New Roman" w:cs="Times New Roman"/>
        </w:rPr>
        <w:t>. The practice of exceeding export quotas draws attention to how some exporting and importing states have seemingly interpre</w:t>
      </w:r>
      <w:r w:rsidR="00F0673A">
        <w:rPr>
          <w:rFonts w:ascii="Times New Roman" w:eastAsia="Times New Roman" w:hAnsi="Times New Roman" w:cs="Times New Roman"/>
        </w:rPr>
        <w:t>ted the export quotas as a legislative</w:t>
      </w:r>
      <w:r w:rsidRPr="005B0C68">
        <w:rPr>
          <w:rFonts w:ascii="Times New Roman" w:eastAsia="Times New Roman" w:hAnsi="Times New Roman" w:cs="Times New Roman"/>
        </w:rPr>
        <w:t xml:space="preserve"> ‘grey area’. Clearly some states such as Kazakhstan</w:t>
      </w:r>
      <w:r w:rsidR="00F0673A">
        <w:rPr>
          <w:rFonts w:ascii="Times New Roman" w:eastAsia="Times New Roman" w:hAnsi="Times New Roman" w:cs="Times New Roman"/>
        </w:rPr>
        <w:t>,</w:t>
      </w:r>
      <w:r w:rsidRPr="005B0C68">
        <w:rPr>
          <w:rFonts w:ascii="Times New Roman" w:eastAsia="Times New Roman" w:hAnsi="Times New Roman" w:cs="Times New Roman"/>
        </w:rPr>
        <w:t xml:space="preserve"> have </w:t>
      </w:r>
      <w:r w:rsidR="00F0673A">
        <w:rPr>
          <w:rFonts w:ascii="Times New Roman" w:eastAsia="Times New Roman" w:hAnsi="Times New Roman" w:cs="Times New Roman"/>
        </w:rPr>
        <w:t xml:space="preserve">historically </w:t>
      </w:r>
      <w:r w:rsidRPr="005B0C68">
        <w:rPr>
          <w:rFonts w:ascii="Times New Roman" w:eastAsia="Times New Roman" w:hAnsi="Times New Roman" w:cs="Times New Roman"/>
        </w:rPr>
        <w:t>exhibited a flagrant disregard for the export quota system. On the other hand, some importing states have also either disregarded the quotas or been misinformed about the species and quantities they can legally import, and from which states. When exporters continue to disregard the export quotas, this can lead to confusion about the legality of caviar entering the market. This draws attention to the need for CITES Parties to be proactive in not accepting imports of caviar when no export quotas for shared stocks have been published.</w:t>
      </w:r>
    </w:p>
    <w:p w14:paraId="1C798162" w14:textId="0EEA320A" w:rsidR="00AC10E7" w:rsidRPr="005B0C68" w:rsidRDefault="00AC10E7" w:rsidP="0025452A">
      <w:pPr>
        <w:pStyle w:val="Normal1"/>
        <w:spacing w:after="160" w:line="360" w:lineRule="auto"/>
        <w:jc w:val="both"/>
        <w:rPr>
          <w:rFonts w:ascii="Times New Roman" w:eastAsia="Times New Roman" w:hAnsi="Times New Roman" w:cs="Times New Roman"/>
        </w:rPr>
      </w:pPr>
      <w:r w:rsidRPr="005B0C68">
        <w:rPr>
          <w:rFonts w:ascii="Times New Roman" w:eastAsia="Times New Roman" w:hAnsi="Times New Roman" w:cs="Times New Roman"/>
        </w:rPr>
        <w:tab/>
        <w:t>Between 2006 and 2010 international trade in wild caviar was permitted, but quotas showed d</w:t>
      </w:r>
      <w:r w:rsidR="00FF206B">
        <w:rPr>
          <w:rFonts w:ascii="Times New Roman" w:eastAsia="Times New Roman" w:hAnsi="Times New Roman" w:cs="Times New Roman"/>
        </w:rPr>
        <w:t>ownward trends. In many cases, “</w:t>
      </w:r>
      <w:r w:rsidRPr="005B0C68">
        <w:rPr>
          <w:rFonts w:ascii="Times New Roman" w:eastAsia="Times New Roman" w:hAnsi="Times New Roman" w:cs="Times New Roman"/>
        </w:rPr>
        <w:t>during most of these years exporters were not even able to meet their quotas, reflect</w:t>
      </w:r>
      <w:r w:rsidR="00FF206B">
        <w:rPr>
          <w:rFonts w:ascii="Times New Roman" w:eastAsia="Times New Roman" w:hAnsi="Times New Roman" w:cs="Times New Roman"/>
        </w:rPr>
        <w:t xml:space="preserve">ing the scarcity of the species” </w:t>
      </w:r>
      <w:r w:rsidRPr="005B0C68">
        <w:rPr>
          <w:rFonts w:ascii="Times New Roman" w:eastAsia="Times New Roman" w:hAnsi="Times New Roman" w:cs="Times New Roman"/>
        </w:rPr>
        <w:t xml:space="preserve">(UNODC, 2016:87). Since 2010 export quotas from shared stocks have not been communicated by the range states to the CITES Secretariat. </w:t>
      </w:r>
      <w:r w:rsidR="007B2128">
        <w:rPr>
          <w:rFonts w:ascii="Times New Roman" w:eastAsia="Times New Roman" w:hAnsi="Times New Roman" w:cs="Times New Roman"/>
        </w:rPr>
        <w:t>T</w:t>
      </w:r>
      <w:r w:rsidRPr="005B0C68">
        <w:rPr>
          <w:rFonts w:ascii="Times New Roman" w:eastAsia="Times New Roman" w:hAnsi="Times New Roman" w:cs="Times New Roman"/>
        </w:rPr>
        <w:t>he Secretariat has subsequently published zero export quotas from sturgeon shared stocks. For sturgeon originating from non-shared stocks, CITES Resolution Conf 14.7</w:t>
      </w:r>
      <w:r w:rsidRPr="005B292F">
        <w:rPr>
          <w:rStyle w:val="FootnoteReference"/>
        </w:rPr>
        <w:footnoteReference w:id="23"/>
      </w:r>
      <w:r w:rsidRPr="005B0C68">
        <w:rPr>
          <w:rFonts w:ascii="Times New Roman" w:eastAsia="Times New Roman" w:hAnsi="Times New Roman" w:cs="Times New Roman"/>
        </w:rPr>
        <w:t xml:space="preserve"> details the management of nationally established export quotas. But in a parallel trend to the export quotas from shared stocks, </w:t>
      </w:r>
      <w:r w:rsidR="007B2128">
        <w:rPr>
          <w:rFonts w:ascii="Times New Roman" w:eastAsia="Times New Roman" w:hAnsi="Times New Roman" w:cs="Times New Roman"/>
        </w:rPr>
        <w:t xml:space="preserve">since 2011 </w:t>
      </w:r>
      <w:r w:rsidRPr="005B0C68">
        <w:rPr>
          <w:rFonts w:ascii="Times New Roman" w:eastAsia="Times New Roman" w:hAnsi="Times New Roman" w:cs="Times New Roman"/>
        </w:rPr>
        <w:t>there have been no nationally established export quotas for wild-caught sturgeon from non-shared stocks reported to t</w:t>
      </w:r>
      <w:r>
        <w:rPr>
          <w:rFonts w:ascii="Times New Roman" w:eastAsia="Times New Roman" w:hAnsi="Times New Roman" w:cs="Times New Roman"/>
        </w:rPr>
        <w:t>he CITES Secretariat</w:t>
      </w:r>
      <w:r w:rsidRPr="005B292F">
        <w:rPr>
          <w:rStyle w:val="FootnoteReference"/>
        </w:rPr>
        <w:footnoteReference w:id="24"/>
      </w:r>
      <w:r w:rsidRPr="005B0C68">
        <w:rPr>
          <w:rFonts w:ascii="Times New Roman" w:eastAsia="Times New Roman" w:hAnsi="Times New Roman" w:cs="Times New Roman"/>
        </w:rPr>
        <w:t>. This effectively means that international trade in wild caught sturgeon and their derivat</w:t>
      </w:r>
      <w:r w:rsidR="007B2128">
        <w:rPr>
          <w:rFonts w:ascii="Times New Roman" w:eastAsia="Times New Roman" w:hAnsi="Times New Roman" w:cs="Times New Roman"/>
        </w:rPr>
        <w:t xml:space="preserve">ives including caviar and meat </w:t>
      </w:r>
      <w:r w:rsidRPr="005B0C68">
        <w:rPr>
          <w:rFonts w:ascii="Times New Roman" w:eastAsia="Times New Roman" w:hAnsi="Times New Roman" w:cs="Times New Roman"/>
        </w:rPr>
        <w:t xml:space="preserve">is currently illegal, and has not </w:t>
      </w:r>
      <w:r w:rsidRPr="005B0C68">
        <w:rPr>
          <w:rFonts w:ascii="Times New Roman" w:eastAsia="Times New Roman" w:hAnsi="Times New Roman" w:cs="Times New Roman"/>
        </w:rPr>
        <w:lastRenderedPageBreak/>
        <w:t xml:space="preserve">been legal for almost a decade. Notably, the declining - and currently zero - export quotas for wild-caught sturgeon and their derivatives, has coincided with, and arguably fuelled the dramatic uptake of aquaculture methods for caviar production. Between 1998 and 2006, 97% of the EU’s caviar imports were sourced from wild sturgeon (Engler &amp; Knapp, 2008:12). But by 2015, exports of caviar from aquaculture made up 95% of all reported global caviar trade by weight (Harris &amp; Shiraishi, 2018:8). </w:t>
      </w:r>
    </w:p>
    <w:p w14:paraId="1CAD5554" w14:textId="0FB7DFF3" w:rsidR="007B2128" w:rsidRDefault="00AC10E7" w:rsidP="0025452A">
      <w:pPr>
        <w:pStyle w:val="Normal1"/>
        <w:spacing w:after="160" w:line="360" w:lineRule="auto"/>
        <w:jc w:val="both"/>
        <w:rPr>
          <w:rFonts w:ascii="Times New Roman" w:eastAsia="Times New Roman" w:hAnsi="Times New Roman" w:cs="Times New Roman"/>
        </w:rPr>
      </w:pPr>
      <w:r w:rsidRPr="005B0C68">
        <w:rPr>
          <w:rFonts w:ascii="Times New Roman" w:eastAsia="Times New Roman" w:hAnsi="Times New Roman" w:cs="Times New Roman"/>
        </w:rPr>
        <w:t xml:space="preserve">            Whilst the implementation of export quotas has played a fundamental role in transforming the caviar industry, the system itself is complex and </w:t>
      </w:r>
      <w:r w:rsidR="007B2128">
        <w:rPr>
          <w:rFonts w:ascii="Times New Roman" w:eastAsia="Times New Roman" w:hAnsi="Times New Roman" w:cs="Times New Roman"/>
        </w:rPr>
        <w:t xml:space="preserve">marred </w:t>
      </w:r>
      <w:r w:rsidR="00EF1B2A">
        <w:rPr>
          <w:rFonts w:ascii="Times New Roman" w:eastAsia="Times New Roman" w:hAnsi="Times New Roman" w:cs="Times New Roman"/>
        </w:rPr>
        <w:t xml:space="preserve">with </w:t>
      </w:r>
      <w:r w:rsidR="007B2128">
        <w:rPr>
          <w:rFonts w:ascii="Times New Roman" w:eastAsia="Times New Roman" w:hAnsi="Times New Roman" w:cs="Times New Roman"/>
        </w:rPr>
        <w:t>inconsistencies in both design</w:t>
      </w:r>
      <w:r w:rsidRPr="005B0C68">
        <w:rPr>
          <w:rFonts w:ascii="Times New Roman" w:eastAsia="Times New Roman" w:hAnsi="Times New Roman" w:cs="Times New Roman"/>
        </w:rPr>
        <w:t xml:space="preserve"> and implementation. One issue as alluded to above, is the mixed levels of compliance that both exporting and importing countries have displayed with regards to the export system. The long-standing zero export quotas established since 2010, has solidified the status of aquaculture caviar as being the only ‘legal’ importing option. But the historical practices of range states exporting illegal quantities of caviar, raises concerns about the potential for them to continue to find ways to export wild caviar despite the long-term suspension on international exports. </w:t>
      </w:r>
    </w:p>
    <w:p w14:paraId="38EC4AB2" w14:textId="30A1CD5F" w:rsidR="00EF1B2A" w:rsidRDefault="00AC10E7" w:rsidP="0025452A">
      <w:pPr>
        <w:pStyle w:val="Normal1"/>
        <w:spacing w:after="160" w:line="360" w:lineRule="auto"/>
        <w:ind w:firstLine="720"/>
        <w:jc w:val="both"/>
        <w:rPr>
          <w:rFonts w:ascii="Times New Roman" w:eastAsia="Times New Roman" w:hAnsi="Times New Roman" w:cs="Times New Roman"/>
        </w:rPr>
      </w:pPr>
      <w:r w:rsidRPr="005B0C68">
        <w:rPr>
          <w:rFonts w:ascii="Times New Roman" w:eastAsia="Times New Roman" w:hAnsi="Times New Roman" w:cs="Times New Roman"/>
        </w:rPr>
        <w:t>Indeed, there are suggestions that whilst the export quotas have prompted a rapid shift to a caviar industry built on aquaculture, a perverse impact of this has been that aquaculture can provide cover for illegal activity</w:t>
      </w:r>
      <w:r w:rsidR="00EF1B2A">
        <w:rPr>
          <w:rFonts w:ascii="Times New Roman" w:eastAsia="Times New Roman" w:hAnsi="Times New Roman" w:cs="Times New Roman"/>
        </w:rPr>
        <w:t xml:space="preserve">. </w:t>
      </w:r>
      <w:r w:rsidRPr="005B0C68">
        <w:rPr>
          <w:rFonts w:ascii="Times New Roman" w:eastAsia="Times New Roman" w:hAnsi="Times New Roman" w:cs="Times New Roman"/>
        </w:rPr>
        <w:t xml:space="preserve">Ex-enforcement </w:t>
      </w:r>
      <w:r w:rsidR="00FF206B">
        <w:rPr>
          <w:rFonts w:ascii="Times New Roman" w:eastAsia="Times New Roman" w:hAnsi="Times New Roman" w:cs="Times New Roman"/>
        </w:rPr>
        <w:t>officer Michael explained that “</w:t>
      </w:r>
      <w:r w:rsidRPr="005B0C68">
        <w:rPr>
          <w:rFonts w:ascii="Times New Roman" w:eastAsia="Times New Roman" w:hAnsi="Times New Roman" w:cs="Times New Roman"/>
        </w:rPr>
        <w:t>if you look at the United states, they have had quite a number of prosecutions, and cases where there has been laundering through aquaculture operations… maybe some of it is being laundered through European aquaculture operations too</w:t>
      </w:r>
      <w:r w:rsidR="00FF206B">
        <w:rPr>
          <w:rFonts w:ascii="Times New Roman" w:eastAsia="Times New Roman" w:hAnsi="Times New Roman" w:cs="Times New Roman"/>
        </w:rPr>
        <w:t>”</w:t>
      </w:r>
      <w:r w:rsidRPr="005B292F">
        <w:rPr>
          <w:rStyle w:val="FootnoteReference"/>
        </w:rPr>
        <w:footnoteReference w:id="25"/>
      </w:r>
      <w:r w:rsidRPr="005B0C68">
        <w:rPr>
          <w:rFonts w:ascii="Times New Roman" w:eastAsia="Times New Roman" w:hAnsi="Times New Roman" w:cs="Times New Roman"/>
        </w:rPr>
        <w:t>. Researcher Yvar reiter</w:t>
      </w:r>
      <w:r w:rsidR="00FF206B">
        <w:rPr>
          <w:rFonts w:ascii="Times New Roman" w:eastAsia="Times New Roman" w:hAnsi="Times New Roman" w:cs="Times New Roman"/>
        </w:rPr>
        <w:t>ated a similar message, saying “</w:t>
      </w:r>
      <w:r w:rsidRPr="005B0C68">
        <w:rPr>
          <w:rFonts w:ascii="Times New Roman" w:eastAsia="Times New Roman" w:hAnsi="Times New Roman" w:cs="Times New Roman"/>
        </w:rPr>
        <w:t xml:space="preserve">there is much more to say about the </w:t>
      </w:r>
      <w:r>
        <w:rPr>
          <w:rFonts w:ascii="Times New Roman" w:eastAsia="Times New Roman" w:hAnsi="Times New Roman" w:cs="Times New Roman"/>
        </w:rPr>
        <w:t>role of caviar farms in Europe</w:t>
      </w:r>
      <w:r w:rsidR="00FF206B">
        <w:rPr>
          <w:rFonts w:ascii="Times New Roman" w:eastAsia="Times New Roman" w:hAnsi="Times New Roman" w:cs="Times New Roman"/>
        </w:rPr>
        <w:t>”</w:t>
      </w:r>
      <w:r w:rsidRPr="005B292F">
        <w:rPr>
          <w:rStyle w:val="FootnoteReference"/>
        </w:rPr>
        <w:footnoteReference w:id="26"/>
      </w:r>
      <w:r w:rsidRPr="005B0C68">
        <w:rPr>
          <w:rFonts w:ascii="Times New Roman" w:eastAsia="Times New Roman" w:hAnsi="Times New Roman" w:cs="Times New Roman"/>
        </w:rPr>
        <w:t xml:space="preserve">. These </w:t>
      </w:r>
      <w:r w:rsidR="007B2128">
        <w:rPr>
          <w:rFonts w:ascii="Times New Roman" w:eastAsia="Times New Roman" w:hAnsi="Times New Roman" w:cs="Times New Roman"/>
        </w:rPr>
        <w:t>interlocutors both expressed</w:t>
      </w:r>
      <w:r w:rsidRPr="005B0C68">
        <w:rPr>
          <w:rFonts w:ascii="Times New Roman" w:eastAsia="Times New Roman" w:hAnsi="Times New Roman" w:cs="Times New Roman"/>
        </w:rPr>
        <w:t xml:space="preserve"> concerns that </w:t>
      </w:r>
      <w:r w:rsidR="00EF1B2A">
        <w:rPr>
          <w:rFonts w:ascii="Times New Roman" w:eastAsia="Times New Roman" w:hAnsi="Times New Roman" w:cs="Times New Roman"/>
        </w:rPr>
        <w:t xml:space="preserve">a </w:t>
      </w:r>
      <w:r w:rsidR="007B2128">
        <w:rPr>
          <w:rFonts w:ascii="Times New Roman" w:eastAsia="Times New Roman" w:hAnsi="Times New Roman" w:cs="Times New Roman"/>
        </w:rPr>
        <w:t>lack of monitoring of EU aquaculture facilities is a significant</w:t>
      </w:r>
      <w:r w:rsidRPr="005B0C68">
        <w:rPr>
          <w:rFonts w:ascii="Times New Roman" w:eastAsia="Times New Roman" w:hAnsi="Times New Roman" w:cs="Times New Roman"/>
        </w:rPr>
        <w:t xml:space="preserve"> gap in the </w:t>
      </w:r>
      <w:r w:rsidR="007B2128">
        <w:rPr>
          <w:rFonts w:ascii="Times New Roman" w:eastAsia="Times New Roman" w:hAnsi="Times New Roman" w:cs="Times New Roman"/>
        </w:rPr>
        <w:t xml:space="preserve">enforcement of the </w:t>
      </w:r>
      <w:r w:rsidRPr="005B0C68">
        <w:rPr>
          <w:rFonts w:ascii="Times New Roman" w:eastAsia="Times New Roman" w:hAnsi="Times New Roman" w:cs="Times New Roman"/>
        </w:rPr>
        <w:t xml:space="preserve">regulatory frameworks. To this extent, </w:t>
      </w:r>
      <w:r w:rsidR="00EF1B2A">
        <w:rPr>
          <w:rFonts w:ascii="Times New Roman" w:eastAsia="Times New Roman" w:hAnsi="Times New Roman" w:cs="Times New Roman"/>
        </w:rPr>
        <w:t xml:space="preserve">attention amongst NGOs in particular, and to some extent enforcement authorities and policymakers, has begun to shift towards </w:t>
      </w:r>
      <w:r w:rsidR="007B2128">
        <w:rPr>
          <w:rFonts w:ascii="Times New Roman" w:eastAsia="Times New Roman" w:hAnsi="Times New Roman" w:cs="Times New Roman"/>
        </w:rPr>
        <w:t>understanding</w:t>
      </w:r>
      <w:r w:rsidRPr="005B0C68">
        <w:rPr>
          <w:rFonts w:ascii="Times New Roman" w:eastAsia="Times New Roman" w:hAnsi="Times New Roman" w:cs="Times New Roman"/>
        </w:rPr>
        <w:t xml:space="preserve"> the role of </w:t>
      </w:r>
      <w:r w:rsidR="00EF1B2A">
        <w:rPr>
          <w:rFonts w:ascii="Times New Roman" w:eastAsia="Times New Roman" w:hAnsi="Times New Roman" w:cs="Times New Roman"/>
        </w:rPr>
        <w:t xml:space="preserve">EU </w:t>
      </w:r>
      <w:r w:rsidRPr="005B0C68">
        <w:rPr>
          <w:rFonts w:ascii="Times New Roman" w:eastAsia="Times New Roman" w:hAnsi="Times New Roman" w:cs="Times New Roman"/>
        </w:rPr>
        <w:t>aquaculture facilities in laundering wild caviar</w:t>
      </w:r>
      <w:r w:rsidR="00922D5E" w:rsidRPr="005B292F">
        <w:rPr>
          <w:rStyle w:val="FootnoteReference"/>
        </w:rPr>
        <w:footnoteReference w:id="27"/>
      </w:r>
      <w:r w:rsidR="00EF1B2A">
        <w:rPr>
          <w:rFonts w:ascii="Times New Roman" w:eastAsia="Times New Roman" w:hAnsi="Times New Roman" w:cs="Times New Roman"/>
        </w:rPr>
        <w:t xml:space="preserve">. In chapter five I examine in more detail how this laundering dynamic has emerged as a result of gaps and grey areas in the regulatory frameworks. </w:t>
      </w:r>
    </w:p>
    <w:p w14:paraId="583798CF" w14:textId="51D863FC" w:rsidR="00AC10E7" w:rsidRPr="005B0C68" w:rsidRDefault="00AC10E7" w:rsidP="0025452A">
      <w:pPr>
        <w:pStyle w:val="Normal1"/>
        <w:spacing w:after="160" w:line="360" w:lineRule="auto"/>
        <w:ind w:firstLine="720"/>
        <w:jc w:val="both"/>
        <w:rPr>
          <w:rFonts w:ascii="Times New Roman" w:eastAsia="Times New Roman" w:hAnsi="Times New Roman" w:cs="Times New Roman"/>
        </w:rPr>
      </w:pPr>
      <w:r w:rsidRPr="005B0C68">
        <w:rPr>
          <w:rFonts w:ascii="Times New Roman" w:eastAsia="Times New Roman" w:hAnsi="Times New Roman" w:cs="Times New Roman"/>
        </w:rPr>
        <w:lastRenderedPageBreak/>
        <w:t>Furthermore, the existence of two separate systems for managing export quotas from shared stocks and national stocks, can create a situation in which some forms of international trade in wild sturgeon products are permitted, whilst others are criminalised</w:t>
      </w:r>
      <w:r w:rsidR="00EF1B2A">
        <w:rPr>
          <w:rStyle w:val="FootnoteReference"/>
          <w:rFonts w:ascii="Times New Roman" w:eastAsia="Times New Roman" w:hAnsi="Times New Roman" w:cs="Times New Roman"/>
        </w:rPr>
        <w:footnoteReference w:id="28"/>
      </w:r>
      <w:r w:rsidRPr="005B0C68">
        <w:rPr>
          <w:rFonts w:ascii="Times New Roman" w:eastAsia="Times New Roman" w:hAnsi="Times New Roman" w:cs="Times New Roman"/>
        </w:rPr>
        <w:t xml:space="preserve">. </w:t>
      </w:r>
      <w:r w:rsidR="00EF1B2A">
        <w:rPr>
          <w:rFonts w:ascii="Times New Roman" w:eastAsia="Times New Roman" w:hAnsi="Times New Roman" w:cs="Times New Roman"/>
        </w:rPr>
        <w:t xml:space="preserve">Moreover, whilst the </w:t>
      </w:r>
      <w:r w:rsidR="00EF1B2A" w:rsidRPr="007F70FB">
        <w:rPr>
          <w:rFonts w:ascii="Times New Roman" w:eastAsia="Times New Roman" w:hAnsi="Times New Roman" w:cs="Times New Roman"/>
          <w:i/>
        </w:rPr>
        <w:t>international</w:t>
      </w:r>
      <w:r w:rsidR="00EF1B2A">
        <w:rPr>
          <w:rFonts w:ascii="Times New Roman" w:eastAsia="Times New Roman" w:hAnsi="Times New Roman" w:cs="Times New Roman"/>
        </w:rPr>
        <w:t xml:space="preserve"> export of sturgeon and caviar may be prohibited, this does not automatically mean that wild sturgeon fishing is prohibited; or that trade in sturgeon and caviar is prohibited on </w:t>
      </w:r>
      <w:r w:rsidR="00EF1B2A" w:rsidRPr="007F70FB">
        <w:rPr>
          <w:rFonts w:ascii="Times New Roman" w:eastAsia="Times New Roman" w:hAnsi="Times New Roman" w:cs="Times New Roman"/>
          <w:i/>
        </w:rPr>
        <w:t>domestic</w:t>
      </w:r>
      <w:r w:rsidR="00EF1B2A">
        <w:rPr>
          <w:rFonts w:ascii="Times New Roman" w:eastAsia="Times New Roman" w:hAnsi="Times New Roman" w:cs="Times New Roman"/>
        </w:rPr>
        <w:t xml:space="preserve"> markets. </w:t>
      </w:r>
      <w:r w:rsidR="007F70FB">
        <w:rPr>
          <w:rFonts w:ascii="Times New Roman" w:eastAsia="Times New Roman" w:hAnsi="Times New Roman" w:cs="Times New Roman"/>
        </w:rPr>
        <w:t xml:space="preserve">These double systems can create loopholes for illegal trade. </w:t>
      </w:r>
      <w:r w:rsidRPr="005B0C68">
        <w:rPr>
          <w:rFonts w:ascii="Times New Roman" w:eastAsia="Times New Roman" w:hAnsi="Times New Roman" w:cs="Times New Roman"/>
        </w:rPr>
        <w:t>The complex technicalities of the export quota systems can produce issues for enforcement officials who are tasked with ascertaining</w:t>
      </w:r>
      <w:r w:rsidR="007F70FB">
        <w:rPr>
          <w:rFonts w:ascii="Times New Roman" w:eastAsia="Times New Roman" w:hAnsi="Times New Roman" w:cs="Times New Roman"/>
        </w:rPr>
        <w:t xml:space="preserve"> the legality of caviar imports, </w:t>
      </w:r>
      <w:r w:rsidRPr="005B0C68">
        <w:rPr>
          <w:rFonts w:ascii="Times New Roman" w:eastAsia="Times New Roman" w:hAnsi="Times New Roman" w:cs="Times New Roman"/>
        </w:rPr>
        <w:t>exports,</w:t>
      </w:r>
      <w:r w:rsidR="007F70FB">
        <w:rPr>
          <w:rFonts w:ascii="Times New Roman" w:eastAsia="Times New Roman" w:hAnsi="Times New Roman" w:cs="Times New Roman"/>
        </w:rPr>
        <w:t xml:space="preserve"> and domestic products,</w:t>
      </w:r>
      <w:r w:rsidRPr="005B0C68">
        <w:rPr>
          <w:rFonts w:ascii="Times New Roman" w:eastAsia="Times New Roman" w:hAnsi="Times New Roman" w:cs="Times New Roman"/>
        </w:rPr>
        <w:t xml:space="preserve"> when multiple lega</w:t>
      </w:r>
      <w:r w:rsidR="007F70FB">
        <w:rPr>
          <w:rFonts w:ascii="Times New Roman" w:eastAsia="Times New Roman" w:hAnsi="Times New Roman" w:cs="Times New Roman"/>
        </w:rPr>
        <w:t>l systems are in place. The irregularities</w:t>
      </w:r>
      <w:r w:rsidRPr="005B0C68">
        <w:rPr>
          <w:rFonts w:ascii="Times New Roman" w:eastAsia="Times New Roman" w:hAnsi="Times New Roman" w:cs="Times New Roman"/>
        </w:rPr>
        <w:t xml:space="preserve"> i</w:t>
      </w:r>
      <w:r w:rsidR="00B44658">
        <w:rPr>
          <w:rFonts w:ascii="Times New Roman" w:eastAsia="Times New Roman" w:hAnsi="Times New Roman" w:cs="Times New Roman"/>
        </w:rPr>
        <w:t>n these export systems thereby “</w:t>
      </w:r>
      <w:r w:rsidRPr="005B0C68">
        <w:rPr>
          <w:rFonts w:ascii="Times New Roman" w:eastAsia="Times New Roman" w:hAnsi="Times New Roman" w:cs="Times New Roman"/>
        </w:rPr>
        <w:t xml:space="preserve">contribute to a lack of clarity from where and under what circumstances caviar from the </w:t>
      </w:r>
      <w:r w:rsidR="00B44658">
        <w:rPr>
          <w:rFonts w:ascii="Times New Roman" w:eastAsia="Times New Roman" w:hAnsi="Times New Roman" w:cs="Times New Roman"/>
        </w:rPr>
        <w:t>wild can still enter the market”</w:t>
      </w:r>
      <w:r w:rsidRPr="005B0C68">
        <w:rPr>
          <w:rFonts w:ascii="Times New Roman" w:eastAsia="Times New Roman" w:hAnsi="Times New Roman" w:cs="Times New Roman"/>
        </w:rPr>
        <w:t xml:space="preserve"> (Harris &amp; Shiraishi, 2018:66-67).</w:t>
      </w:r>
      <w:r w:rsidR="0034276F">
        <w:rPr>
          <w:rFonts w:ascii="Times New Roman" w:eastAsia="Times New Roman" w:hAnsi="Times New Roman" w:cs="Times New Roman"/>
        </w:rPr>
        <w:t xml:space="preserve"> </w:t>
      </w:r>
    </w:p>
    <w:p w14:paraId="67EE251F" w14:textId="0296D32B" w:rsidR="00AC10E7" w:rsidRPr="005B0C68" w:rsidRDefault="00AC10E7" w:rsidP="0025452A">
      <w:pPr>
        <w:pStyle w:val="Normal1"/>
        <w:spacing w:after="160" w:line="360" w:lineRule="auto"/>
        <w:jc w:val="both"/>
        <w:rPr>
          <w:rFonts w:ascii="Times New Roman" w:eastAsia="Times New Roman" w:hAnsi="Times New Roman" w:cs="Times New Roman"/>
        </w:rPr>
      </w:pPr>
      <w:r w:rsidRPr="005B0C68">
        <w:rPr>
          <w:rFonts w:ascii="Times New Roman" w:eastAsia="Times New Roman" w:hAnsi="Times New Roman" w:cs="Times New Roman"/>
        </w:rPr>
        <w:tab/>
        <w:t xml:space="preserve">A final under-examined gap </w:t>
      </w:r>
      <w:r w:rsidR="007F70FB">
        <w:rPr>
          <w:rFonts w:ascii="Times New Roman" w:eastAsia="Times New Roman" w:hAnsi="Times New Roman" w:cs="Times New Roman"/>
        </w:rPr>
        <w:t>in</w:t>
      </w:r>
      <w:r w:rsidRPr="005B0C68">
        <w:rPr>
          <w:rFonts w:ascii="Times New Roman" w:eastAsia="Times New Roman" w:hAnsi="Times New Roman" w:cs="Times New Roman"/>
        </w:rPr>
        <w:t xml:space="preserve"> the export quota system and CITES Resolution Conf 12.7 generally, is that the resolution does not explicitly acknowledge</w:t>
      </w:r>
      <w:r w:rsidR="007F70FB">
        <w:rPr>
          <w:rFonts w:ascii="Times New Roman" w:eastAsia="Times New Roman" w:hAnsi="Times New Roman" w:cs="Times New Roman"/>
        </w:rPr>
        <w:t xml:space="preserve"> the implication of  the regulations </w:t>
      </w:r>
      <w:r w:rsidRPr="005B0C68">
        <w:rPr>
          <w:rFonts w:ascii="Times New Roman" w:eastAsia="Times New Roman" w:hAnsi="Times New Roman" w:cs="Times New Roman"/>
        </w:rPr>
        <w:t>and mechanisms such as export quotas</w:t>
      </w:r>
      <w:r w:rsidR="007F70FB">
        <w:rPr>
          <w:rFonts w:ascii="Times New Roman" w:eastAsia="Times New Roman" w:hAnsi="Times New Roman" w:cs="Times New Roman"/>
        </w:rPr>
        <w:t>,</w:t>
      </w:r>
      <w:r w:rsidRPr="005B0C68">
        <w:rPr>
          <w:rFonts w:ascii="Times New Roman" w:eastAsia="Times New Roman" w:hAnsi="Times New Roman" w:cs="Times New Roman"/>
        </w:rPr>
        <w:t xml:space="preserve"> </w:t>
      </w:r>
      <w:r w:rsidR="007F70FB">
        <w:rPr>
          <w:rFonts w:ascii="Times New Roman" w:eastAsia="Times New Roman" w:hAnsi="Times New Roman" w:cs="Times New Roman"/>
        </w:rPr>
        <w:t>upon fishing communities</w:t>
      </w:r>
      <w:r w:rsidRPr="005B0C68">
        <w:rPr>
          <w:rFonts w:ascii="Times New Roman" w:eastAsia="Times New Roman" w:hAnsi="Times New Roman" w:cs="Times New Roman"/>
        </w:rPr>
        <w:t xml:space="preserve"> in sturgeon range states. The Resolution u</w:t>
      </w:r>
      <w:r w:rsidR="00B44658">
        <w:rPr>
          <w:rFonts w:ascii="Times New Roman" w:eastAsia="Times New Roman" w:hAnsi="Times New Roman" w:cs="Times New Roman"/>
        </w:rPr>
        <w:t>rges sturgeon range states to: “</w:t>
      </w:r>
      <w:r w:rsidRPr="005B0C68">
        <w:rPr>
          <w:rFonts w:ascii="Times New Roman" w:eastAsia="Times New Roman" w:hAnsi="Times New Roman" w:cs="Times New Roman"/>
        </w:rPr>
        <w:t>promote the sustainability of sturgeon and paddlefish fisheries through app</w:t>
      </w:r>
      <w:r w:rsidR="00B44658">
        <w:rPr>
          <w:rFonts w:ascii="Times New Roman" w:eastAsia="Times New Roman" w:hAnsi="Times New Roman" w:cs="Times New Roman"/>
        </w:rPr>
        <w:t>ropriate management programmes”,</w:t>
      </w:r>
      <w:r w:rsidRPr="005B0C68">
        <w:rPr>
          <w:rFonts w:ascii="Times New Roman" w:eastAsia="Times New Roman" w:hAnsi="Times New Roman" w:cs="Times New Roman"/>
        </w:rPr>
        <w:t xml:space="preserve"> such as </w:t>
      </w:r>
      <w:r w:rsidR="00B44658">
        <w:rPr>
          <w:rFonts w:ascii="Times New Roman" w:eastAsia="Times New Roman" w:hAnsi="Times New Roman" w:cs="Times New Roman"/>
        </w:rPr>
        <w:t>the export quotas; and also to “</w:t>
      </w:r>
      <w:r w:rsidRPr="005B0C68">
        <w:rPr>
          <w:rFonts w:ascii="Times New Roman" w:eastAsia="Times New Roman" w:hAnsi="Times New Roman" w:cs="Times New Roman"/>
        </w:rPr>
        <w:t>explore ways of enhancing the participation of representatives of all agencies responsible for sturgeon paddlefish fisheries in conservation and sustain</w:t>
      </w:r>
      <w:r w:rsidR="00B44658">
        <w:rPr>
          <w:rFonts w:ascii="Times New Roman" w:eastAsia="Times New Roman" w:hAnsi="Times New Roman" w:cs="Times New Roman"/>
        </w:rPr>
        <w:t>able programmes for the species”</w:t>
      </w:r>
      <w:r w:rsidRPr="005B0C68">
        <w:rPr>
          <w:rFonts w:ascii="Times New Roman" w:eastAsia="Times New Roman" w:hAnsi="Times New Roman" w:cs="Times New Roman"/>
        </w:rPr>
        <w:t xml:space="preserve"> (</w:t>
      </w:r>
      <w:r w:rsidRPr="00EE0F64">
        <w:rPr>
          <w:rFonts w:ascii="Times New Roman" w:eastAsia="Times New Roman" w:hAnsi="Times New Roman" w:cs="Times New Roman"/>
        </w:rPr>
        <w:t>CITES, Resolution Conf.12.7, 2016</w:t>
      </w:r>
      <w:r w:rsidRPr="005B0C68">
        <w:rPr>
          <w:rFonts w:ascii="Times New Roman" w:eastAsia="Times New Roman" w:hAnsi="Times New Roman" w:cs="Times New Roman"/>
        </w:rPr>
        <w:t xml:space="preserve">). </w:t>
      </w:r>
      <w:r w:rsidR="007F70FB">
        <w:rPr>
          <w:rFonts w:ascii="Times New Roman" w:eastAsia="Times New Roman" w:hAnsi="Times New Roman" w:cs="Times New Roman"/>
        </w:rPr>
        <w:t xml:space="preserve">However, </w:t>
      </w:r>
      <w:r w:rsidRPr="005B0C68">
        <w:rPr>
          <w:rFonts w:ascii="Times New Roman" w:eastAsia="Times New Roman" w:hAnsi="Times New Roman" w:cs="Times New Roman"/>
        </w:rPr>
        <w:t xml:space="preserve">there is </w:t>
      </w:r>
      <w:r w:rsidR="007F70FB">
        <w:rPr>
          <w:rFonts w:ascii="Times New Roman" w:eastAsia="Times New Roman" w:hAnsi="Times New Roman" w:cs="Times New Roman"/>
        </w:rPr>
        <w:t xml:space="preserve">arguably </w:t>
      </w:r>
      <w:r w:rsidRPr="005B0C68">
        <w:rPr>
          <w:rFonts w:ascii="Times New Roman" w:eastAsia="Times New Roman" w:hAnsi="Times New Roman" w:cs="Times New Roman"/>
        </w:rPr>
        <w:t>a disconnect between these aims in practice. The implementation of the zero export quotas effectively precludes any possibility for fishermen to participate in sustainable use programmes, as wild sturgeon fishi</w:t>
      </w:r>
      <w:r>
        <w:rPr>
          <w:rFonts w:ascii="Times New Roman" w:eastAsia="Times New Roman" w:hAnsi="Times New Roman" w:cs="Times New Roman"/>
        </w:rPr>
        <w:t>ng has largely been prohibited</w:t>
      </w:r>
      <w:r w:rsidRPr="005B292F">
        <w:rPr>
          <w:rStyle w:val="FootnoteReference"/>
        </w:rPr>
        <w:footnoteReference w:id="29"/>
      </w:r>
      <w:r>
        <w:rPr>
          <w:rFonts w:ascii="Times New Roman" w:eastAsia="Times New Roman" w:hAnsi="Times New Roman" w:cs="Times New Roman"/>
        </w:rPr>
        <w:t xml:space="preserve"> </w:t>
      </w:r>
      <w:r w:rsidRPr="005B0C68">
        <w:rPr>
          <w:rFonts w:ascii="Times New Roman" w:eastAsia="Times New Roman" w:hAnsi="Times New Roman" w:cs="Times New Roman"/>
        </w:rPr>
        <w:t>and replaced by sturgeon aquaculture. To this extent, the impacts of the regulations upon the l</w:t>
      </w:r>
      <w:r w:rsidR="007F70FB">
        <w:rPr>
          <w:rFonts w:ascii="Times New Roman" w:eastAsia="Times New Roman" w:hAnsi="Times New Roman" w:cs="Times New Roman"/>
        </w:rPr>
        <w:t>ivelihoods of sturgeon fishing communities</w:t>
      </w:r>
      <w:r w:rsidRPr="005B0C68">
        <w:rPr>
          <w:rFonts w:ascii="Times New Roman" w:eastAsia="Times New Roman" w:hAnsi="Times New Roman" w:cs="Times New Roman"/>
        </w:rPr>
        <w:t xml:space="preserve"> have </w:t>
      </w:r>
      <w:r w:rsidR="007F70FB">
        <w:rPr>
          <w:rFonts w:ascii="Times New Roman" w:eastAsia="Times New Roman" w:hAnsi="Times New Roman" w:cs="Times New Roman"/>
        </w:rPr>
        <w:t xml:space="preserve">largely been </w:t>
      </w:r>
      <w:r w:rsidRPr="005B0C68">
        <w:rPr>
          <w:rFonts w:ascii="Times New Roman" w:eastAsia="Times New Roman" w:hAnsi="Times New Roman" w:cs="Times New Roman"/>
        </w:rPr>
        <w:t>overlooked in the process of adopting zero export quotas. The absence of recommendations in CITES Resolution Conf 12</w:t>
      </w:r>
      <w:r w:rsidR="007F70FB">
        <w:rPr>
          <w:rFonts w:ascii="Times New Roman" w:eastAsia="Times New Roman" w:hAnsi="Times New Roman" w:cs="Times New Roman"/>
        </w:rPr>
        <w:t>.7 to support sturgeon fishermen</w:t>
      </w:r>
      <w:r w:rsidRPr="005B0C68">
        <w:rPr>
          <w:rFonts w:ascii="Times New Roman" w:eastAsia="Times New Roman" w:hAnsi="Times New Roman" w:cs="Times New Roman"/>
        </w:rPr>
        <w:t xml:space="preserve"> or otherwise shield them from t</w:t>
      </w:r>
      <w:r w:rsidR="007F70FB">
        <w:rPr>
          <w:rFonts w:ascii="Times New Roman" w:eastAsia="Times New Roman" w:hAnsi="Times New Roman" w:cs="Times New Roman"/>
        </w:rPr>
        <w:t xml:space="preserve">he impact of zero export quotas, </w:t>
      </w:r>
      <w:r w:rsidRPr="005B0C68">
        <w:rPr>
          <w:rFonts w:ascii="Times New Roman" w:eastAsia="Times New Roman" w:hAnsi="Times New Roman" w:cs="Times New Roman"/>
        </w:rPr>
        <w:t>is a significant gap in the regulatory system. Later in this chapter, I argue that criminalizing the livelihoods of sturgeon fishermen via the regulatory frameworks, can actually serve to catalyse poaching in sturgeon range states.</w:t>
      </w:r>
    </w:p>
    <w:p w14:paraId="361313FE" w14:textId="77777777" w:rsidR="00AC10E7" w:rsidRDefault="00AC10E7" w:rsidP="00AC10E7">
      <w:pPr>
        <w:pStyle w:val="Normal1"/>
        <w:spacing w:line="360" w:lineRule="auto"/>
        <w:jc w:val="both"/>
        <w:rPr>
          <w:rFonts w:ascii="Times New Roman" w:eastAsia="Times New Roman" w:hAnsi="Times New Roman" w:cs="Times New Roman"/>
          <w:u w:val="single"/>
        </w:rPr>
      </w:pPr>
    </w:p>
    <w:p w14:paraId="14F2C92C" w14:textId="77777777" w:rsidR="00AC10E7" w:rsidRDefault="00AC10E7" w:rsidP="00AC10E7">
      <w:pPr>
        <w:pStyle w:val="Notasubsection"/>
      </w:pPr>
      <w:r>
        <w:t>CITES Universal labelling system</w:t>
      </w:r>
    </w:p>
    <w:p w14:paraId="411C64EA" w14:textId="11A0EE9D" w:rsidR="00AC10E7" w:rsidRPr="009023E6" w:rsidRDefault="00AC10E7" w:rsidP="0025452A">
      <w:pPr>
        <w:pStyle w:val="Normal1"/>
        <w:spacing w:after="160" w:line="360" w:lineRule="auto"/>
        <w:jc w:val="both"/>
        <w:rPr>
          <w:rFonts w:ascii="Times New Roman" w:eastAsia="Times New Roman" w:hAnsi="Times New Roman" w:cs="Times New Roman"/>
        </w:rPr>
      </w:pPr>
      <w:r w:rsidRPr="0015407D">
        <w:rPr>
          <w:rFonts w:ascii="Times New Roman" w:eastAsia="Times New Roman" w:hAnsi="Times New Roman" w:cs="Times New Roman"/>
        </w:rPr>
        <w:t>The other significant component of CITES Resolution Conf. 12.7 is the universal labelling system for caviar which was introduced in 2000 and has been amended over the intervening years. The th</w:t>
      </w:r>
      <w:r w:rsidR="000D36A4">
        <w:rPr>
          <w:rFonts w:ascii="Times New Roman" w:eastAsia="Times New Roman" w:hAnsi="Times New Roman" w:cs="Times New Roman"/>
        </w:rPr>
        <w:t>e universal labelling system is</w:t>
      </w:r>
      <w:r w:rsidRPr="0015407D">
        <w:rPr>
          <w:rFonts w:ascii="Times New Roman" w:eastAsia="Times New Roman" w:hAnsi="Times New Roman" w:cs="Times New Roman"/>
        </w:rPr>
        <w:t xml:space="preserve"> deemed necessary as a way of ensuring that the caviar supply chain is transparent and traceable, so that consumers are aware of the provenance of the caviar and its trade </w:t>
      </w:r>
      <w:r w:rsidRPr="0015407D">
        <w:rPr>
          <w:rFonts w:ascii="Times New Roman" w:eastAsia="Times New Roman" w:hAnsi="Times New Roman" w:cs="Times New Roman"/>
        </w:rPr>
        <w:lastRenderedPageBreak/>
        <w:t>history. CITES claim that since i</w:t>
      </w:r>
      <w:r w:rsidR="00B44658">
        <w:rPr>
          <w:rFonts w:ascii="Times New Roman" w:eastAsia="Times New Roman" w:hAnsi="Times New Roman" w:cs="Times New Roman"/>
        </w:rPr>
        <w:t>ts introduction, the “</w:t>
      </w:r>
      <w:r w:rsidRPr="0015407D">
        <w:rPr>
          <w:rFonts w:ascii="Times New Roman" w:eastAsia="Times New Roman" w:hAnsi="Times New Roman" w:cs="Times New Roman"/>
        </w:rPr>
        <w:t>labelling of all caviar in trade has proven to be a fundamental step towards the effective regulation of trade in cav</w:t>
      </w:r>
      <w:r w:rsidR="00B44658">
        <w:rPr>
          <w:rFonts w:ascii="Times New Roman" w:eastAsia="Times New Roman" w:hAnsi="Times New Roman" w:cs="Times New Roman"/>
        </w:rPr>
        <w:t>iar of sturgeons and paddlefish”</w:t>
      </w:r>
      <w:r w:rsidR="000D36A4">
        <w:rPr>
          <w:rFonts w:ascii="Times New Roman" w:eastAsia="Times New Roman" w:hAnsi="Times New Roman" w:cs="Times New Roman"/>
        </w:rPr>
        <w:t xml:space="preserve"> (CITES, </w:t>
      </w:r>
      <w:r w:rsidRPr="0015407D">
        <w:rPr>
          <w:rFonts w:ascii="Times New Roman" w:eastAsia="Times New Roman" w:hAnsi="Times New Roman" w:cs="Times New Roman"/>
        </w:rPr>
        <w:t>2016</w:t>
      </w:r>
      <w:r w:rsidR="000D36A4">
        <w:rPr>
          <w:rFonts w:ascii="Times New Roman" w:eastAsia="Times New Roman" w:hAnsi="Times New Roman" w:cs="Times New Roman"/>
        </w:rPr>
        <w:t>:1</w:t>
      </w:r>
      <w:r w:rsidRPr="0015407D">
        <w:rPr>
          <w:rFonts w:ascii="Times New Roman" w:eastAsia="Times New Roman" w:hAnsi="Times New Roman" w:cs="Times New Roman"/>
        </w:rPr>
        <w:t xml:space="preserve">). The labelling system covers both wild-caught and captive-bred caviar, and requires that countries producing caviar and repackaging caviar, must adhere to a standardised marking system </w:t>
      </w:r>
      <w:r w:rsidRPr="009023E6">
        <w:rPr>
          <w:rFonts w:ascii="Times New Roman" w:eastAsia="Times New Roman" w:hAnsi="Times New Roman" w:cs="Times New Roman"/>
        </w:rPr>
        <w:t xml:space="preserve">that allows straightforward identification of the source of the caviar. Resolution Conf. 12.7 states that the labelling system applies to all caviar, whether being sold internationally or domestically. </w:t>
      </w:r>
    </w:p>
    <w:p w14:paraId="366D3EDB" w14:textId="19C90F39" w:rsidR="000D36A4" w:rsidRPr="009023E6" w:rsidRDefault="00AC10E7" w:rsidP="0025452A">
      <w:pPr>
        <w:pStyle w:val="Normal1"/>
        <w:spacing w:after="160" w:line="360" w:lineRule="auto"/>
        <w:ind w:firstLine="720"/>
        <w:jc w:val="both"/>
        <w:rPr>
          <w:rFonts w:ascii="Times New Roman" w:eastAsia="Times New Roman" w:hAnsi="Times New Roman" w:cs="Times New Roman"/>
        </w:rPr>
      </w:pPr>
      <w:r w:rsidRPr="009023E6">
        <w:rPr>
          <w:rFonts w:ascii="Times New Roman" w:eastAsia="Times New Roman" w:hAnsi="Times New Roman" w:cs="Times New Roman"/>
        </w:rPr>
        <w:t>In order to ensure ‘legal and traceable trade’, Resolution Conf. 12.7 outlines particular specifications for what information should be included on the design of the label, and how the label should be affixed to the caviar container</w:t>
      </w:r>
      <w:r w:rsidR="0019348B" w:rsidRPr="009023E6">
        <w:rPr>
          <w:rStyle w:val="FootnoteReference"/>
          <w:rFonts w:ascii="Times New Roman" w:eastAsia="Times New Roman" w:hAnsi="Times New Roman" w:cs="Times New Roman"/>
        </w:rPr>
        <w:footnoteReference w:id="30"/>
      </w:r>
      <w:r w:rsidRPr="009023E6">
        <w:rPr>
          <w:rFonts w:ascii="Times New Roman" w:eastAsia="Times New Roman" w:hAnsi="Times New Roman" w:cs="Times New Roman"/>
        </w:rPr>
        <w:t xml:space="preserve">. </w:t>
      </w:r>
      <w:r w:rsidR="000D36A4" w:rsidRPr="009023E6">
        <w:rPr>
          <w:rFonts w:ascii="Times New Roman" w:eastAsia="Times New Roman" w:hAnsi="Times New Roman" w:cs="Times New Roman"/>
        </w:rPr>
        <w:t>The label applied</w:t>
      </w:r>
      <w:r w:rsidRPr="009023E6">
        <w:rPr>
          <w:rFonts w:ascii="Times New Roman" w:eastAsia="Times New Roman" w:hAnsi="Times New Roman" w:cs="Times New Roman"/>
        </w:rPr>
        <w:t xml:space="preserve"> to each caviar container must be non-reusable, meaning that it should ideally seal the container and cannot be removed or transferred to another container without damage. In instances where the label does not seal the container, the caviar must be packaged in a way that affords visual evidence of any opening of the container. Moreover, the label must include the following information: </w:t>
      </w:r>
    </w:p>
    <w:p w14:paraId="301F4A3A" w14:textId="77777777" w:rsidR="000D36A4" w:rsidRPr="009023E6" w:rsidRDefault="00AC10E7" w:rsidP="0025452A">
      <w:pPr>
        <w:pStyle w:val="Quote"/>
      </w:pPr>
      <w:r w:rsidRPr="009023E6">
        <w:t xml:space="preserve">a species code for the species of sturgeon the caviar is harvested from; </w:t>
      </w:r>
    </w:p>
    <w:p w14:paraId="3992DC45" w14:textId="1C427DD4" w:rsidR="000D36A4" w:rsidRPr="009023E6" w:rsidRDefault="00AC10E7" w:rsidP="0025452A">
      <w:pPr>
        <w:pStyle w:val="Quote"/>
      </w:pPr>
      <w:r w:rsidRPr="009023E6">
        <w:t>the source code of the caviar to indicate wheth</w:t>
      </w:r>
      <w:r w:rsidR="000D36A4" w:rsidRPr="009023E6">
        <w:t xml:space="preserve">er it is wild (W), farmed (C) , </w:t>
      </w:r>
      <w:r w:rsidRPr="009023E6">
        <w:t xml:space="preserve">or caviar produced from a female born in captivity with at least one parent originating from the wild (F); </w:t>
      </w:r>
    </w:p>
    <w:p w14:paraId="279C4BC9" w14:textId="77777777" w:rsidR="000D36A4" w:rsidRPr="009023E6" w:rsidRDefault="00AC10E7" w:rsidP="0025452A">
      <w:pPr>
        <w:pStyle w:val="Quote"/>
      </w:pPr>
      <w:r w:rsidRPr="009023E6">
        <w:t xml:space="preserve">the ISO code for country of origin; </w:t>
      </w:r>
    </w:p>
    <w:p w14:paraId="47D03CB9" w14:textId="77777777" w:rsidR="000D36A4" w:rsidRPr="009023E6" w:rsidRDefault="00AC10E7" w:rsidP="0025452A">
      <w:pPr>
        <w:pStyle w:val="Quote"/>
      </w:pPr>
      <w:r w:rsidRPr="009023E6">
        <w:t xml:space="preserve">the year the caviar was harvested; </w:t>
      </w:r>
    </w:p>
    <w:p w14:paraId="4D230961" w14:textId="77777777" w:rsidR="000D36A4" w:rsidRPr="009023E6" w:rsidRDefault="00AC10E7" w:rsidP="0025452A">
      <w:pPr>
        <w:pStyle w:val="Quote"/>
      </w:pPr>
      <w:r w:rsidRPr="009023E6">
        <w:t xml:space="preserve">the official registration code of the processing plant; </w:t>
      </w:r>
    </w:p>
    <w:p w14:paraId="6D21E3EC" w14:textId="2F01A3D5" w:rsidR="000D36A4" w:rsidRPr="0025452A" w:rsidRDefault="00AC10E7" w:rsidP="0025452A">
      <w:pPr>
        <w:pStyle w:val="Quote"/>
      </w:pPr>
      <w:r w:rsidRPr="009023E6">
        <w:t xml:space="preserve">and the lot identification number for the caviar. </w:t>
      </w:r>
    </w:p>
    <w:p w14:paraId="3DE1F187" w14:textId="77777777" w:rsidR="000D36A4" w:rsidRPr="009023E6" w:rsidRDefault="00AC10E7" w:rsidP="0025452A">
      <w:pPr>
        <w:pStyle w:val="Normal1"/>
        <w:spacing w:after="160" w:line="360" w:lineRule="auto"/>
        <w:jc w:val="both"/>
        <w:rPr>
          <w:rFonts w:ascii="Times New Roman" w:eastAsia="Times New Roman" w:hAnsi="Times New Roman" w:cs="Times New Roman"/>
        </w:rPr>
      </w:pPr>
      <w:r w:rsidRPr="009023E6">
        <w:rPr>
          <w:rFonts w:ascii="Times New Roman" w:eastAsia="Times New Roman" w:hAnsi="Times New Roman" w:cs="Times New Roman"/>
        </w:rPr>
        <w:t>For example: HUS/</w:t>
      </w:r>
      <w:r w:rsidR="00B44658" w:rsidRPr="009023E6">
        <w:rPr>
          <w:rFonts w:ascii="Times New Roman" w:eastAsia="Times New Roman" w:hAnsi="Times New Roman" w:cs="Times New Roman"/>
        </w:rPr>
        <w:t>W/RU/2000/xxxx/yyyy (see image 4.1 and image 4</w:t>
      </w:r>
      <w:r w:rsidRPr="009023E6">
        <w:rPr>
          <w:rFonts w:ascii="Times New Roman" w:eastAsia="Times New Roman" w:hAnsi="Times New Roman" w:cs="Times New Roman"/>
        </w:rPr>
        <w:t>.2 as examples of caviar labelled according to CITES regulations). If the caviar is repackaged, then the repackaging facility is responsible for affixing a label to the caviar container which contains some extra details related to the repacking process. The correct CITES labelling for repackaged caviar includes:</w:t>
      </w:r>
    </w:p>
    <w:p w14:paraId="4E281C49" w14:textId="77777777" w:rsidR="000D36A4" w:rsidRPr="009023E6" w:rsidRDefault="00AC10E7" w:rsidP="0025452A">
      <w:pPr>
        <w:pStyle w:val="Quote"/>
      </w:pPr>
      <w:r w:rsidRPr="009023E6">
        <w:t xml:space="preserve">species code; </w:t>
      </w:r>
    </w:p>
    <w:p w14:paraId="59F32CF0" w14:textId="77777777" w:rsidR="000D36A4" w:rsidRPr="009023E6" w:rsidRDefault="00AC10E7" w:rsidP="0025452A">
      <w:pPr>
        <w:pStyle w:val="Quote"/>
      </w:pPr>
      <w:r w:rsidRPr="009023E6">
        <w:t xml:space="preserve">source code; </w:t>
      </w:r>
    </w:p>
    <w:p w14:paraId="35985E75" w14:textId="77777777" w:rsidR="000D36A4" w:rsidRPr="009023E6" w:rsidRDefault="00AC10E7" w:rsidP="0025452A">
      <w:pPr>
        <w:pStyle w:val="Quote"/>
      </w:pPr>
      <w:r w:rsidRPr="009023E6">
        <w:t xml:space="preserve">ISO country code; </w:t>
      </w:r>
    </w:p>
    <w:p w14:paraId="2BBD2962" w14:textId="77777777" w:rsidR="000D36A4" w:rsidRPr="009023E6" w:rsidRDefault="00AC10E7" w:rsidP="0025452A">
      <w:pPr>
        <w:pStyle w:val="Quote"/>
      </w:pPr>
      <w:r w:rsidRPr="009023E6">
        <w:t xml:space="preserve">the year the caviar was repackaged; </w:t>
      </w:r>
    </w:p>
    <w:p w14:paraId="1EF145BA" w14:textId="77777777" w:rsidR="000D36A4" w:rsidRPr="009023E6" w:rsidRDefault="00AC10E7" w:rsidP="0025452A">
      <w:pPr>
        <w:pStyle w:val="Quote"/>
      </w:pPr>
      <w:r w:rsidRPr="009023E6">
        <w:t xml:space="preserve">the official registration code of the repackaging plant, which incorporates the ISO code of the country repackaging if it is different to the country of origin; </w:t>
      </w:r>
    </w:p>
    <w:p w14:paraId="4831B804" w14:textId="3F8CEE87" w:rsidR="000D36A4" w:rsidRPr="0025452A" w:rsidRDefault="00AC10E7" w:rsidP="0025452A">
      <w:pPr>
        <w:pStyle w:val="Quote"/>
      </w:pPr>
      <w:r w:rsidRPr="009023E6">
        <w:t xml:space="preserve">and the lot identification number, or CITES permit or re-export certificate number. </w:t>
      </w:r>
    </w:p>
    <w:p w14:paraId="6F78369C" w14:textId="1CA79560" w:rsidR="00B44658" w:rsidRPr="009023E6" w:rsidRDefault="00AC10E7" w:rsidP="0025452A">
      <w:pPr>
        <w:pStyle w:val="Normal1"/>
        <w:spacing w:after="160" w:line="360" w:lineRule="auto"/>
        <w:jc w:val="both"/>
        <w:rPr>
          <w:rFonts w:ascii="Times New Roman" w:eastAsia="Times New Roman" w:hAnsi="Times New Roman" w:cs="Times New Roman"/>
        </w:rPr>
      </w:pPr>
      <w:r w:rsidRPr="009023E6">
        <w:rPr>
          <w:rFonts w:ascii="Times New Roman" w:eastAsia="Times New Roman" w:hAnsi="Times New Roman" w:cs="Times New Roman"/>
        </w:rPr>
        <w:lastRenderedPageBreak/>
        <w:t xml:space="preserve">For example: PER/W/IR/2001/IT-wwww/zzzz. All caviar containers must be labelled in accordance with the labelling requirements of CITES Resolution Conf. 12.7 or they can be seized by enforcement authorities and are classified as illegal caviar products, even if the caviar is from a farmed source. </w:t>
      </w:r>
    </w:p>
    <w:p w14:paraId="4B97C3AC" w14:textId="77777777" w:rsidR="00AC10E7" w:rsidRDefault="00AC10E7" w:rsidP="00AC10E7">
      <w:pPr>
        <w:pStyle w:val="Normal1"/>
        <w:spacing w:line="360" w:lineRule="auto"/>
        <w:jc w:val="both"/>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21CAC760" wp14:editId="7B4F791A">
            <wp:extent cx="5734050" cy="3175000"/>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5734050" cy="3175000"/>
                    </a:xfrm>
                    <a:prstGeom prst="rect">
                      <a:avLst/>
                    </a:prstGeom>
                    <a:ln/>
                  </pic:spPr>
                </pic:pic>
              </a:graphicData>
            </a:graphic>
          </wp:inline>
        </w:drawing>
      </w:r>
    </w:p>
    <w:p w14:paraId="1FFF8461" w14:textId="7ADA684B" w:rsidR="007C5DDB" w:rsidRDefault="00B44658" w:rsidP="007C5DDB">
      <w:pPr>
        <w:pStyle w:val="Heading5"/>
      </w:pPr>
      <w:bookmarkStart w:id="41" w:name="_Toc452310230"/>
      <w:bookmarkStart w:id="42" w:name="_Toc453224274"/>
      <w:r>
        <w:t>Image 4</w:t>
      </w:r>
      <w:r w:rsidR="00AC10E7">
        <w:t>.1</w:t>
      </w:r>
      <w:r w:rsidR="007C5DDB">
        <w:t>: Example of a company’s caviar label that adheres to CITES regulations.</w:t>
      </w:r>
      <w:bookmarkEnd w:id="42"/>
    </w:p>
    <w:p w14:paraId="1ACF460C" w14:textId="77777777" w:rsidR="00361420" w:rsidRDefault="00AC10E7" w:rsidP="00361420">
      <w:pPr>
        <w:rPr>
          <w:i/>
          <w:sz w:val="20"/>
          <w:szCs w:val="20"/>
        </w:rPr>
      </w:pPr>
      <w:r w:rsidRPr="007C5DDB">
        <w:rPr>
          <w:i/>
          <w:sz w:val="20"/>
          <w:szCs w:val="20"/>
        </w:rPr>
        <w:t>The green label contains the CITES code. Once attached to the container the white wrap around label cannot be removed without being damaged. (Photo: Authors Own)</w:t>
      </w:r>
      <w:bookmarkEnd w:id="41"/>
      <w:r w:rsidRPr="007C5DDB">
        <w:rPr>
          <w:i/>
          <w:sz w:val="20"/>
          <w:szCs w:val="20"/>
        </w:rPr>
        <w:t xml:space="preserve"> </w:t>
      </w:r>
    </w:p>
    <w:p w14:paraId="32998030" w14:textId="66773CBA" w:rsidR="00A2549D" w:rsidRPr="00361420" w:rsidRDefault="00A2549D" w:rsidP="00361420">
      <w:pPr>
        <w:rPr>
          <w:i/>
          <w:sz w:val="22"/>
        </w:rPr>
      </w:pPr>
      <w:r w:rsidRPr="00361420">
        <w:rPr>
          <w:rFonts w:eastAsia="Times New Roman" w:cs="Times New Roman"/>
          <w:bCs/>
          <w:sz w:val="22"/>
        </w:rPr>
        <w:t>The</w:t>
      </w:r>
      <w:r w:rsidR="00AC10E7" w:rsidRPr="00361420">
        <w:rPr>
          <w:rFonts w:eastAsia="Times New Roman" w:cs="Times New Roman"/>
          <w:bCs/>
          <w:sz w:val="22"/>
        </w:rPr>
        <w:t xml:space="preserve"> CITES labelling system is not </w:t>
      </w:r>
      <w:r w:rsidRPr="00361420">
        <w:rPr>
          <w:rFonts w:eastAsia="Times New Roman" w:cs="Times New Roman"/>
          <w:bCs/>
          <w:sz w:val="22"/>
        </w:rPr>
        <w:t>fool-proof</w:t>
      </w:r>
      <w:r w:rsidR="00AC10E7" w:rsidRPr="00361420">
        <w:rPr>
          <w:rFonts w:eastAsia="Times New Roman" w:cs="Times New Roman"/>
          <w:bCs/>
          <w:sz w:val="22"/>
        </w:rPr>
        <w:t xml:space="preserve"> in preventing illegal trade and fraud, with instances of mislabelled caviar being co</w:t>
      </w:r>
      <w:r w:rsidRPr="00361420">
        <w:rPr>
          <w:rFonts w:eastAsia="Times New Roman" w:cs="Times New Roman"/>
          <w:bCs/>
          <w:sz w:val="22"/>
        </w:rPr>
        <w:t>mmon. In order to minimise the risk of fraud,</w:t>
      </w:r>
      <w:r w:rsidR="00AC10E7" w:rsidRPr="00361420">
        <w:rPr>
          <w:rFonts w:eastAsia="Times New Roman" w:cs="Times New Roman"/>
          <w:bCs/>
          <w:sz w:val="22"/>
        </w:rPr>
        <w:t xml:space="preserve"> some states have gone beyond the requirements of the universal labelling system by integrating security features such as holograms or watermarks into the</w:t>
      </w:r>
      <w:r w:rsidRPr="00361420">
        <w:rPr>
          <w:rFonts w:eastAsia="Times New Roman" w:cs="Times New Roman"/>
          <w:bCs/>
          <w:sz w:val="22"/>
        </w:rPr>
        <w:t>ir labels. This is not</w:t>
      </w:r>
      <w:r w:rsidR="00AC10E7" w:rsidRPr="00361420">
        <w:rPr>
          <w:rFonts w:eastAsia="Times New Roman" w:cs="Times New Roman"/>
          <w:bCs/>
          <w:sz w:val="22"/>
        </w:rPr>
        <w:t xml:space="preserve"> an explicit requirement </w:t>
      </w:r>
      <w:r w:rsidRPr="00361420">
        <w:rPr>
          <w:rFonts w:eastAsia="Times New Roman" w:cs="Times New Roman"/>
          <w:bCs/>
          <w:sz w:val="22"/>
        </w:rPr>
        <w:t xml:space="preserve">under Resolution Conf. 12.7. However </w:t>
      </w:r>
      <w:r w:rsidR="00AC10E7" w:rsidRPr="00361420">
        <w:rPr>
          <w:rFonts w:eastAsia="Times New Roman" w:cs="Times New Roman"/>
          <w:bCs/>
          <w:sz w:val="22"/>
        </w:rPr>
        <w:t>there are</w:t>
      </w:r>
      <w:r w:rsidRPr="00361420">
        <w:rPr>
          <w:rFonts w:eastAsia="Times New Roman" w:cs="Times New Roman"/>
          <w:bCs/>
          <w:sz w:val="22"/>
        </w:rPr>
        <w:t xml:space="preserve"> increasing</w:t>
      </w:r>
      <w:r w:rsidR="00AC10E7" w:rsidRPr="00361420">
        <w:rPr>
          <w:rFonts w:eastAsia="Times New Roman" w:cs="Times New Roman"/>
          <w:bCs/>
          <w:sz w:val="22"/>
        </w:rPr>
        <w:t xml:space="preserve"> calls made by NGOs, industry representatives</w:t>
      </w:r>
      <w:r w:rsidRPr="00361420">
        <w:rPr>
          <w:rFonts w:eastAsia="Times New Roman" w:cs="Times New Roman"/>
          <w:bCs/>
          <w:sz w:val="22"/>
        </w:rPr>
        <w:t>,</w:t>
      </w:r>
      <w:r w:rsidR="00AC10E7" w:rsidRPr="00361420">
        <w:rPr>
          <w:rFonts w:eastAsia="Times New Roman" w:cs="Times New Roman"/>
          <w:bCs/>
          <w:sz w:val="22"/>
        </w:rPr>
        <w:t xml:space="preserve"> and enforcement officials, to amend the Resolution in order to make security features a</w:t>
      </w:r>
      <w:r w:rsidRPr="00361420">
        <w:rPr>
          <w:rFonts w:eastAsia="Times New Roman" w:cs="Times New Roman"/>
          <w:bCs/>
          <w:sz w:val="22"/>
        </w:rPr>
        <w:t>n explicit</w:t>
      </w:r>
      <w:r w:rsidR="00AC10E7" w:rsidRPr="00361420">
        <w:rPr>
          <w:rFonts w:eastAsia="Times New Roman" w:cs="Times New Roman"/>
          <w:bCs/>
          <w:sz w:val="22"/>
        </w:rPr>
        <w:t xml:space="preserve"> requirement</w:t>
      </w:r>
      <w:r w:rsidRPr="00361420">
        <w:rPr>
          <w:rStyle w:val="FootnoteReference"/>
          <w:rFonts w:eastAsia="Times New Roman" w:cs="Times New Roman"/>
          <w:bCs/>
          <w:sz w:val="22"/>
        </w:rPr>
        <w:footnoteReference w:id="31"/>
      </w:r>
      <w:r w:rsidR="00AC10E7" w:rsidRPr="00361420">
        <w:rPr>
          <w:rFonts w:eastAsia="Times New Roman" w:cs="Times New Roman"/>
          <w:bCs/>
          <w:sz w:val="22"/>
        </w:rPr>
        <w:t xml:space="preserve">. </w:t>
      </w:r>
    </w:p>
    <w:p w14:paraId="181CE484" w14:textId="3F862DCD" w:rsidR="00AC10E7" w:rsidRDefault="00AC10E7" w:rsidP="0025452A">
      <w:pPr>
        <w:pStyle w:val="Normal1"/>
        <w:spacing w:after="160" w:line="360" w:lineRule="auto"/>
        <w:ind w:firstLine="720"/>
        <w:jc w:val="both"/>
        <w:rPr>
          <w:rFonts w:ascii="Times New Roman" w:eastAsia="Times New Roman" w:hAnsi="Times New Roman" w:cs="Times New Roman"/>
          <w:bCs/>
          <w:lang w:val="en-GB"/>
        </w:rPr>
      </w:pPr>
      <w:r w:rsidRPr="00361420">
        <w:rPr>
          <w:rFonts w:ascii="Times New Roman" w:eastAsia="Times New Roman" w:hAnsi="Times New Roman" w:cs="Times New Roman"/>
          <w:bCs/>
          <w:lang w:val="en-GB"/>
        </w:rPr>
        <w:t xml:space="preserve">This highlights the major gap/grey area in the universal labelling system, namely that there is no universal label design or required security features beyond the code system. Instead, the design of the labels, their placement and security features differ greatly both within </w:t>
      </w:r>
      <w:r w:rsidR="00A2549D" w:rsidRPr="00361420">
        <w:rPr>
          <w:rFonts w:ascii="Times New Roman" w:eastAsia="Times New Roman" w:hAnsi="Times New Roman" w:cs="Times New Roman"/>
          <w:bCs/>
          <w:lang w:val="en-GB"/>
        </w:rPr>
        <w:t xml:space="preserve">and between </w:t>
      </w:r>
      <w:r w:rsidRPr="00361420">
        <w:rPr>
          <w:rFonts w:ascii="Times New Roman" w:eastAsia="Times New Roman" w:hAnsi="Times New Roman" w:cs="Times New Roman"/>
          <w:bCs/>
          <w:lang w:val="en-GB"/>
        </w:rPr>
        <w:t xml:space="preserve">countries. This poses significant issues for enforcement authorities met with innumerable </w:t>
      </w:r>
      <w:r w:rsidR="00A2549D" w:rsidRPr="00361420">
        <w:rPr>
          <w:rFonts w:ascii="Times New Roman" w:eastAsia="Times New Roman" w:hAnsi="Times New Roman" w:cs="Times New Roman"/>
          <w:bCs/>
          <w:lang w:val="en-GB"/>
        </w:rPr>
        <w:t xml:space="preserve">contrasting </w:t>
      </w:r>
      <w:r w:rsidRPr="00361420">
        <w:rPr>
          <w:rFonts w:ascii="Times New Roman" w:eastAsia="Times New Roman" w:hAnsi="Times New Roman" w:cs="Times New Roman"/>
          <w:bCs/>
          <w:lang w:val="en-GB"/>
        </w:rPr>
        <w:t>labels that could be fraudulent. As such, there are calls for CITES Management Authorities to implement a system whereby centralised labels are issued that must be used by all caviar producers and repacking facilit</w:t>
      </w:r>
      <w:r w:rsidR="0061110A" w:rsidRPr="00361420">
        <w:rPr>
          <w:rFonts w:ascii="Times New Roman" w:eastAsia="Times New Roman" w:hAnsi="Times New Roman" w:cs="Times New Roman"/>
          <w:bCs/>
          <w:lang w:val="en-GB"/>
        </w:rPr>
        <w:t>ies in that territory. Some EU Member S</w:t>
      </w:r>
      <w:r w:rsidRPr="00361420">
        <w:rPr>
          <w:rFonts w:ascii="Times New Roman" w:eastAsia="Times New Roman" w:hAnsi="Times New Roman" w:cs="Times New Roman"/>
          <w:bCs/>
          <w:lang w:val="en-GB"/>
        </w:rPr>
        <w:t xml:space="preserve">tates have begun to implement this system. For example NGO </w:t>
      </w:r>
      <w:r w:rsidRPr="00361420">
        <w:rPr>
          <w:rFonts w:ascii="Times New Roman" w:eastAsia="Times New Roman" w:hAnsi="Times New Roman" w:cs="Times New Roman"/>
          <w:bCs/>
          <w:lang w:val="en-GB"/>
        </w:rPr>
        <w:lastRenderedPageBreak/>
        <w:t>project manager Sigrid explained that H</w:t>
      </w:r>
      <w:r w:rsidR="0061110A" w:rsidRPr="00361420">
        <w:rPr>
          <w:rFonts w:ascii="Times New Roman" w:eastAsia="Times New Roman" w:hAnsi="Times New Roman" w:cs="Times New Roman"/>
          <w:bCs/>
          <w:lang w:val="en-GB"/>
        </w:rPr>
        <w:t>ungarian law now mandates that “</w:t>
      </w:r>
      <w:r w:rsidRPr="00361420">
        <w:rPr>
          <w:rFonts w:ascii="Times New Roman" w:eastAsia="Times New Roman" w:hAnsi="Times New Roman" w:cs="Times New Roman"/>
          <w:bCs/>
          <w:lang w:val="en-GB"/>
        </w:rPr>
        <w:t>only certified printers are allowed to produce these labels. I think that there are only two companies in Hungary that are certified [...] So it’s not the caviar producers printing the labels, but it’s the printing houses that print them and send them to the producers</w:t>
      </w:r>
      <w:r w:rsidR="0061110A" w:rsidRPr="00361420">
        <w:rPr>
          <w:rFonts w:ascii="Times New Roman" w:eastAsia="Times New Roman" w:hAnsi="Times New Roman" w:cs="Times New Roman"/>
          <w:bCs/>
          <w:lang w:val="en-GB"/>
        </w:rPr>
        <w:t>”</w:t>
      </w:r>
      <w:r w:rsidRPr="00361420">
        <w:rPr>
          <w:rStyle w:val="FootnoteReference"/>
        </w:rPr>
        <w:footnoteReference w:id="32"/>
      </w:r>
      <w:r w:rsidRPr="00361420">
        <w:rPr>
          <w:rFonts w:ascii="Times New Roman" w:eastAsia="Times New Roman" w:hAnsi="Times New Roman" w:cs="Times New Roman"/>
          <w:bCs/>
          <w:lang w:val="en-GB"/>
        </w:rPr>
        <w:t xml:space="preserve">. UK based caviar producer Ethan, explained that the labelling system had also </w:t>
      </w:r>
      <w:r w:rsidR="000542A7" w:rsidRPr="00361420">
        <w:rPr>
          <w:rFonts w:ascii="Times New Roman" w:eastAsia="Times New Roman" w:hAnsi="Times New Roman" w:cs="Times New Roman"/>
          <w:bCs/>
          <w:lang w:val="en-GB"/>
        </w:rPr>
        <w:t xml:space="preserve">recently </w:t>
      </w:r>
      <w:r w:rsidRPr="00361420">
        <w:rPr>
          <w:rFonts w:ascii="Times New Roman" w:eastAsia="Times New Roman" w:hAnsi="Times New Roman" w:cs="Times New Roman"/>
          <w:bCs/>
          <w:lang w:val="en-GB"/>
        </w:rPr>
        <w:t>changed in the UK, and where the old system me</w:t>
      </w:r>
      <w:r w:rsidR="0061110A" w:rsidRPr="00361420">
        <w:rPr>
          <w:rFonts w:ascii="Times New Roman" w:eastAsia="Times New Roman" w:hAnsi="Times New Roman" w:cs="Times New Roman"/>
          <w:bCs/>
          <w:lang w:val="en-GB"/>
        </w:rPr>
        <w:t>ant you could print the labels “willy-nilly”, now “</w:t>
      </w:r>
      <w:r w:rsidRPr="00361420">
        <w:rPr>
          <w:rFonts w:ascii="Times New Roman" w:eastAsia="Times New Roman" w:hAnsi="Times New Roman" w:cs="Times New Roman"/>
          <w:bCs/>
          <w:lang w:val="en-GB"/>
        </w:rPr>
        <w:t>every CITES label has a number [...] I ordered like 3000 of these last year. And every one is numbered [...] They’ve got this official watermark too</w:t>
      </w:r>
      <w:r w:rsidR="0061110A" w:rsidRPr="00361420">
        <w:rPr>
          <w:rFonts w:ascii="Times New Roman" w:eastAsia="Times New Roman" w:hAnsi="Times New Roman" w:cs="Times New Roman"/>
          <w:bCs/>
          <w:lang w:val="en-GB"/>
        </w:rPr>
        <w:t>”</w:t>
      </w:r>
      <w:r w:rsidRPr="00361420">
        <w:rPr>
          <w:rStyle w:val="FootnoteReference"/>
        </w:rPr>
        <w:footnoteReference w:id="33"/>
      </w:r>
      <w:r w:rsidRPr="00361420">
        <w:rPr>
          <w:rFonts w:ascii="Times New Roman" w:eastAsia="Times New Roman" w:hAnsi="Times New Roman" w:cs="Times New Roman"/>
          <w:bCs/>
          <w:lang w:val="en-GB"/>
        </w:rPr>
        <w:t>. But while the centralisation of labels is not mandated under the CITES Resolution, the current system is problematic. Sigrid therefore calls for a c</w:t>
      </w:r>
      <w:r w:rsidR="0061110A" w:rsidRPr="00361420">
        <w:rPr>
          <w:rFonts w:ascii="Times New Roman" w:eastAsia="Times New Roman" w:hAnsi="Times New Roman" w:cs="Times New Roman"/>
          <w:bCs/>
          <w:lang w:val="en-GB"/>
        </w:rPr>
        <w:t>entralisation of caviar labels “</w:t>
      </w:r>
      <w:r w:rsidRPr="00361420">
        <w:rPr>
          <w:rFonts w:ascii="Times New Roman" w:eastAsia="Times New Roman" w:hAnsi="Times New Roman" w:cs="Times New Roman"/>
          <w:bCs/>
          <w:lang w:val="en-GB"/>
        </w:rPr>
        <w:t>at least on a European level. Because still if every country produces their own standards, or uses their own standards…. For a customs officer, in Heathrow, they would have to know, how are they doing it in Spain? And how are they doing it in Poland?</w:t>
      </w:r>
      <w:r w:rsidR="0061110A" w:rsidRPr="00361420">
        <w:rPr>
          <w:rFonts w:ascii="Times New Roman" w:eastAsia="Times New Roman" w:hAnsi="Times New Roman" w:cs="Times New Roman"/>
          <w:bCs/>
          <w:lang w:val="en-GB"/>
        </w:rPr>
        <w:t>”</w:t>
      </w:r>
      <w:r w:rsidRPr="00361420">
        <w:rPr>
          <w:rStyle w:val="FootnoteReference"/>
        </w:rPr>
        <w:footnoteReference w:id="34"/>
      </w:r>
      <w:r w:rsidRPr="00361420">
        <w:rPr>
          <w:rFonts w:ascii="Times New Roman" w:eastAsia="Times New Roman" w:hAnsi="Times New Roman" w:cs="Times New Roman"/>
          <w:bCs/>
          <w:lang w:val="en-GB"/>
        </w:rPr>
        <w:t xml:space="preserve"> </w:t>
      </w:r>
    </w:p>
    <w:p w14:paraId="0E78FAE9" w14:textId="523E639B" w:rsidR="0025452A" w:rsidRDefault="0025452A" w:rsidP="0025452A">
      <w:pPr>
        <w:pStyle w:val="Normal1"/>
        <w:spacing w:after="160" w:line="360" w:lineRule="auto"/>
        <w:ind w:firstLine="720"/>
        <w:jc w:val="both"/>
        <w:rPr>
          <w:rFonts w:ascii="Times New Roman" w:eastAsia="Times New Roman" w:hAnsi="Times New Roman" w:cs="Times New Roman"/>
          <w:bCs/>
          <w:lang w:val="en-GB"/>
        </w:rPr>
      </w:pPr>
      <w:r>
        <w:rPr>
          <w:rFonts w:ascii="Times New Roman" w:eastAsia="Times New Roman" w:hAnsi="Times New Roman" w:cs="Times New Roman"/>
          <w:noProof/>
          <w:lang w:val="en-US"/>
        </w:rPr>
        <w:drawing>
          <wp:inline distT="114300" distB="114300" distL="114300" distR="114300" wp14:anchorId="3E801C88" wp14:editId="53D36479">
            <wp:extent cx="5093970" cy="4027469"/>
            <wp:effectExtent l="0" t="0" r="11430" b="11430"/>
            <wp:docPr id="1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rotWithShape="1">
                    <a:blip r:embed="rId16"/>
                    <a:srcRect b="25995"/>
                    <a:stretch/>
                  </pic:blipFill>
                  <pic:spPr bwMode="auto">
                    <a:xfrm>
                      <a:off x="0" y="0"/>
                      <a:ext cx="5093970" cy="4027469"/>
                    </a:xfrm>
                    <a:prstGeom prst="rect">
                      <a:avLst/>
                    </a:prstGeom>
                    <a:ln>
                      <a:noFill/>
                    </a:ln>
                    <a:extLst>
                      <a:ext uri="{53640926-AAD7-44d8-BBD7-CCE9431645EC}">
                        <a14:shadowObscured xmlns:a14="http://schemas.microsoft.com/office/drawing/2010/main"/>
                      </a:ext>
                    </a:extLst>
                  </pic:spPr>
                </pic:pic>
              </a:graphicData>
            </a:graphic>
          </wp:inline>
        </w:drawing>
      </w:r>
    </w:p>
    <w:p w14:paraId="2D1687AF" w14:textId="5E883302" w:rsidR="0025452A" w:rsidRDefault="0025452A" w:rsidP="0025452A">
      <w:pPr>
        <w:pStyle w:val="Heading5"/>
      </w:pPr>
      <w:bookmarkStart w:id="43" w:name="_Toc453224275"/>
      <w:r>
        <w:t>Image 4.2: Close up of an example of the CITES universal labelling system.</w:t>
      </w:r>
      <w:bookmarkEnd w:id="43"/>
    </w:p>
    <w:p w14:paraId="0CDDD263" w14:textId="0595A488" w:rsidR="0025452A" w:rsidRPr="0025452A" w:rsidRDefault="0025452A" w:rsidP="0025452A">
      <w:pPr>
        <w:pStyle w:val="Normal1"/>
        <w:spacing w:line="360" w:lineRule="auto"/>
        <w:rPr>
          <w:rFonts w:ascii="Times New Roman" w:eastAsia="Times New Roman" w:hAnsi="Times New Roman" w:cs="Times New Roman"/>
          <w:i/>
        </w:rPr>
      </w:pPr>
      <w:r w:rsidRPr="007C5DDB">
        <w:rPr>
          <w:rFonts w:ascii="Times New Roman" w:eastAsia="Times New Roman" w:hAnsi="Times New Roman" w:cs="Times New Roman"/>
          <w:i/>
          <w:sz w:val="20"/>
          <w:szCs w:val="20"/>
        </w:rPr>
        <w:t xml:space="preserve">Caviar produced by KC Caviar, UK. BAE/C/GB/2016/0014/605. This is caviar produced by a Siberian Sturgeon (A.Baerii); Captive bred; Country of origin is Great Britain; 2016 is the year of harvest; 0014 is the official registration code for KC Caviar as a processing plant; 605 is the caviar lot number.  (Photo: Author’s own) </w:t>
      </w:r>
    </w:p>
    <w:p w14:paraId="2777477D" w14:textId="7B9A682D" w:rsidR="00AC10E7" w:rsidRPr="00361420" w:rsidRDefault="00AC10E7" w:rsidP="0025452A">
      <w:pPr>
        <w:pStyle w:val="Normal1"/>
        <w:spacing w:after="160" w:line="360" w:lineRule="auto"/>
        <w:ind w:firstLine="720"/>
        <w:jc w:val="both"/>
        <w:rPr>
          <w:rFonts w:ascii="Times New Roman" w:eastAsia="Times New Roman" w:hAnsi="Times New Roman" w:cs="Times New Roman"/>
          <w:bCs/>
          <w:lang w:val="en-GB"/>
        </w:rPr>
      </w:pPr>
      <w:r w:rsidRPr="00361420">
        <w:rPr>
          <w:rFonts w:ascii="Times New Roman" w:eastAsia="Times New Roman" w:hAnsi="Times New Roman" w:cs="Times New Roman"/>
          <w:bCs/>
          <w:lang w:val="en-GB"/>
        </w:rPr>
        <w:lastRenderedPageBreak/>
        <w:t>A further grey area identified with</w:t>
      </w:r>
      <w:r w:rsidR="000542A7" w:rsidRPr="00361420">
        <w:rPr>
          <w:rFonts w:ascii="Times New Roman" w:eastAsia="Times New Roman" w:hAnsi="Times New Roman" w:cs="Times New Roman"/>
          <w:bCs/>
          <w:lang w:val="en-GB"/>
        </w:rPr>
        <w:t>in</w:t>
      </w:r>
      <w:r w:rsidRPr="00361420">
        <w:rPr>
          <w:rFonts w:ascii="Times New Roman" w:eastAsia="Times New Roman" w:hAnsi="Times New Roman" w:cs="Times New Roman"/>
          <w:bCs/>
          <w:lang w:val="en-GB"/>
        </w:rPr>
        <w:t xml:space="preserve"> the CITES labelling system, is the labelling of repackaged caviar. According to the labelling regulations, repackaged caviar must display the year of repackaging on the label. However, repackaged caviar does not have to include the year the caviar was harvested on the label. The current system leaves room for old caviar to be repackaged and sol</w:t>
      </w:r>
      <w:r w:rsidR="0061110A" w:rsidRPr="00361420">
        <w:rPr>
          <w:rFonts w:ascii="Times New Roman" w:eastAsia="Times New Roman" w:hAnsi="Times New Roman" w:cs="Times New Roman"/>
          <w:bCs/>
          <w:lang w:val="en-GB"/>
        </w:rPr>
        <w:t>d, with Qerene explaining that “</w:t>
      </w:r>
      <w:r w:rsidRPr="00361420">
        <w:rPr>
          <w:rFonts w:ascii="Times New Roman" w:eastAsia="Times New Roman" w:hAnsi="Times New Roman" w:cs="Times New Roman"/>
          <w:bCs/>
          <w:lang w:val="en-GB"/>
        </w:rPr>
        <w:t>in theory if you repack your caviar four times, you can sell it for about five years, the same caviar!</w:t>
      </w:r>
      <w:r w:rsidR="0061110A" w:rsidRPr="00361420">
        <w:rPr>
          <w:rFonts w:ascii="Times New Roman" w:eastAsia="Times New Roman" w:hAnsi="Times New Roman" w:cs="Times New Roman"/>
          <w:bCs/>
          <w:lang w:val="en-GB"/>
        </w:rPr>
        <w:t>”</w:t>
      </w:r>
      <w:r w:rsidRPr="00361420">
        <w:rPr>
          <w:rStyle w:val="FootnoteReference"/>
        </w:rPr>
        <w:footnoteReference w:id="35"/>
      </w:r>
      <w:r w:rsidRPr="00361420">
        <w:rPr>
          <w:rFonts w:ascii="Times New Roman" w:eastAsia="Times New Roman" w:hAnsi="Times New Roman" w:cs="Times New Roman"/>
          <w:bCs/>
          <w:lang w:val="en-GB"/>
        </w:rPr>
        <w:t>. This has led to some caviar producers demanding that the year of caviar production must be retained on the labels of repackaged caviar. Ho</w:t>
      </w:r>
      <w:r w:rsidR="0061110A" w:rsidRPr="00361420">
        <w:rPr>
          <w:rFonts w:ascii="Times New Roman" w:eastAsia="Times New Roman" w:hAnsi="Times New Roman" w:cs="Times New Roman"/>
          <w:bCs/>
          <w:lang w:val="en-GB"/>
        </w:rPr>
        <w:t>wever Qerene acknowledged that “</w:t>
      </w:r>
      <w:r w:rsidRPr="00361420">
        <w:rPr>
          <w:rFonts w:ascii="Times New Roman" w:eastAsia="Times New Roman" w:hAnsi="Times New Roman" w:cs="Times New Roman"/>
          <w:bCs/>
          <w:lang w:val="en-GB"/>
        </w:rPr>
        <w:t>the repackers don’t wa</w:t>
      </w:r>
      <w:r w:rsidR="0061110A" w:rsidRPr="00361420">
        <w:rPr>
          <w:rFonts w:ascii="Times New Roman" w:eastAsia="Times New Roman" w:hAnsi="Times New Roman" w:cs="Times New Roman"/>
          <w:bCs/>
          <w:lang w:val="en-GB"/>
        </w:rPr>
        <w:t>nt this to be changed of course”, and that “</w:t>
      </w:r>
      <w:r w:rsidRPr="00361420">
        <w:rPr>
          <w:rFonts w:ascii="Times New Roman" w:eastAsia="Times New Roman" w:hAnsi="Times New Roman" w:cs="Times New Roman"/>
          <w:bCs/>
          <w:lang w:val="en-GB"/>
        </w:rPr>
        <w:t>the whole caviar business is based on repackagin</w:t>
      </w:r>
      <w:r w:rsidR="0061110A" w:rsidRPr="00361420">
        <w:rPr>
          <w:rFonts w:ascii="Times New Roman" w:eastAsia="Times New Roman" w:hAnsi="Times New Roman" w:cs="Times New Roman"/>
          <w:bCs/>
          <w:lang w:val="en-GB"/>
        </w:rPr>
        <w:t>g”, so “</w:t>
      </w:r>
      <w:r w:rsidRPr="00361420">
        <w:rPr>
          <w:rFonts w:ascii="Times New Roman" w:eastAsia="Times New Roman" w:hAnsi="Times New Roman" w:cs="Times New Roman"/>
          <w:bCs/>
          <w:lang w:val="en-GB"/>
        </w:rPr>
        <w:t>as long as there is repackaging there will be illegal things happening</w:t>
      </w:r>
      <w:r w:rsidR="0061110A" w:rsidRPr="00361420">
        <w:rPr>
          <w:rFonts w:ascii="Times New Roman" w:eastAsia="Times New Roman" w:hAnsi="Times New Roman" w:cs="Times New Roman"/>
          <w:bCs/>
          <w:lang w:val="en-GB"/>
        </w:rPr>
        <w:t>”</w:t>
      </w:r>
      <w:r w:rsidRPr="00361420">
        <w:rPr>
          <w:rStyle w:val="FootnoteReference"/>
        </w:rPr>
        <w:footnoteReference w:id="36"/>
      </w:r>
      <w:r w:rsidRPr="00361420">
        <w:rPr>
          <w:rFonts w:ascii="Times New Roman" w:eastAsia="Times New Roman" w:hAnsi="Times New Roman" w:cs="Times New Roman"/>
          <w:bCs/>
          <w:lang w:val="en-GB"/>
        </w:rPr>
        <w:t>. As such, the labelling of repackaged caviar is clearly a grey area in the labelling system, and points to other nodes in the caviar production chain whe</w:t>
      </w:r>
      <w:r w:rsidR="000A236C" w:rsidRPr="00361420">
        <w:rPr>
          <w:rFonts w:ascii="Times New Roman" w:eastAsia="Times New Roman" w:hAnsi="Times New Roman" w:cs="Times New Roman"/>
          <w:bCs/>
          <w:lang w:val="en-GB"/>
        </w:rPr>
        <w:t>re illicit activity takes place (as discussed further in chapter five).</w:t>
      </w:r>
    </w:p>
    <w:p w14:paraId="25FE4E58" w14:textId="431844A5" w:rsidR="00AC10E7" w:rsidRPr="00361420" w:rsidRDefault="00AC10E7" w:rsidP="0025452A">
      <w:pPr>
        <w:pStyle w:val="Normal1"/>
        <w:spacing w:after="160" w:line="360" w:lineRule="auto"/>
        <w:ind w:firstLine="720"/>
        <w:jc w:val="both"/>
        <w:rPr>
          <w:rFonts w:ascii="Times New Roman" w:eastAsia="Times New Roman" w:hAnsi="Times New Roman" w:cs="Times New Roman"/>
          <w:bCs/>
          <w:lang w:val="en-GB"/>
        </w:rPr>
      </w:pPr>
      <w:r w:rsidRPr="00361420">
        <w:rPr>
          <w:rFonts w:ascii="Times New Roman" w:eastAsia="Times New Roman" w:hAnsi="Times New Roman" w:cs="Times New Roman"/>
          <w:bCs/>
          <w:lang w:val="en-GB"/>
        </w:rPr>
        <w:t>Moreover, just as the export quota system has gaps in both design and implementation, so too does t</w:t>
      </w:r>
      <w:r w:rsidR="001E0F4B" w:rsidRPr="00361420">
        <w:rPr>
          <w:rFonts w:ascii="Times New Roman" w:eastAsia="Times New Roman" w:hAnsi="Times New Roman" w:cs="Times New Roman"/>
          <w:bCs/>
          <w:lang w:val="en-GB"/>
        </w:rPr>
        <w:t>he labelling system. Currently “</w:t>
      </w:r>
      <w:r w:rsidRPr="00361420">
        <w:rPr>
          <w:rFonts w:ascii="Times New Roman" w:eastAsia="Times New Roman" w:hAnsi="Times New Roman" w:cs="Times New Roman"/>
          <w:bCs/>
          <w:lang w:val="en-GB"/>
        </w:rPr>
        <w:t>the implementation of the caviar labelling system is lacking in key range and consumer states, and even where it is implemente</w:t>
      </w:r>
      <w:r w:rsidR="001E0F4B" w:rsidRPr="00361420">
        <w:rPr>
          <w:rFonts w:ascii="Times New Roman" w:eastAsia="Times New Roman" w:hAnsi="Times New Roman" w:cs="Times New Roman"/>
          <w:bCs/>
          <w:lang w:val="en-GB"/>
        </w:rPr>
        <w:t>d, several anomalies were found”</w:t>
      </w:r>
      <w:r w:rsidRPr="00361420">
        <w:rPr>
          <w:rFonts w:ascii="Times New Roman" w:eastAsia="Times New Roman" w:hAnsi="Times New Roman" w:cs="Times New Roman"/>
          <w:bCs/>
          <w:lang w:val="en-GB"/>
        </w:rPr>
        <w:t xml:space="preserve"> (Harris &amp; Shiraishi, 2018:9). A recent rapid assessment of the global caviar market by Harris and Shiraishi (2018) suggested that there is a widespread lack of adherence to the requirement</w:t>
      </w:r>
      <w:r w:rsidR="000A236C" w:rsidRPr="00361420">
        <w:rPr>
          <w:rFonts w:ascii="Times New Roman" w:eastAsia="Times New Roman" w:hAnsi="Times New Roman" w:cs="Times New Roman"/>
          <w:bCs/>
          <w:lang w:val="en-GB"/>
        </w:rPr>
        <w:t>s for labelling of caviar on</w:t>
      </w:r>
      <w:r w:rsidRPr="00361420">
        <w:rPr>
          <w:rFonts w:ascii="Times New Roman" w:eastAsia="Times New Roman" w:hAnsi="Times New Roman" w:cs="Times New Roman"/>
          <w:bCs/>
          <w:lang w:val="en-GB"/>
        </w:rPr>
        <w:t xml:space="preserve"> domestic market</w:t>
      </w:r>
      <w:r w:rsidR="000A236C" w:rsidRPr="00361420">
        <w:rPr>
          <w:rFonts w:ascii="Times New Roman" w:eastAsia="Times New Roman" w:hAnsi="Times New Roman" w:cs="Times New Roman"/>
          <w:bCs/>
          <w:lang w:val="en-GB"/>
        </w:rPr>
        <w:t>s</w:t>
      </w:r>
      <w:r w:rsidRPr="00361420">
        <w:rPr>
          <w:rFonts w:ascii="Times New Roman" w:eastAsia="Times New Roman" w:hAnsi="Times New Roman" w:cs="Times New Roman"/>
          <w:bCs/>
          <w:lang w:val="en-GB"/>
        </w:rPr>
        <w:t>. Of the six countries</w:t>
      </w:r>
      <w:r w:rsidRPr="00361420">
        <w:rPr>
          <w:rStyle w:val="FootnoteReference"/>
        </w:rPr>
        <w:footnoteReference w:id="37"/>
      </w:r>
      <w:r w:rsidRPr="00361420">
        <w:rPr>
          <w:rFonts w:ascii="Times New Roman" w:eastAsia="Times New Roman" w:hAnsi="Times New Roman" w:cs="Times New Roman"/>
          <w:bCs/>
          <w:lang w:val="en-GB"/>
        </w:rPr>
        <w:t xml:space="preserve"> included in their study, only Germany and France had implemented the labelling system for domestic trade, leading the authors to suggest that the lack of implementation of this aspect of </w:t>
      </w:r>
      <w:r w:rsidR="000A236C" w:rsidRPr="00361420">
        <w:rPr>
          <w:rFonts w:ascii="Times New Roman" w:eastAsia="Times New Roman" w:hAnsi="Times New Roman" w:cs="Times New Roman"/>
          <w:bCs/>
          <w:lang w:val="en-GB"/>
        </w:rPr>
        <w:t xml:space="preserve">CITES </w:t>
      </w:r>
      <w:r w:rsidRPr="00361420">
        <w:rPr>
          <w:rFonts w:ascii="Times New Roman" w:eastAsia="Times New Roman" w:hAnsi="Times New Roman" w:cs="Times New Roman"/>
          <w:bCs/>
          <w:lang w:val="en-GB"/>
        </w:rPr>
        <w:t>Resolution Conf. 12.</w:t>
      </w:r>
      <w:r w:rsidR="001E0F4B" w:rsidRPr="00361420">
        <w:rPr>
          <w:rFonts w:ascii="Times New Roman" w:eastAsia="Times New Roman" w:hAnsi="Times New Roman" w:cs="Times New Roman"/>
          <w:bCs/>
          <w:lang w:val="en-GB"/>
        </w:rPr>
        <w:t>7 is “</w:t>
      </w:r>
      <w:r w:rsidRPr="00361420">
        <w:rPr>
          <w:rFonts w:ascii="Times New Roman" w:eastAsia="Times New Roman" w:hAnsi="Times New Roman" w:cs="Times New Roman"/>
          <w:bCs/>
          <w:lang w:val="en-GB"/>
        </w:rPr>
        <w:t>undermining the original purpose of the CITES caviar labelling system to e</w:t>
      </w:r>
      <w:r w:rsidR="001E0F4B" w:rsidRPr="00361420">
        <w:rPr>
          <w:rFonts w:ascii="Times New Roman" w:eastAsia="Times New Roman" w:hAnsi="Times New Roman" w:cs="Times New Roman"/>
          <w:bCs/>
          <w:lang w:val="en-GB"/>
        </w:rPr>
        <w:t>nsure legal and traceable trade”</w:t>
      </w:r>
      <w:r w:rsidRPr="00361420">
        <w:rPr>
          <w:rFonts w:ascii="Times New Roman" w:eastAsia="Times New Roman" w:hAnsi="Times New Roman" w:cs="Times New Roman"/>
          <w:bCs/>
          <w:lang w:val="en-GB"/>
        </w:rPr>
        <w:t xml:space="preserve"> (ibid: 9). Thus</w:t>
      </w:r>
      <w:r w:rsidR="000A236C" w:rsidRPr="00361420">
        <w:rPr>
          <w:rFonts w:ascii="Times New Roman" w:eastAsia="Times New Roman" w:hAnsi="Times New Roman" w:cs="Times New Roman"/>
          <w:bCs/>
          <w:lang w:val="en-GB"/>
        </w:rPr>
        <w:t>,</w:t>
      </w:r>
      <w:r w:rsidRPr="00361420">
        <w:rPr>
          <w:rFonts w:ascii="Times New Roman" w:eastAsia="Times New Roman" w:hAnsi="Times New Roman" w:cs="Times New Roman"/>
          <w:bCs/>
          <w:lang w:val="en-GB"/>
        </w:rPr>
        <w:t xml:space="preserve"> although the labelling system has proven revolutionary for increasing traceability and transparency in caviar trade, there are a number of </w:t>
      </w:r>
      <w:r w:rsidR="000A236C" w:rsidRPr="00361420">
        <w:rPr>
          <w:rFonts w:ascii="Times New Roman" w:eastAsia="Times New Roman" w:hAnsi="Times New Roman" w:cs="Times New Roman"/>
          <w:bCs/>
          <w:lang w:val="en-GB"/>
        </w:rPr>
        <w:t xml:space="preserve">inconsistencies within the system. </w:t>
      </w:r>
      <w:r w:rsidRPr="00361420">
        <w:rPr>
          <w:rFonts w:ascii="Times New Roman" w:eastAsia="Times New Roman" w:hAnsi="Times New Roman" w:cs="Times New Roman"/>
          <w:bCs/>
          <w:lang w:val="en-GB"/>
        </w:rPr>
        <w:t xml:space="preserve">These include issues with implementation and enforcement of the labelling system both for international and domestic markets; but also include issues caused by the </w:t>
      </w:r>
      <w:r w:rsidR="00717307">
        <w:rPr>
          <w:rFonts w:ascii="Times New Roman" w:eastAsia="Times New Roman" w:hAnsi="Times New Roman" w:cs="Times New Roman"/>
          <w:bCs/>
          <w:lang w:val="en-GB"/>
        </w:rPr>
        <w:t>ambiguity</w:t>
      </w:r>
      <w:r w:rsidRPr="00361420">
        <w:rPr>
          <w:rFonts w:ascii="Times New Roman" w:eastAsia="Times New Roman" w:hAnsi="Times New Roman" w:cs="Times New Roman"/>
          <w:bCs/>
          <w:lang w:val="en-GB"/>
        </w:rPr>
        <w:t xml:space="preserve"> around how a label should visibly appear, thereby resulting in the proliferation of innumerable caviar labels across different countries. </w:t>
      </w:r>
    </w:p>
    <w:p w14:paraId="06C50CA0" w14:textId="5082143D" w:rsidR="0025452A" w:rsidRPr="0025452A" w:rsidRDefault="000A236C" w:rsidP="0025452A">
      <w:pPr>
        <w:pStyle w:val="Normal1"/>
        <w:spacing w:after="160" w:line="360" w:lineRule="auto"/>
        <w:ind w:firstLine="720"/>
        <w:jc w:val="both"/>
        <w:rPr>
          <w:rFonts w:ascii="Times New Roman" w:eastAsia="Times New Roman" w:hAnsi="Times New Roman" w:cs="Times New Roman"/>
          <w:bCs/>
          <w:lang w:val="en-GB"/>
        </w:rPr>
      </w:pPr>
      <w:r w:rsidRPr="00361420">
        <w:rPr>
          <w:rFonts w:ascii="Times New Roman" w:eastAsia="Times New Roman" w:hAnsi="Times New Roman" w:cs="Times New Roman"/>
          <w:bCs/>
          <w:lang w:val="en-GB"/>
        </w:rPr>
        <w:t>T</w:t>
      </w:r>
      <w:r w:rsidR="00AC10E7" w:rsidRPr="00361420">
        <w:rPr>
          <w:rFonts w:ascii="Times New Roman" w:eastAsia="Times New Roman" w:hAnsi="Times New Roman" w:cs="Times New Roman"/>
          <w:bCs/>
          <w:lang w:val="en-GB"/>
        </w:rPr>
        <w:t>his section has outlined CITES Resolution Conf. 12.7 and the main mechanisms of this resolution, which are designed to regulate international trade in sturgeon and caviar. I have described how a major impact of the regulations has been the global shift from wild-caught caviar to farmed caviar</w:t>
      </w:r>
      <w:r w:rsidR="001E0F4B" w:rsidRPr="00361420">
        <w:rPr>
          <w:rFonts w:ascii="Times New Roman" w:eastAsia="Times New Roman" w:hAnsi="Times New Roman" w:cs="Times New Roman"/>
          <w:bCs/>
          <w:lang w:val="en-GB"/>
        </w:rPr>
        <w:t xml:space="preserve"> production</w:t>
      </w:r>
      <w:r w:rsidR="00717307">
        <w:rPr>
          <w:rFonts w:ascii="Times New Roman" w:eastAsia="Times New Roman" w:hAnsi="Times New Roman" w:cs="Times New Roman"/>
          <w:bCs/>
          <w:lang w:val="en-GB"/>
        </w:rPr>
        <w:t xml:space="preserve">. But, </w:t>
      </w:r>
      <w:r w:rsidR="00AC10E7" w:rsidRPr="00361420">
        <w:rPr>
          <w:rFonts w:ascii="Times New Roman" w:eastAsia="Times New Roman" w:hAnsi="Times New Roman" w:cs="Times New Roman"/>
          <w:bCs/>
          <w:lang w:val="en-GB"/>
        </w:rPr>
        <w:t>I have also identified some of the gaps a</w:t>
      </w:r>
      <w:r w:rsidR="001E0F4B" w:rsidRPr="00361420">
        <w:rPr>
          <w:rFonts w:ascii="Times New Roman" w:eastAsia="Times New Roman" w:hAnsi="Times New Roman" w:cs="Times New Roman"/>
          <w:bCs/>
          <w:lang w:val="en-GB"/>
        </w:rPr>
        <w:t>nd grey areas in the Resolution</w:t>
      </w:r>
      <w:r w:rsidR="00AC10E7" w:rsidRPr="00361420">
        <w:rPr>
          <w:rFonts w:ascii="Times New Roman" w:eastAsia="Times New Roman" w:hAnsi="Times New Roman" w:cs="Times New Roman"/>
          <w:bCs/>
          <w:lang w:val="en-GB"/>
        </w:rPr>
        <w:t>, and began to point to some of the diverse possible impacts of these regulatory</w:t>
      </w:r>
      <w:r w:rsidR="00717307">
        <w:rPr>
          <w:rFonts w:ascii="Times New Roman" w:eastAsia="Times New Roman" w:hAnsi="Times New Roman" w:cs="Times New Roman"/>
          <w:bCs/>
          <w:lang w:val="en-GB"/>
        </w:rPr>
        <w:t xml:space="preserve"> discrepancies</w:t>
      </w:r>
      <w:r w:rsidR="00AC10E7" w:rsidRPr="00361420">
        <w:rPr>
          <w:rFonts w:ascii="Times New Roman" w:eastAsia="Times New Roman" w:hAnsi="Times New Roman" w:cs="Times New Roman"/>
          <w:bCs/>
          <w:lang w:val="en-GB"/>
        </w:rPr>
        <w:t xml:space="preserve">. In the next </w:t>
      </w:r>
      <w:r w:rsidR="00AC10E7" w:rsidRPr="00361420">
        <w:rPr>
          <w:rFonts w:ascii="Times New Roman" w:eastAsia="Times New Roman" w:hAnsi="Times New Roman" w:cs="Times New Roman"/>
          <w:bCs/>
          <w:lang w:val="en-GB"/>
        </w:rPr>
        <w:lastRenderedPageBreak/>
        <w:t xml:space="preserve">section I describe how </w:t>
      </w:r>
      <w:r w:rsidR="00717307">
        <w:rPr>
          <w:rFonts w:ascii="Times New Roman" w:eastAsia="Times New Roman" w:hAnsi="Times New Roman" w:cs="Times New Roman"/>
          <w:bCs/>
          <w:lang w:val="en-GB"/>
        </w:rPr>
        <w:t xml:space="preserve">CITES </w:t>
      </w:r>
      <w:r w:rsidR="00AC10E7" w:rsidRPr="00361420">
        <w:rPr>
          <w:rFonts w:ascii="Times New Roman" w:eastAsia="Times New Roman" w:hAnsi="Times New Roman" w:cs="Times New Roman"/>
          <w:bCs/>
          <w:lang w:val="en-GB"/>
        </w:rPr>
        <w:t>Resolution 12.7 has been implemented in the EU</w:t>
      </w:r>
      <w:r w:rsidR="00717307">
        <w:rPr>
          <w:rFonts w:ascii="Times New Roman" w:eastAsia="Times New Roman" w:hAnsi="Times New Roman" w:cs="Times New Roman"/>
          <w:bCs/>
          <w:lang w:val="en-GB"/>
        </w:rPr>
        <w:t xml:space="preserve">, and also consider how the </w:t>
      </w:r>
      <w:r w:rsidR="00AC10E7" w:rsidRPr="00361420">
        <w:rPr>
          <w:rFonts w:ascii="Times New Roman" w:eastAsia="Times New Roman" w:hAnsi="Times New Roman" w:cs="Times New Roman"/>
          <w:bCs/>
          <w:lang w:val="en-GB"/>
        </w:rPr>
        <w:t xml:space="preserve">regulatory </w:t>
      </w:r>
      <w:r w:rsidR="00717307">
        <w:rPr>
          <w:rFonts w:ascii="Times New Roman" w:eastAsia="Times New Roman" w:hAnsi="Times New Roman" w:cs="Times New Roman"/>
          <w:bCs/>
          <w:lang w:val="en-GB"/>
        </w:rPr>
        <w:t>inconsistencies</w:t>
      </w:r>
      <w:r w:rsidR="00AC10E7" w:rsidRPr="00361420">
        <w:rPr>
          <w:rFonts w:ascii="Times New Roman" w:eastAsia="Times New Roman" w:hAnsi="Times New Roman" w:cs="Times New Roman"/>
          <w:bCs/>
          <w:lang w:val="en-GB"/>
        </w:rPr>
        <w:t xml:space="preserve"> manifest in the EU.</w:t>
      </w:r>
    </w:p>
    <w:p w14:paraId="4E982865" w14:textId="17AF712B" w:rsidR="00AC10E7" w:rsidRPr="00810504" w:rsidRDefault="00810504" w:rsidP="00AC10E7">
      <w:pPr>
        <w:pStyle w:val="Heading3"/>
      </w:pPr>
      <w:bookmarkStart w:id="44" w:name="_Toc453224214"/>
      <w:r w:rsidRPr="00810504">
        <w:t>4</w:t>
      </w:r>
      <w:r w:rsidR="00AC10E7" w:rsidRPr="00810504">
        <w:t>.2.3 Implementing CITES Resolution Conf. 12.7 in the European Union</w:t>
      </w:r>
      <w:bookmarkEnd w:id="44"/>
      <w:r w:rsidR="00AC10E7" w:rsidRPr="00810504">
        <w:t xml:space="preserve"> </w:t>
      </w:r>
    </w:p>
    <w:p w14:paraId="6BEFB740" w14:textId="77777777" w:rsidR="00AA13D7" w:rsidRDefault="00AC10E7" w:rsidP="0025452A">
      <w:pPr>
        <w:pStyle w:val="Normal1"/>
        <w:spacing w:after="160" w:line="360" w:lineRule="auto"/>
        <w:jc w:val="both"/>
        <w:rPr>
          <w:rFonts w:ascii="Times New Roman" w:eastAsia="Times New Roman" w:hAnsi="Times New Roman" w:cs="Times New Roman"/>
          <w:lang w:val="en-GB"/>
        </w:rPr>
      </w:pPr>
      <w:r w:rsidRPr="00275337">
        <w:rPr>
          <w:rFonts w:ascii="Times New Roman" w:eastAsia="Times New Roman" w:hAnsi="Times New Roman" w:cs="Times New Roman"/>
          <w:lang w:val="en-GB"/>
        </w:rPr>
        <w:t>The European Union has enacted the measures and recommendations outlined in CITES Resolution Conf. 12.7 via the EU Wildlife Trade Regulations, which are directly applicable to all EU Member States. The EU Wildlife Trade Regulations are Council Regulation (EC) No. 338/97 known as the ‘framework regulation’, which o</w:t>
      </w:r>
      <w:r w:rsidR="00AA13D7">
        <w:rPr>
          <w:rFonts w:ascii="Times New Roman" w:eastAsia="Times New Roman" w:hAnsi="Times New Roman" w:cs="Times New Roman"/>
          <w:lang w:val="en-GB"/>
        </w:rPr>
        <w:t>utlines the legal requirements Member S</w:t>
      </w:r>
      <w:r w:rsidRPr="00275337">
        <w:rPr>
          <w:rFonts w:ascii="Times New Roman" w:eastAsia="Times New Roman" w:hAnsi="Times New Roman" w:cs="Times New Roman"/>
          <w:lang w:val="en-GB"/>
        </w:rPr>
        <w:t xml:space="preserve">tates must follow in accordance with the trade in wild flora and fauna; and Commission Regulation (EC) No. 866/2006 known as the ‘implementing regulation’ which details the practical aspects of enacting the wildlife trade regulations. These regulations provide the legal framework for international as well as domestic trade in wild animals and plants in the European Union, and are required to be implemented by the governments of all EU Member States. </w:t>
      </w:r>
    </w:p>
    <w:p w14:paraId="3E529431" w14:textId="31FD14D2" w:rsidR="00AC10E7" w:rsidRPr="00275337" w:rsidRDefault="00AC10E7" w:rsidP="0025452A">
      <w:pPr>
        <w:pStyle w:val="Normal1"/>
        <w:spacing w:after="160" w:line="360" w:lineRule="auto"/>
        <w:ind w:firstLine="720"/>
        <w:jc w:val="both"/>
        <w:rPr>
          <w:rFonts w:ascii="Times New Roman" w:eastAsia="Times New Roman" w:hAnsi="Times New Roman" w:cs="Times New Roman"/>
          <w:lang w:val="en-GB"/>
        </w:rPr>
      </w:pPr>
      <w:r w:rsidRPr="00275337">
        <w:rPr>
          <w:rFonts w:ascii="Times New Roman" w:eastAsia="Times New Roman" w:hAnsi="Times New Roman" w:cs="Times New Roman"/>
          <w:lang w:val="en-GB"/>
        </w:rPr>
        <w:t>In relation to caviar, it was throug</w:t>
      </w:r>
      <w:r w:rsidR="00AA13D7">
        <w:rPr>
          <w:rFonts w:ascii="Times New Roman" w:eastAsia="Times New Roman" w:hAnsi="Times New Roman" w:cs="Times New Roman"/>
          <w:lang w:val="en-GB"/>
        </w:rPr>
        <w:t xml:space="preserve">h the ‘implementing regulation’, </w:t>
      </w:r>
      <w:r w:rsidRPr="00275337">
        <w:rPr>
          <w:rFonts w:ascii="Times New Roman" w:eastAsia="Times New Roman" w:hAnsi="Times New Roman" w:cs="Times New Roman"/>
          <w:lang w:val="en-GB"/>
        </w:rPr>
        <w:t xml:space="preserve">Commission Regulation (EC) No. 866/2006, that in 2006 a specific EU regulation on caviar labelling came into force, which integrates the requirements of the CITES universal labelling system. This was later amended by Regulation (EC) No. 100/2008, and determined that the CITES labelling system was legally binding for all EU Member States. It also required that the labelling of all caviar containers - irrespective of size - was obligatory, should be carried out in accordance with the CITES regulations, and included those caviar containers being sold on EU domestic markets, as well as caviar containers to be exported from the EU. </w:t>
      </w:r>
    </w:p>
    <w:p w14:paraId="010BEC0E" w14:textId="13E8793E" w:rsidR="00AC10E7" w:rsidRPr="00275337" w:rsidRDefault="00AC10E7" w:rsidP="0025452A">
      <w:pPr>
        <w:pStyle w:val="Normal1"/>
        <w:spacing w:after="160" w:line="360" w:lineRule="auto"/>
        <w:ind w:firstLine="720"/>
        <w:jc w:val="both"/>
        <w:rPr>
          <w:rFonts w:ascii="Times New Roman" w:eastAsia="Times New Roman" w:hAnsi="Times New Roman" w:cs="Times New Roman"/>
          <w:lang w:val="en-GB"/>
        </w:rPr>
      </w:pPr>
      <w:r w:rsidRPr="00275337">
        <w:rPr>
          <w:rFonts w:ascii="Times New Roman" w:eastAsia="Times New Roman" w:hAnsi="Times New Roman" w:cs="Times New Roman"/>
          <w:lang w:val="en-GB"/>
        </w:rPr>
        <w:t>Overall, the implementatio</w:t>
      </w:r>
      <w:r>
        <w:rPr>
          <w:rFonts w:ascii="Times New Roman" w:eastAsia="Times New Roman" w:hAnsi="Times New Roman" w:cs="Times New Roman"/>
          <w:lang w:val="en-GB"/>
        </w:rPr>
        <w:t>n of CITES Resolution Conf 12.7</w:t>
      </w:r>
      <w:r w:rsidRPr="00275337">
        <w:rPr>
          <w:rFonts w:ascii="Times New Roman" w:eastAsia="Times New Roman" w:hAnsi="Times New Roman" w:cs="Times New Roman"/>
          <w:lang w:val="en-GB"/>
        </w:rPr>
        <w:t xml:space="preserve"> has had an obvious impact on levels of illegal caviar trad</w:t>
      </w:r>
      <w:r w:rsidR="007F5D2E">
        <w:rPr>
          <w:rFonts w:ascii="Times New Roman" w:eastAsia="Times New Roman" w:hAnsi="Times New Roman" w:cs="Times New Roman"/>
          <w:lang w:val="en-GB"/>
        </w:rPr>
        <w:t>e in the EU. So much so, that a UK</w:t>
      </w:r>
      <w:r w:rsidRPr="00275337">
        <w:rPr>
          <w:rFonts w:ascii="Times New Roman" w:eastAsia="Times New Roman" w:hAnsi="Times New Roman" w:cs="Times New Roman"/>
          <w:lang w:val="en-GB"/>
        </w:rPr>
        <w:t xml:space="preserve"> enforcement officer </w:t>
      </w:r>
      <w:r w:rsidR="00FD0547">
        <w:rPr>
          <w:rFonts w:ascii="Times New Roman" w:eastAsia="Times New Roman" w:hAnsi="Times New Roman" w:cs="Times New Roman"/>
          <w:lang w:val="en-GB"/>
        </w:rPr>
        <w:t>suggested that “</w:t>
      </w:r>
      <w:r w:rsidRPr="00275337">
        <w:rPr>
          <w:rFonts w:ascii="Times New Roman" w:eastAsia="Times New Roman" w:hAnsi="Times New Roman" w:cs="Times New Roman"/>
          <w:lang w:val="en-GB"/>
        </w:rPr>
        <w:t>on the face of it [</w:t>
      </w:r>
      <w:r>
        <w:rPr>
          <w:rFonts w:ascii="Times New Roman" w:eastAsia="Times New Roman" w:hAnsi="Times New Roman" w:cs="Times New Roman"/>
          <w:lang w:val="en-GB"/>
        </w:rPr>
        <w:t>illegal] caviar trade has gone</w:t>
      </w:r>
      <w:r w:rsidR="00FD0547">
        <w:rPr>
          <w:rFonts w:ascii="Times New Roman" w:eastAsia="Times New Roman" w:hAnsi="Times New Roman" w:cs="Times New Roman"/>
          <w:lang w:val="en-GB"/>
        </w:rPr>
        <w:t>”</w:t>
      </w:r>
      <w:r w:rsidRPr="005B292F">
        <w:rPr>
          <w:rStyle w:val="FootnoteReference"/>
        </w:rPr>
        <w:footnoteReference w:id="38"/>
      </w:r>
      <w:r w:rsidR="007F5D2E">
        <w:rPr>
          <w:rFonts w:ascii="Times New Roman" w:eastAsia="Times New Roman" w:hAnsi="Times New Roman" w:cs="Times New Roman"/>
          <w:lang w:val="en-GB"/>
        </w:rPr>
        <w:t>. Indeed</w:t>
      </w:r>
      <w:r w:rsidRPr="00275337">
        <w:rPr>
          <w:rFonts w:ascii="Times New Roman" w:eastAsia="Times New Roman" w:hAnsi="Times New Roman" w:cs="Times New Roman"/>
          <w:lang w:val="en-GB"/>
        </w:rPr>
        <w:t xml:space="preserve">, </w:t>
      </w:r>
      <w:r w:rsidR="007F5D2E">
        <w:rPr>
          <w:rFonts w:ascii="Times New Roman" w:eastAsia="Times New Roman" w:hAnsi="Times New Roman" w:cs="Times New Roman"/>
          <w:lang w:val="en-GB"/>
        </w:rPr>
        <w:t xml:space="preserve">some actors in the EU have framed the implementation of the regulatory frameworks as a ‘success story’. </w:t>
      </w:r>
      <w:r w:rsidRPr="00275337">
        <w:rPr>
          <w:rFonts w:ascii="Times New Roman" w:eastAsia="Times New Roman" w:hAnsi="Times New Roman" w:cs="Times New Roman"/>
          <w:lang w:val="en-GB"/>
        </w:rPr>
        <w:t xml:space="preserve">However, there is a need to problematize the assumption that the implementation and impact of the regulations in the European Union has been overwhelmingly successful. Instead, I argue that the </w:t>
      </w:r>
      <w:r w:rsidR="00AA13D7">
        <w:rPr>
          <w:rFonts w:ascii="Times New Roman" w:eastAsia="Times New Roman" w:hAnsi="Times New Roman" w:cs="Times New Roman"/>
          <w:lang w:val="en-GB"/>
        </w:rPr>
        <w:t xml:space="preserve">inconsistencies </w:t>
      </w:r>
      <w:r w:rsidRPr="00275337">
        <w:rPr>
          <w:rFonts w:ascii="Times New Roman" w:eastAsia="Times New Roman" w:hAnsi="Times New Roman" w:cs="Times New Roman"/>
          <w:lang w:val="en-GB"/>
        </w:rPr>
        <w:t>in the design of CITES Resolution Conf 12.7 (as outlined in the previous section) have also been transposed into EU laws; and there</w:t>
      </w:r>
      <w:r w:rsidR="00AA13D7">
        <w:rPr>
          <w:rFonts w:ascii="Times New Roman" w:eastAsia="Times New Roman" w:hAnsi="Times New Roman" w:cs="Times New Roman"/>
          <w:lang w:val="en-GB"/>
        </w:rPr>
        <w:t xml:space="preserve"> are also</w:t>
      </w:r>
      <w:r w:rsidRPr="00275337">
        <w:rPr>
          <w:rFonts w:ascii="Times New Roman" w:eastAsia="Times New Roman" w:hAnsi="Times New Roman" w:cs="Times New Roman"/>
          <w:lang w:val="en-GB"/>
        </w:rPr>
        <w:t xml:space="preserve"> gaps and grey areas in implementation of these EU caviar trade laws. In this regard, I demonstrate that the story of regulating caviar trade in the EU cannot be solely framed as a ‘success’, given that there are obvious flaws in the design and implementation of the regulations. I now outline some of the issues complicating</w:t>
      </w:r>
      <w:r w:rsidR="00AA13D7">
        <w:rPr>
          <w:rFonts w:ascii="Times New Roman" w:eastAsia="Times New Roman" w:hAnsi="Times New Roman" w:cs="Times New Roman"/>
          <w:lang w:val="en-GB"/>
        </w:rPr>
        <w:t xml:space="preserve"> the</w:t>
      </w:r>
      <w:r w:rsidRPr="00275337">
        <w:rPr>
          <w:rFonts w:ascii="Times New Roman" w:eastAsia="Times New Roman" w:hAnsi="Times New Roman" w:cs="Times New Roman"/>
          <w:lang w:val="en-GB"/>
        </w:rPr>
        <w:t xml:space="preserve"> implementation of caviar trade regulations in the EU. </w:t>
      </w:r>
    </w:p>
    <w:p w14:paraId="416B76CE" w14:textId="77CB9AEA" w:rsidR="00AC10E7" w:rsidRPr="00275337" w:rsidRDefault="00AC10E7" w:rsidP="0025452A">
      <w:pPr>
        <w:pStyle w:val="Normal1"/>
        <w:spacing w:after="160" w:line="360" w:lineRule="auto"/>
        <w:ind w:firstLine="720"/>
        <w:jc w:val="both"/>
        <w:rPr>
          <w:rFonts w:ascii="Times New Roman" w:eastAsia="Times New Roman" w:hAnsi="Times New Roman" w:cs="Times New Roman"/>
          <w:lang w:val="en-GB"/>
        </w:rPr>
      </w:pPr>
      <w:r w:rsidRPr="00275337">
        <w:rPr>
          <w:rFonts w:ascii="Times New Roman" w:eastAsia="Times New Roman" w:hAnsi="Times New Roman" w:cs="Times New Roman"/>
          <w:lang w:val="en-GB"/>
        </w:rPr>
        <w:t xml:space="preserve">As the biggest </w:t>
      </w:r>
      <w:r w:rsidR="007F5D2E">
        <w:rPr>
          <w:rFonts w:ascii="Times New Roman" w:eastAsia="Times New Roman" w:hAnsi="Times New Roman" w:cs="Times New Roman"/>
          <w:lang w:val="en-GB"/>
        </w:rPr>
        <w:t>global importer of caviar, and “</w:t>
      </w:r>
      <w:r w:rsidRPr="00275337">
        <w:rPr>
          <w:rFonts w:ascii="Times New Roman" w:eastAsia="Times New Roman" w:hAnsi="Times New Roman" w:cs="Times New Roman"/>
          <w:lang w:val="en-GB"/>
        </w:rPr>
        <w:t>one of the principal mark</w:t>
      </w:r>
      <w:r w:rsidR="007F5D2E">
        <w:rPr>
          <w:rFonts w:ascii="Times New Roman" w:eastAsia="Times New Roman" w:hAnsi="Times New Roman" w:cs="Times New Roman"/>
          <w:lang w:val="en-GB"/>
        </w:rPr>
        <w:t>ets for illegally traded caviar”</w:t>
      </w:r>
      <w:r w:rsidRPr="00275337">
        <w:rPr>
          <w:rFonts w:ascii="Times New Roman" w:eastAsia="Times New Roman" w:hAnsi="Times New Roman" w:cs="Times New Roman"/>
          <w:lang w:val="en-GB"/>
        </w:rPr>
        <w:t xml:space="preserve">, it was agreed at the 53rd meeting of the CITES Standing Committee in Geneva in 2005, that </w:t>
      </w:r>
      <w:r w:rsidRPr="00275337">
        <w:rPr>
          <w:rFonts w:ascii="Times New Roman" w:eastAsia="Times New Roman" w:hAnsi="Times New Roman" w:cs="Times New Roman"/>
          <w:lang w:val="en-GB"/>
        </w:rPr>
        <w:lastRenderedPageBreak/>
        <w:t>the EU enforcement group</w:t>
      </w:r>
      <w:r w:rsidR="00AA13D7">
        <w:rPr>
          <w:rStyle w:val="FootnoteReference"/>
          <w:rFonts w:ascii="Times New Roman" w:eastAsia="Times New Roman" w:hAnsi="Times New Roman" w:cs="Times New Roman"/>
          <w:lang w:val="en-GB"/>
        </w:rPr>
        <w:footnoteReference w:id="39"/>
      </w:r>
      <w:r w:rsidRPr="00275337">
        <w:rPr>
          <w:rFonts w:ascii="Times New Roman" w:eastAsia="Times New Roman" w:hAnsi="Times New Roman" w:cs="Times New Roman"/>
          <w:lang w:val="en-GB"/>
        </w:rPr>
        <w:t xml:space="preserve"> (established under the EU Wild</w:t>
      </w:r>
      <w:r w:rsidR="007F5D2E">
        <w:rPr>
          <w:rFonts w:ascii="Times New Roman" w:eastAsia="Times New Roman" w:hAnsi="Times New Roman" w:cs="Times New Roman"/>
          <w:lang w:val="en-GB"/>
        </w:rPr>
        <w:t>life Trade Regulations), would “</w:t>
      </w:r>
      <w:r w:rsidRPr="00275337">
        <w:rPr>
          <w:rFonts w:ascii="Times New Roman" w:eastAsia="Times New Roman" w:hAnsi="Times New Roman" w:cs="Times New Roman"/>
          <w:lang w:val="en-GB"/>
        </w:rPr>
        <w:t>take th</w:t>
      </w:r>
      <w:r w:rsidR="007F5D2E">
        <w:rPr>
          <w:rFonts w:ascii="Times New Roman" w:eastAsia="Times New Roman" w:hAnsi="Times New Roman" w:cs="Times New Roman"/>
          <w:lang w:val="en-GB"/>
        </w:rPr>
        <w:t>e lead on addressing this issue”</w:t>
      </w:r>
      <w:r w:rsidRPr="00275337">
        <w:rPr>
          <w:rFonts w:ascii="Times New Roman" w:eastAsia="Times New Roman" w:hAnsi="Times New Roman" w:cs="Times New Roman"/>
          <w:lang w:val="en-GB"/>
        </w:rPr>
        <w:t xml:space="preserve"> (Knapp </w:t>
      </w:r>
      <w:r w:rsidRPr="00C6158D">
        <w:rPr>
          <w:rFonts w:ascii="Times New Roman" w:eastAsia="Times New Roman" w:hAnsi="Times New Roman" w:cs="Times New Roman"/>
          <w:i/>
          <w:lang w:val="en-GB"/>
        </w:rPr>
        <w:t>et al</w:t>
      </w:r>
      <w:r w:rsidRPr="00275337">
        <w:rPr>
          <w:rFonts w:ascii="Times New Roman" w:eastAsia="Times New Roman" w:hAnsi="Times New Roman" w:cs="Times New Roman"/>
          <w:lang w:val="en-GB"/>
        </w:rPr>
        <w:t>. 2006:3). In taking a leadership role on tackling illegal caviar tr</w:t>
      </w:r>
      <w:r w:rsidR="00AA13D7">
        <w:rPr>
          <w:rFonts w:ascii="Times New Roman" w:eastAsia="Times New Roman" w:hAnsi="Times New Roman" w:cs="Times New Roman"/>
          <w:lang w:val="en-GB"/>
        </w:rPr>
        <w:t>ade, the European Commission</w:t>
      </w:r>
      <w:r w:rsidRPr="00275337">
        <w:rPr>
          <w:rFonts w:ascii="Times New Roman" w:eastAsia="Times New Roman" w:hAnsi="Times New Roman" w:cs="Times New Roman"/>
          <w:lang w:val="en-GB"/>
        </w:rPr>
        <w:t xml:space="preserve"> organised and hosted a workshop in Brussels in June 2006 entitled ‘International Sturgeon Enforcement Workshop to Combat Illegal trade in Caviar’. One of the stated aims of the workshop was to produce a set of</w:t>
      </w:r>
      <w:r w:rsidR="007F5D2E">
        <w:rPr>
          <w:rFonts w:ascii="Times New Roman" w:eastAsia="Times New Roman" w:hAnsi="Times New Roman" w:cs="Times New Roman"/>
          <w:lang w:val="en-GB"/>
        </w:rPr>
        <w:t xml:space="preserve"> practical measures that would “</w:t>
      </w:r>
      <w:r w:rsidRPr="00275337">
        <w:rPr>
          <w:rFonts w:ascii="Times New Roman" w:eastAsia="Times New Roman" w:hAnsi="Times New Roman" w:cs="Times New Roman"/>
          <w:lang w:val="en-GB"/>
        </w:rPr>
        <w:t>reinstate the countries commitment to the implementation and enforcement of C</w:t>
      </w:r>
      <w:r w:rsidR="007F5D2E">
        <w:rPr>
          <w:rFonts w:ascii="Times New Roman" w:eastAsia="Times New Roman" w:hAnsi="Times New Roman" w:cs="Times New Roman"/>
          <w:lang w:val="en-GB"/>
        </w:rPr>
        <w:t>ITES Resolution Conf. 12.7”</w:t>
      </w:r>
      <w:r w:rsidRPr="00275337">
        <w:rPr>
          <w:rFonts w:ascii="Times New Roman" w:eastAsia="Times New Roman" w:hAnsi="Times New Roman" w:cs="Times New Roman"/>
          <w:lang w:val="en-GB"/>
        </w:rPr>
        <w:t xml:space="preserve"> (ibid: 4). The workshop recognised that since the listing of sturgeon on CITES and the creation o</w:t>
      </w:r>
      <w:r w:rsidR="007F5D2E">
        <w:rPr>
          <w:rFonts w:ascii="Times New Roman" w:eastAsia="Times New Roman" w:hAnsi="Times New Roman" w:cs="Times New Roman"/>
          <w:lang w:val="en-GB"/>
        </w:rPr>
        <w:t>f CITES Resolution Conf. 12.7, “</w:t>
      </w:r>
      <w:r w:rsidRPr="00275337">
        <w:rPr>
          <w:rFonts w:ascii="Times New Roman" w:eastAsia="Times New Roman" w:hAnsi="Times New Roman" w:cs="Times New Roman"/>
          <w:lang w:val="en-GB"/>
        </w:rPr>
        <w:t>greater trade regulation and increased scrutiny of fis</w:t>
      </w:r>
      <w:r w:rsidR="007F5D2E">
        <w:rPr>
          <w:rFonts w:ascii="Times New Roman" w:eastAsia="Times New Roman" w:hAnsi="Times New Roman" w:cs="Times New Roman"/>
          <w:lang w:val="en-GB"/>
        </w:rPr>
        <w:t>heries management have resulted”</w:t>
      </w:r>
      <w:r w:rsidRPr="00275337">
        <w:rPr>
          <w:rFonts w:ascii="Times New Roman" w:eastAsia="Times New Roman" w:hAnsi="Times New Roman" w:cs="Times New Roman"/>
          <w:lang w:val="en-GB"/>
        </w:rPr>
        <w:t>, (ibid:11). At the same time, the worksh</w:t>
      </w:r>
      <w:r w:rsidR="007F5D2E">
        <w:rPr>
          <w:rFonts w:ascii="Times New Roman" w:eastAsia="Times New Roman" w:hAnsi="Times New Roman" w:cs="Times New Roman"/>
          <w:lang w:val="en-GB"/>
        </w:rPr>
        <w:t xml:space="preserve">op clearly identified that the </w:t>
      </w:r>
      <w:r w:rsidRPr="00275337">
        <w:rPr>
          <w:rFonts w:ascii="Times New Roman" w:eastAsia="Times New Roman" w:hAnsi="Times New Roman" w:cs="Times New Roman"/>
          <w:lang w:val="en-GB"/>
        </w:rPr>
        <w:t>implementation of CITES Resolution Conf 12.7 via th</w:t>
      </w:r>
      <w:r w:rsidR="00A62514">
        <w:rPr>
          <w:rFonts w:ascii="Times New Roman" w:eastAsia="Times New Roman" w:hAnsi="Times New Roman" w:cs="Times New Roman"/>
          <w:lang w:val="en-GB"/>
        </w:rPr>
        <w:t>e EU Wildlife Trade Regulations</w:t>
      </w:r>
      <w:r w:rsidRPr="00275337">
        <w:rPr>
          <w:rFonts w:ascii="Times New Roman" w:eastAsia="Times New Roman" w:hAnsi="Times New Roman" w:cs="Times New Roman"/>
          <w:lang w:val="en-GB"/>
        </w:rPr>
        <w:t xml:space="preserve"> was far from perfect</w:t>
      </w:r>
      <w:r w:rsidR="00A62514">
        <w:rPr>
          <w:rFonts w:ascii="Times New Roman" w:eastAsia="Times New Roman" w:hAnsi="Times New Roman" w:cs="Times New Roman"/>
          <w:lang w:val="en-GB"/>
        </w:rPr>
        <w:t>,</w:t>
      </w:r>
      <w:r w:rsidRPr="00275337">
        <w:rPr>
          <w:rFonts w:ascii="Times New Roman" w:eastAsia="Times New Roman" w:hAnsi="Times New Roman" w:cs="Times New Roman"/>
          <w:lang w:val="en-GB"/>
        </w:rPr>
        <w:t xml:space="preserve"> as one of the working groups at the conference discussed the topic of ‘legislative gaps and weaknesses, national and international’. </w:t>
      </w:r>
    </w:p>
    <w:p w14:paraId="52B98CA3" w14:textId="6767BB36" w:rsidR="00AC10E7" w:rsidRPr="00275337" w:rsidRDefault="00AC10E7" w:rsidP="0025452A">
      <w:pPr>
        <w:pStyle w:val="Normal1"/>
        <w:spacing w:after="160" w:line="360" w:lineRule="auto"/>
        <w:ind w:firstLine="720"/>
        <w:jc w:val="both"/>
        <w:rPr>
          <w:rFonts w:ascii="Times New Roman" w:eastAsia="Times New Roman" w:hAnsi="Times New Roman" w:cs="Times New Roman"/>
          <w:lang w:val="en-GB"/>
        </w:rPr>
      </w:pPr>
      <w:r w:rsidRPr="00275337">
        <w:rPr>
          <w:rFonts w:ascii="Times New Roman" w:eastAsia="Times New Roman" w:hAnsi="Times New Roman" w:cs="Times New Roman"/>
          <w:lang w:val="en-GB"/>
        </w:rPr>
        <w:t xml:space="preserve">One such gap and weakness, is the variation between the implementation of the EU Wildlife trade regulations between Member States. Although the EU Wildlife Trade Regulations are directly applicable in all EU Member States, </w:t>
      </w:r>
      <w:r w:rsidR="007F5D2E">
        <w:rPr>
          <w:rFonts w:ascii="Times New Roman" w:eastAsia="Times New Roman" w:hAnsi="Times New Roman" w:cs="Times New Roman"/>
          <w:lang w:val="en-GB"/>
        </w:rPr>
        <w:t>“</w:t>
      </w:r>
      <w:r w:rsidRPr="00275337">
        <w:rPr>
          <w:rFonts w:ascii="Times New Roman" w:eastAsia="Times New Roman" w:hAnsi="Times New Roman" w:cs="Times New Roman"/>
          <w:lang w:val="en-GB"/>
        </w:rPr>
        <w:t>the necessary enforcement provisions must be transposed into national legislation and supplemented with national laws for matters that remain under the sovereignty of each</w:t>
      </w:r>
      <w:r w:rsidR="007F5D2E">
        <w:rPr>
          <w:rFonts w:ascii="Times New Roman" w:eastAsia="Times New Roman" w:hAnsi="Times New Roman" w:cs="Times New Roman"/>
          <w:lang w:val="en-GB"/>
        </w:rPr>
        <w:t xml:space="preserve"> Member State such as penalties”</w:t>
      </w:r>
      <w:r w:rsidRPr="00275337">
        <w:rPr>
          <w:rFonts w:ascii="Times New Roman" w:eastAsia="Times New Roman" w:hAnsi="Times New Roman" w:cs="Times New Roman"/>
          <w:lang w:val="en-GB"/>
        </w:rPr>
        <w:t xml:space="preserve">, </w:t>
      </w:r>
      <w:r w:rsidR="007F5D2E">
        <w:rPr>
          <w:rFonts w:ascii="Times New Roman" w:eastAsia="Times New Roman" w:hAnsi="Times New Roman" w:cs="Times New Roman"/>
          <w:lang w:val="en-GB"/>
        </w:rPr>
        <w:fldChar w:fldCharType="begin" w:fldLock="1"/>
      </w:r>
      <w:r w:rsidR="00E24107">
        <w:rPr>
          <w:rFonts w:ascii="Times New Roman" w:eastAsia="Times New Roman" w:hAnsi="Times New Roman" w:cs="Times New Roman"/>
          <w:lang w:val="en-GB"/>
        </w:rPr>
        <w:instrText>ADDIN CSL_CITATION {"citationItems":[{"id":"ITEM-1","itemData":{"DOI":"10.2779/21758","ISBN":"9789279151484","author":[{"dropping-particle":"","family":"European Commission","given":"","non-dropping-particle":"","parse-names":false,"suffix":""}],"id":"ITEM-1","issued":{"date-parts":[["2010"]]},"title":"An Introduction to CITES and its Implementation in the European Union","type":"report"},"uris":["http://www.mendeley.com/documents/?uuid=4553e343-eeda-326e-9d63-0d633825caff"]}],"mendeley":{"formattedCitation":"(European Commission, 2010)","manualFormatting":"(European Commission, 2010: 13)","plainTextFormattedCitation":"(European Commission, 2010)","previouslyFormattedCitation":"(European Commission, 2010)"},"properties":{"noteIndex":0},"schema":"https://github.com/citation-style-language/schema/raw/master/csl-citation.json"}</w:instrText>
      </w:r>
      <w:r w:rsidR="007F5D2E">
        <w:rPr>
          <w:rFonts w:ascii="Times New Roman" w:eastAsia="Times New Roman" w:hAnsi="Times New Roman" w:cs="Times New Roman"/>
          <w:lang w:val="en-GB"/>
        </w:rPr>
        <w:fldChar w:fldCharType="separate"/>
      </w:r>
      <w:r w:rsidR="007F5D2E" w:rsidRPr="007F5D2E">
        <w:rPr>
          <w:rFonts w:ascii="Times New Roman" w:eastAsia="Times New Roman" w:hAnsi="Times New Roman" w:cs="Times New Roman"/>
          <w:noProof/>
          <w:lang w:val="en-GB"/>
        </w:rPr>
        <w:t>(European Commission, 2010</w:t>
      </w:r>
      <w:r w:rsidR="007F5D2E">
        <w:rPr>
          <w:rFonts w:ascii="Times New Roman" w:eastAsia="Times New Roman" w:hAnsi="Times New Roman" w:cs="Times New Roman"/>
          <w:noProof/>
          <w:lang w:val="en-GB"/>
        </w:rPr>
        <w:t>: 13</w:t>
      </w:r>
      <w:r w:rsidR="007F5D2E" w:rsidRPr="007F5D2E">
        <w:rPr>
          <w:rFonts w:ascii="Times New Roman" w:eastAsia="Times New Roman" w:hAnsi="Times New Roman" w:cs="Times New Roman"/>
          <w:noProof/>
          <w:lang w:val="en-GB"/>
        </w:rPr>
        <w:t>)</w:t>
      </w:r>
      <w:r w:rsidR="007F5D2E">
        <w:rPr>
          <w:rFonts w:ascii="Times New Roman" w:eastAsia="Times New Roman" w:hAnsi="Times New Roman" w:cs="Times New Roman"/>
          <w:lang w:val="en-GB"/>
        </w:rPr>
        <w:fldChar w:fldCharType="end"/>
      </w:r>
      <w:r w:rsidRPr="00275337">
        <w:rPr>
          <w:rFonts w:ascii="Times New Roman" w:eastAsia="Times New Roman" w:hAnsi="Times New Roman" w:cs="Times New Roman"/>
          <w:lang w:val="en-GB"/>
        </w:rPr>
        <w:t>. Moreover, the regulations are also enacted according to the legislation that each state has regarding biodiversity conservation and customs regulations. Thus, a diverse range of factors including, but not limited to, national biodiversity priorities, penal systems, enforcement capacity, an</w:t>
      </w:r>
      <w:r w:rsidR="00A62514">
        <w:rPr>
          <w:rFonts w:ascii="Times New Roman" w:eastAsia="Times New Roman" w:hAnsi="Times New Roman" w:cs="Times New Roman"/>
          <w:lang w:val="en-GB"/>
        </w:rPr>
        <w:t xml:space="preserve">d funding, influence the variegated </w:t>
      </w:r>
      <w:r w:rsidRPr="00275337">
        <w:rPr>
          <w:rFonts w:ascii="Times New Roman" w:eastAsia="Times New Roman" w:hAnsi="Times New Roman" w:cs="Times New Roman"/>
          <w:lang w:val="en-GB"/>
        </w:rPr>
        <w:t xml:space="preserve">manner in which EU Member States integrate EU caviar trade laws into their national legislation. An impact of the variability in </w:t>
      </w:r>
      <w:r w:rsidR="00A62514">
        <w:rPr>
          <w:rFonts w:ascii="Times New Roman" w:eastAsia="Times New Roman" w:hAnsi="Times New Roman" w:cs="Times New Roman"/>
          <w:lang w:val="en-GB"/>
        </w:rPr>
        <w:t>Member States’ national transposition of</w:t>
      </w:r>
      <w:r w:rsidRPr="00275337">
        <w:rPr>
          <w:rFonts w:ascii="Times New Roman" w:eastAsia="Times New Roman" w:hAnsi="Times New Roman" w:cs="Times New Roman"/>
          <w:lang w:val="en-GB"/>
        </w:rPr>
        <w:t xml:space="preserve"> EU law, is that very different penalties for CITES offences exist between EU Member states. The maximum fine for a CITES offence is as small as 3570 euros in Romania, and in the UK is unlimited; and the maximum prison sentence ranges from 6 months to 10 years</w:t>
      </w:r>
      <w:r w:rsidR="00A62514">
        <w:rPr>
          <w:rFonts w:ascii="Times New Roman" w:eastAsia="Times New Roman" w:hAnsi="Times New Roman" w:cs="Times New Roman"/>
          <w:lang w:val="en-GB"/>
        </w:rPr>
        <w:t xml:space="preserve"> across EU Member States</w:t>
      </w:r>
      <w:r w:rsidR="00E24107">
        <w:rPr>
          <w:rFonts w:ascii="Times New Roman" w:eastAsia="Times New Roman" w:hAnsi="Times New Roman" w:cs="Times New Roman"/>
          <w:lang w:val="en-GB"/>
        </w:rPr>
        <w:t xml:space="preserve"> </w:t>
      </w:r>
      <w:r w:rsidR="00E24107">
        <w:rPr>
          <w:rFonts w:ascii="Times New Roman" w:eastAsia="Times New Roman" w:hAnsi="Times New Roman" w:cs="Times New Roman"/>
          <w:lang w:val="en-GB"/>
        </w:rPr>
        <w:fldChar w:fldCharType="begin" w:fldLock="1"/>
      </w:r>
      <w:r w:rsidR="00E24107">
        <w:rPr>
          <w:rFonts w:ascii="Times New Roman" w:eastAsia="Times New Roman" w:hAnsi="Times New Roman" w:cs="Times New Roman"/>
          <w:lang w:val="en-GB"/>
        </w:rPr>
        <w:instrText>ADDIN CSL_CITATION {"citationItems":[{"id":"ITEM-1","itemData":{"author":[{"dropping-particle":"","family":"TRAFFIC","given":"","non-dropping-particle":"","parse-names":false,"suffix":""}],"id":"ITEM-1","issued":{"date-parts":[["2014"]]},"title":"Wildlife trade in the European Union - TRAFFIC briefing paper","type":"article-journal"},"uris":["http://www.mendeley.com/documents/?uuid=228820dd-e59c-4bc2-9e8c-eb3536b84039"]}],"mendeley":{"formattedCitation":"(TRAFFIC, 2014)","plainTextFormattedCitation":"(TRAFFIC, 2014)","previouslyFormattedCitation":"(TRAFFIC, 2014)"},"properties":{"noteIndex":0},"schema":"https://github.com/citation-style-language/schema/raw/master/csl-citation.json"}</w:instrText>
      </w:r>
      <w:r w:rsidR="00E24107">
        <w:rPr>
          <w:rFonts w:ascii="Times New Roman" w:eastAsia="Times New Roman" w:hAnsi="Times New Roman" w:cs="Times New Roman"/>
          <w:lang w:val="en-GB"/>
        </w:rPr>
        <w:fldChar w:fldCharType="separate"/>
      </w:r>
      <w:r w:rsidR="00E24107" w:rsidRPr="00E24107">
        <w:rPr>
          <w:rFonts w:ascii="Times New Roman" w:eastAsia="Times New Roman" w:hAnsi="Times New Roman" w:cs="Times New Roman"/>
          <w:noProof/>
          <w:lang w:val="en-GB"/>
        </w:rPr>
        <w:t>(TRAFFIC, 2014)</w:t>
      </w:r>
      <w:r w:rsidR="00E24107">
        <w:rPr>
          <w:rFonts w:ascii="Times New Roman" w:eastAsia="Times New Roman" w:hAnsi="Times New Roman" w:cs="Times New Roman"/>
          <w:lang w:val="en-GB"/>
        </w:rPr>
        <w:fldChar w:fldCharType="end"/>
      </w:r>
      <w:r w:rsidR="00E24107">
        <w:rPr>
          <w:rFonts w:ascii="Times New Roman" w:eastAsia="Times New Roman" w:hAnsi="Times New Roman" w:cs="Times New Roman"/>
          <w:lang w:val="en-GB"/>
        </w:rPr>
        <w:t xml:space="preserve">. </w:t>
      </w:r>
    </w:p>
    <w:p w14:paraId="33551950" w14:textId="745F20D7" w:rsidR="00AC10E7" w:rsidRPr="00275337" w:rsidRDefault="00AC10E7" w:rsidP="0025452A">
      <w:pPr>
        <w:pStyle w:val="Normal1"/>
        <w:spacing w:after="160" w:line="360" w:lineRule="auto"/>
        <w:ind w:firstLine="720"/>
        <w:jc w:val="both"/>
        <w:rPr>
          <w:rFonts w:ascii="Times New Roman" w:eastAsia="Times New Roman" w:hAnsi="Times New Roman" w:cs="Times New Roman"/>
          <w:lang w:val="en-GB"/>
        </w:rPr>
      </w:pPr>
      <w:r w:rsidRPr="00275337">
        <w:rPr>
          <w:rFonts w:ascii="Times New Roman" w:eastAsia="Times New Roman" w:hAnsi="Times New Roman" w:cs="Times New Roman"/>
          <w:lang w:val="en-GB"/>
        </w:rPr>
        <w:t>Furthermore, within EU Member States there are issues regarding particular aspects of the regulations being implemented and enforced into national law, whilst others are only partially</w:t>
      </w:r>
      <w:r w:rsidR="00A62514">
        <w:rPr>
          <w:rFonts w:ascii="Times New Roman" w:eastAsia="Times New Roman" w:hAnsi="Times New Roman" w:cs="Times New Roman"/>
          <w:lang w:val="en-GB"/>
        </w:rPr>
        <w:t>, or not</w:t>
      </w:r>
      <w:r w:rsidRPr="00275337">
        <w:rPr>
          <w:rFonts w:ascii="Times New Roman" w:eastAsia="Times New Roman" w:hAnsi="Times New Roman" w:cs="Times New Roman"/>
          <w:lang w:val="en-GB"/>
        </w:rPr>
        <w:t xml:space="preserve"> implemented. For example, in May 2006 as Romania prepared to accede to the EU, the country enacted a ban on all commercial fishing</w:t>
      </w:r>
      <w:r>
        <w:rPr>
          <w:rFonts w:ascii="Times New Roman" w:eastAsia="Times New Roman" w:hAnsi="Times New Roman" w:cs="Times New Roman"/>
          <w:lang w:val="en-GB"/>
        </w:rPr>
        <w:t xml:space="preserve"> of sturgeon in Romanian waters</w:t>
      </w:r>
      <w:r w:rsidRPr="005B292F">
        <w:rPr>
          <w:rStyle w:val="FootnoteReference"/>
        </w:rPr>
        <w:footnoteReference w:id="40"/>
      </w:r>
      <w:r w:rsidRPr="00275337">
        <w:rPr>
          <w:rFonts w:ascii="Times New Roman" w:eastAsia="Times New Roman" w:hAnsi="Times New Roman" w:cs="Times New Roman"/>
          <w:lang w:val="en-GB"/>
        </w:rPr>
        <w:t xml:space="preserve">. However since joining the </w:t>
      </w:r>
      <w:r w:rsidRPr="00275337">
        <w:rPr>
          <w:rFonts w:ascii="Times New Roman" w:eastAsia="Times New Roman" w:hAnsi="Times New Roman" w:cs="Times New Roman"/>
          <w:lang w:val="en-GB"/>
        </w:rPr>
        <w:lastRenderedPageBreak/>
        <w:t xml:space="preserve">EU, Romania has been less proactive in implementing compulsory aspects of EU caviar trade regulations that are outlined in the Commission's ‘implementing regulation’. Over ten years since the EU legislation regarding caviar labelling made the domestic labelling of caviar mandatory, this has not been fully implemented in Romania. For example, the results from a 2013 WWF market survey on illegal caviar trade in Romania (and Bulgaria), found that out of 14 samples of caviar acquired from Romania, 6 of these samples did not have mandatory CITES labels and codes </w:t>
      </w:r>
      <w:r w:rsidR="00E24107">
        <w:rPr>
          <w:rFonts w:ascii="Times New Roman" w:eastAsia="Times New Roman" w:hAnsi="Times New Roman" w:cs="Times New Roman"/>
          <w:lang w:val="en-GB"/>
        </w:rPr>
        <w:fldChar w:fldCharType="begin" w:fldLock="1"/>
      </w:r>
      <w:r w:rsidR="00E74997">
        <w:rPr>
          <w:rFonts w:ascii="Times New Roman" w:eastAsia="Times New Roman" w:hAnsi="Times New Roman" w:cs="Times New Roman"/>
          <w:lang w:val="en-GB"/>
        </w:rPr>
        <w:instrText>ADDIN CSL_CITATION {"citationItems":[{"id":"ITEM-1","itemData":{"author":[{"dropping-particle":"","family":"Jahrl","given":"J.","non-dropping-particle":"","parse-names":false,"suffix":""}],"id":"ITEM-1","issued":{"date-parts":[["2013"]]},"page":"54","title":"Illegal Caviar Trade in Bulgaria and Romania: Results of a market survey on trade in caviar from sturgeons (Acipenseridae).","type":"article-journal"},"uris":["http://www.mendeley.com/documents/?uuid=1261adf1-05f4-44f1-acf9-e025b430e371"]}],"mendeley":{"formattedCitation":"(Jahrl, 2013)","manualFormatting":"(Jahrl, 2013: 41)","plainTextFormattedCitation":"(Jahrl, 2013)","previouslyFormattedCitation":"(Jahrl, 2013)"},"properties":{"noteIndex":0},"schema":"https://github.com/citation-style-language/schema/raw/master/csl-citation.json"}</w:instrText>
      </w:r>
      <w:r w:rsidR="00E24107">
        <w:rPr>
          <w:rFonts w:ascii="Times New Roman" w:eastAsia="Times New Roman" w:hAnsi="Times New Roman" w:cs="Times New Roman"/>
          <w:lang w:val="en-GB"/>
        </w:rPr>
        <w:fldChar w:fldCharType="separate"/>
      </w:r>
      <w:r w:rsidR="00E24107" w:rsidRPr="00E24107">
        <w:rPr>
          <w:rFonts w:ascii="Times New Roman" w:eastAsia="Times New Roman" w:hAnsi="Times New Roman" w:cs="Times New Roman"/>
          <w:noProof/>
          <w:lang w:val="en-GB"/>
        </w:rPr>
        <w:t>(Jahrl, 2013</w:t>
      </w:r>
      <w:r w:rsidR="00E24107">
        <w:rPr>
          <w:rFonts w:ascii="Times New Roman" w:eastAsia="Times New Roman" w:hAnsi="Times New Roman" w:cs="Times New Roman"/>
          <w:noProof/>
          <w:lang w:val="en-GB"/>
        </w:rPr>
        <w:t>: 41</w:t>
      </w:r>
      <w:r w:rsidR="00E24107" w:rsidRPr="00E24107">
        <w:rPr>
          <w:rFonts w:ascii="Times New Roman" w:eastAsia="Times New Roman" w:hAnsi="Times New Roman" w:cs="Times New Roman"/>
          <w:noProof/>
          <w:lang w:val="en-GB"/>
        </w:rPr>
        <w:t>)</w:t>
      </w:r>
      <w:r w:rsidR="00E24107">
        <w:rPr>
          <w:rFonts w:ascii="Times New Roman" w:eastAsia="Times New Roman" w:hAnsi="Times New Roman" w:cs="Times New Roman"/>
          <w:lang w:val="en-GB"/>
        </w:rPr>
        <w:fldChar w:fldCharType="end"/>
      </w:r>
      <w:r w:rsidR="00A62514">
        <w:rPr>
          <w:rFonts w:ascii="Times New Roman" w:eastAsia="Times New Roman" w:hAnsi="Times New Roman" w:cs="Times New Roman"/>
          <w:lang w:val="en-GB"/>
        </w:rPr>
        <w:t>.</w:t>
      </w:r>
      <w:r w:rsidR="00E24107">
        <w:rPr>
          <w:rFonts w:ascii="Times New Roman" w:eastAsia="Times New Roman" w:hAnsi="Times New Roman" w:cs="Times New Roman"/>
          <w:lang w:val="en-GB"/>
        </w:rPr>
        <w:t xml:space="preserve"> T</w:t>
      </w:r>
      <w:r w:rsidRPr="00275337">
        <w:rPr>
          <w:rFonts w:ascii="Times New Roman" w:eastAsia="Times New Roman" w:hAnsi="Times New Roman" w:cs="Times New Roman"/>
          <w:lang w:val="en-GB"/>
        </w:rPr>
        <w:t>he non-complianc</w:t>
      </w:r>
      <w:r w:rsidR="00E24107">
        <w:rPr>
          <w:rFonts w:ascii="Times New Roman" w:eastAsia="Times New Roman" w:hAnsi="Times New Roman" w:cs="Times New Roman"/>
          <w:lang w:val="en-GB"/>
        </w:rPr>
        <w:t>e could also be</w:t>
      </w:r>
      <w:r w:rsidRPr="00275337">
        <w:rPr>
          <w:rFonts w:ascii="Times New Roman" w:eastAsia="Times New Roman" w:hAnsi="Times New Roman" w:cs="Times New Roman"/>
          <w:lang w:val="en-GB"/>
        </w:rPr>
        <w:t xml:space="preserve"> higher than these results suggest, because a further 5 of the 14 samples acquired in Romania</w:t>
      </w:r>
      <w:r w:rsidR="00A62514">
        <w:rPr>
          <w:rFonts w:ascii="Times New Roman" w:eastAsia="Times New Roman" w:hAnsi="Times New Roman" w:cs="Times New Roman"/>
          <w:lang w:val="en-GB"/>
        </w:rPr>
        <w:t xml:space="preserve"> were served at restaurants or private parties</w:t>
      </w:r>
      <w:r w:rsidRPr="00275337">
        <w:rPr>
          <w:rFonts w:ascii="Times New Roman" w:eastAsia="Times New Roman" w:hAnsi="Times New Roman" w:cs="Times New Roman"/>
          <w:lang w:val="en-GB"/>
        </w:rPr>
        <w:t xml:space="preserve"> where it was not pos</w:t>
      </w:r>
      <w:r w:rsidR="00A62514">
        <w:rPr>
          <w:rFonts w:ascii="Times New Roman" w:eastAsia="Times New Roman" w:hAnsi="Times New Roman" w:cs="Times New Roman"/>
          <w:lang w:val="en-GB"/>
        </w:rPr>
        <w:t>sible to ascertain whether the</w:t>
      </w:r>
      <w:r w:rsidRPr="00275337">
        <w:rPr>
          <w:rFonts w:ascii="Times New Roman" w:eastAsia="Times New Roman" w:hAnsi="Times New Roman" w:cs="Times New Roman"/>
          <w:lang w:val="en-GB"/>
        </w:rPr>
        <w:t xml:space="preserve"> caviar came from a correctly labelled container. This illustrates that there are discrepancies within EU Member States’ own implementation of the </w:t>
      </w:r>
      <w:r w:rsidR="00E24107">
        <w:rPr>
          <w:rFonts w:ascii="Times New Roman" w:eastAsia="Times New Roman" w:hAnsi="Times New Roman" w:cs="Times New Roman"/>
          <w:lang w:val="en-GB"/>
        </w:rPr>
        <w:t>regulations: in some instances “</w:t>
      </w:r>
      <w:r w:rsidRPr="00275337">
        <w:rPr>
          <w:rFonts w:ascii="Times New Roman" w:eastAsia="Times New Roman" w:hAnsi="Times New Roman" w:cs="Times New Roman"/>
          <w:lang w:val="en-GB"/>
        </w:rPr>
        <w:t xml:space="preserve">the implementation of what is already legally required is not done, or it’s </w:t>
      </w:r>
      <w:r>
        <w:rPr>
          <w:rFonts w:ascii="Times New Roman" w:eastAsia="Times New Roman" w:hAnsi="Times New Roman" w:cs="Times New Roman"/>
          <w:lang w:val="en-GB"/>
        </w:rPr>
        <w:t>not working</w:t>
      </w:r>
      <w:r w:rsidR="00E24107">
        <w:rPr>
          <w:rFonts w:ascii="Times New Roman" w:eastAsia="Times New Roman" w:hAnsi="Times New Roman" w:cs="Times New Roman"/>
          <w:lang w:val="en-GB"/>
        </w:rPr>
        <w:t>”</w:t>
      </w:r>
      <w:r w:rsidRPr="005B292F">
        <w:rPr>
          <w:rStyle w:val="FootnoteReference"/>
        </w:rPr>
        <w:footnoteReference w:id="41"/>
      </w:r>
      <w:r w:rsidRPr="00275337">
        <w:rPr>
          <w:rFonts w:ascii="Times New Roman" w:eastAsia="Times New Roman" w:hAnsi="Times New Roman" w:cs="Times New Roman"/>
          <w:lang w:val="en-GB"/>
        </w:rPr>
        <w:t>.</w:t>
      </w:r>
    </w:p>
    <w:p w14:paraId="62B8F291" w14:textId="1099F382" w:rsidR="00AC10E7" w:rsidRPr="00275337" w:rsidRDefault="007B2AFD" w:rsidP="0025452A">
      <w:pPr>
        <w:pStyle w:val="Normal1"/>
        <w:spacing w:after="160" w:line="360" w:lineRule="auto"/>
        <w:ind w:firstLine="720"/>
        <w:jc w:val="both"/>
        <w:rPr>
          <w:rFonts w:ascii="Times New Roman" w:eastAsia="Times New Roman" w:hAnsi="Times New Roman" w:cs="Times New Roman"/>
          <w:lang w:val="en-GB"/>
        </w:rPr>
      </w:pPr>
      <w:r>
        <w:rPr>
          <w:rFonts w:ascii="Times New Roman" w:eastAsia="Times New Roman" w:hAnsi="Times New Roman" w:cs="Times New Roman"/>
          <w:lang w:val="en-GB"/>
        </w:rPr>
        <w:t xml:space="preserve">The EU Wildlife Trade Regulations outline clear regulatory frameworks for the implementation of CITES Resolution Conf 12.7 into EU law. The </w:t>
      </w:r>
      <w:r w:rsidR="00AC10E7" w:rsidRPr="00275337">
        <w:rPr>
          <w:rFonts w:ascii="Times New Roman" w:eastAsia="Times New Roman" w:hAnsi="Times New Roman" w:cs="Times New Roman"/>
          <w:lang w:val="en-GB"/>
        </w:rPr>
        <w:t xml:space="preserve">EU has </w:t>
      </w:r>
      <w:r>
        <w:rPr>
          <w:rFonts w:ascii="Times New Roman" w:eastAsia="Times New Roman" w:hAnsi="Times New Roman" w:cs="Times New Roman"/>
          <w:lang w:val="en-GB"/>
        </w:rPr>
        <w:t xml:space="preserve">historically </w:t>
      </w:r>
      <w:r w:rsidR="00AC10E7" w:rsidRPr="00275337">
        <w:rPr>
          <w:rFonts w:ascii="Times New Roman" w:eastAsia="Times New Roman" w:hAnsi="Times New Roman" w:cs="Times New Roman"/>
          <w:lang w:val="en-GB"/>
        </w:rPr>
        <w:t>taken a leadership role in tackling illegal caviar trade</w:t>
      </w:r>
      <w:r>
        <w:rPr>
          <w:rFonts w:ascii="Times New Roman" w:eastAsia="Times New Roman" w:hAnsi="Times New Roman" w:cs="Times New Roman"/>
          <w:lang w:val="en-GB"/>
        </w:rPr>
        <w:t xml:space="preserve"> globally,</w:t>
      </w:r>
      <w:r w:rsidR="00AC10E7" w:rsidRPr="00275337">
        <w:rPr>
          <w:rFonts w:ascii="Times New Roman" w:eastAsia="Times New Roman" w:hAnsi="Times New Roman" w:cs="Times New Roman"/>
          <w:lang w:val="en-GB"/>
        </w:rPr>
        <w:t xml:space="preserve"> by</w:t>
      </w:r>
      <w:r>
        <w:rPr>
          <w:rFonts w:ascii="Times New Roman" w:eastAsia="Times New Roman" w:hAnsi="Times New Roman" w:cs="Times New Roman"/>
          <w:lang w:val="en-GB"/>
        </w:rPr>
        <w:t>: amending regulations;</w:t>
      </w:r>
      <w:r w:rsidR="00AC10E7" w:rsidRPr="00275337">
        <w:rPr>
          <w:rFonts w:ascii="Times New Roman" w:eastAsia="Times New Roman" w:hAnsi="Times New Roman" w:cs="Times New Roman"/>
          <w:lang w:val="en-GB"/>
        </w:rPr>
        <w:t xml:space="preserve"> placing sturgeon and </w:t>
      </w:r>
      <w:r>
        <w:rPr>
          <w:rFonts w:ascii="Times New Roman" w:eastAsia="Times New Roman" w:hAnsi="Times New Roman" w:cs="Times New Roman"/>
          <w:lang w:val="en-GB"/>
        </w:rPr>
        <w:t>caviar as a CITES priority area;</w:t>
      </w:r>
      <w:r w:rsidR="00AC10E7" w:rsidRPr="00275337">
        <w:rPr>
          <w:rFonts w:ascii="Times New Roman" w:eastAsia="Times New Roman" w:hAnsi="Times New Roman" w:cs="Times New Roman"/>
          <w:lang w:val="en-GB"/>
        </w:rPr>
        <w:t xml:space="preserve"> and continuing to reinstate the EU’s commitment to implementing and enforcing CITES Resolution Conf. 12.7 in the Member States. </w:t>
      </w:r>
      <w:r>
        <w:rPr>
          <w:rFonts w:ascii="Times New Roman" w:eastAsia="Times New Roman" w:hAnsi="Times New Roman" w:cs="Times New Roman"/>
          <w:lang w:val="en-GB"/>
        </w:rPr>
        <w:t>I</w:t>
      </w:r>
      <w:r w:rsidR="00AC10E7" w:rsidRPr="00275337">
        <w:rPr>
          <w:rFonts w:ascii="Times New Roman" w:eastAsia="Times New Roman" w:hAnsi="Times New Roman" w:cs="Times New Roman"/>
          <w:lang w:val="en-GB"/>
        </w:rPr>
        <w:t>n practice</w:t>
      </w:r>
      <w:r>
        <w:rPr>
          <w:rFonts w:ascii="Times New Roman" w:eastAsia="Times New Roman" w:hAnsi="Times New Roman" w:cs="Times New Roman"/>
          <w:lang w:val="en-GB"/>
        </w:rPr>
        <w:t xml:space="preserve"> however,</w:t>
      </w:r>
      <w:r w:rsidR="00AC10E7" w:rsidRPr="00275337">
        <w:rPr>
          <w:rFonts w:ascii="Times New Roman" w:eastAsia="Times New Roman" w:hAnsi="Times New Roman" w:cs="Times New Roman"/>
          <w:lang w:val="en-GB"/>
        </w:rPr>
        <w:t xml:space="preserve"> the implementation of CITES Resolution Conf 12.7 in the EU Member States has been somewhat chequered. This is primarily because it is the responsibility of the Member States to</w:t>
      </w:r>
      <w:r>
        <w:rPr>
          <w:rFonts w:ascii="Times New Roman" w:eastAsia="Times New Roman" w:hAnsi="Times New Roman" w:cs="Times New Roman"/>
          <w:lang w:val="en-GB"/>
        </w:rPr>
        <w:t xml:space="preserve"> integrate the EU Wildlife Trade regulations into their national legislation, and thereby fulfil their obligations as parties to CITES. </w:t>
      </w:r>
      <w:r w:rsidR="00AC10E7" w:rsidRPr="00275337">
        <w:rPr>
          <w:rFonts w:ascii="Times New Roman" w:eastAsia="Times New Roman" w:hAnsi="Times New Roman" w:cs="Times New Roman"/>
          <w:lang w:val="en-GB"/>
        </w:rPr>
        <w:t>As a result, the regulations have been implemented to varying degrees</w:t>
      </w:r>
      <w:r>
        <w:rPr>
          <w:rFonts w:ascii="Times New Roman" w:eastAsia="Times New Roman" w:hAnsi="Times New Roman" w:cs="Times New Roman"/>
          <w:lang w:val="en-GB"/>
        </w:rPr>
        <w:t xml:space="preserve"> and display discrepancies</w:t>
      </w:r>
      <w:r w:rsidR="00AC10E7" w:rsidRPr="00275337">
        <w:rPr>
          <w:rFonts w:ascii="Times New Roman" w:eastAsia="Times New Roman" w:hAnsi="Times New Roman" w:cs="Times New Roman"/>
          <w:lang w:val="en-GB"/>
        </w:rPr>
        <w:t xml:space="preserve"> both within states and between EU Member States. </w:t>
      </w:r>
    </w:p>
    <w:p w14:paraId="0FF49D90" w14:textId="364D5728" w:rsidR="0069348E" w:rsidRDefault="007B2AFD" w:rsidP="0025452A">
      <w:pPr>
        <w:pStyle w:val="Normal1"/>
        <w:spacing w:after="160" w:line="360" w:lineRule="auto"/>
        <w:ind w:firstLine="720"/>
        <w:jc w:val="both"/>
        <w:rPr>
          <w:rFonts w:ascii="Times New Roman" w:eastAsia="Times New Roman" w:hAnsi="Times New Roman" w:cs="Times New Roman"/>
          <w:lang w:val="en-GB"/>
        </w:rPr>
      </w:pPr>
      <w:r>
        <w:rPr>
          <w:rFonts w:ascii="Times New Roman" w:eastAsia="Times New Roman" w:hAnsi="Times New Roman" w:cs="Times New Roman"/>
          <w:lang w:val="en-GB"/>
        </w:rPr>
        <w:t>In the following discussion</w:t>
      </w:r>
      <w:r w:rsidR="00AC10E7" w:rsidRPr="00275337">
        <w:rPr>
          <w:rFonts w:ascii="Times New Roman" w:eastAsia="Times New Roman" w:hAnsi="Times New Roman" w:cs="Times New Roman"/>
          <w:lang w:val="en-GB"/>
        </w:rPr>
        <w:t>, I examine the impact that the</w:t>
      </w:r>
      <w:r>
        <w:rPr>
          <w:rFonts w:ascii="Times New Roman" w:eastAsia="Times New Roman" w:hAnsi="Times New Roman" w:cs="Times New Roman"/>
          <w:lang w:val="en-GB"/>
        </w:rPr>
        <w:t xml:space="preserve"> regulatory frameworks have had – despite their limitations or absences - on EU illegal caviar trade. </w:t>
      </w:r>
      <w:r w:rsidR="004B219E">
        <w:rPr>
          <w:rFonts w:ascii="Times New Roman" w:eastAsia="Times New Roman" w:hAnsi="Times New Roman" w:cs="Times New Roman"/>
          <w:lang w:val="en-GB"/>
        </w:rPr>
        <w:t>T</w:t>
      </w:r>
      <w:r w:rsidR="00AC10E7" w:rsidRPr="00275337">
        <w:rPr>
          <w:rFonts w:ascii="Times New Roman" w:eastAsia="Times New Roman" w:hAnsi="Times New Roman" w:cs="Times New Roman"/>
          <w:lang w:val="en-GB"/>
        </w:rPr>
        <w:t>he impact of the regulations is often explained th</w:t>
      </w:r>
      <w:r w:rsidR="004B219E">
        <w:rPr>
          <w:rFonts w:ascii="Times New Roman" w:eastAsia="Times New Roman" w:hAnsi="Times New Roman" w:cs="Times New Roman"/>
          <w:lang w:val="en-GB"/>
        </w:rPr>
        <w:t>rough reference to seizure data; and</w:t>
      </w:r>
      <w:r w:rsidR="00AC10E7" w:rsidRPr="00275337">
        <w:rPr>
          <w:rFonts w:ascii="Times New Roman" w:eastAsia="Times New Roman" w:hAnsi="Times New Roman" w:cs="Times New Roman"/>
          <w:lang w:val="en-GB"/>
        </w:rPr>
        <w:t xml:space="preserve"> I critically re</w:t>
      </w:r>
      <w:r w:rsidR="004B219E">
        <w:rPr>
          <w:rFonts w:ascii="Times New Roman" w:eastAsia="Times New Roman" w:hAnsi="Times New Roman" w:cs="Times New Roman"/>
          <w:lang w:val="en-GB"/>
        </w:rPr>
        <w:t xml:space="preserve">flect upon the extent to which such </w:t>
      </w:r>
      <w:r w:rsidR="00AC10E7" w:rsidRPr="00275337">
        <w:rPr>
          <w:rFonts w:ascii="Times New Roman" w:eastAsia="Times New Roman" w:hAnsi="Times New Roman" w:cs="Times New Roman"/>
          <w:lang w:val="en-GB"/>
        </w:rPr>
        <w:t xml:space="preserve">data can tell the full story about the impacts of the </w:t>
      </w:r>
      <w:r w:rsidR="004B219E">
        <w:rPr>
          <w:rFonts w:ascii="Times New Roman" w:eastAsia="Times New Roman" w:hAnsi="Times New Roman" w:cs="Times New Roman"/>
          <w:lang w:val="en-GB"/>
        </w:rPr>
        <w:t>regulatory frameworks</w:t>
      </w:r>
      <w:r w:rsidR="00AC10E7" w:rsidRPr="00275337">
        <w:rPr>
          <w:rFonts w:ascii="Times New Roman" w:eastAsia="Times New Roman" w:hAnsi="Times New Roman" w:cs="Times New Roman"/>
          <w:lang w:val="en-GB"/>
        </w:rPr>
        <w:t xml:space="preserve"> on </w:t>
      </w:r>
      <w:r w:rsidR="004B219E">
        <w:rPr>
          <w:rFonts w:ascii="Times New Roman" w:eastAsia="Times New Roman" w:hAnsi="Times New Roman" w:cs="Times New Roman"/>
          <w:lang w:val="en-GB"/>
        </w:rPr>
        <w:t xml:space="preserve">dynamics of </w:t>
      </w:r>
      <w:r w:rsidR="00AC10E7" w:rsidRPr="00275337">
        <w:rPr>
          <w:rFonts w:ascii="Times New Roman" w:eastAsia="Times New Roman" w:hAnsi="Times New Roman" w:cs="Times New Roman"/>
          <w:lang w:val="en-GB"/>
        </w:rPr>
        <w:t>illegal caviar trade</w:t>
      </w:r>
      <w:r w:rsidR="004B219E">
        <w:rPr>
          <w:rFonts w:ascii="Times New Roman" w:eastAsia="Times New Roman" w:hAnsi="Times New Roman" w:cs="Times New Roman"/>
          <w:lang w:val="en-GB"/>
        </w:rPr>
        <w:t xml:space="preserve"> in the EU</w:t>
      </w:r>
      <w:r w:rsidR="00AC10E7" w:rsidRPr="00275337">
        <w:rPr>
          <w:rFonts w:ascii="Times New Roman" w:eastAsia="Times New Roman" w:hAnsi="Times New Roman" w:cs="Times New Roman"/>
          <w:lang w:val="en-GB"/>
        </w:rPr>
        <w:t xml:space="preserve">. </w:t>
      </w:r>
      <w:r w:rsidR="004B219E">
        <w:rPr>
          <w:rFonts w:ascii="Times New Roman" w:eastAsia="Times New Roman" w:hAnsi="Times New Roman" w:cs="Times New Roman"/>
          <w:lang w:val="en-GB"/>
        </w:rPr>
        <w:t>On the contrary,</w:t>
      </w:r>
      <w:r w:rsidR="00AC10E7" w:rsidRPr="00275337">
        <w:rPr>
          <w:rFonts w:ascii="Times New Roman" w:eastAsia="Times New Roman" w:hAnsi="Times New Roman" w:cs="Times New Roman"/>
          <w:lang w:val="en-GB"/>
        </w:rPr>
        <w:t xml:space="preserve"> I argue that seizure data is flawed and incomplete; and is mobilised in a </w:t>
      </w:r>
      <w:r w:rsidR="004B219E">
        <w:rPr>
          <w:rFonts w:ascii="Times New Roman" w:eastAsia="Times New Roman" w:hAnsi="Times New Roman" w:cs="Times New Roman"/>
          <w:lang w:val="en-GB"/>
        </w:rPr>
        <w:t xml:space="preserve">depoliticised </w:t>
      </w:r>
      <w:r w:rsidR="00AC10E7" w:rsidRPr="00275337">
        <w:rPr>
          <w:rFonts w:ascii="Times New Roman" w:eastAsia="Times New Roman" w:hAnsi="Times New Roman" w:cs="Times New Roman"/>
          <w:lang w:val="en-GB"/>
        </w:rPr>
        <w:t>way that presents a narrow view about the impacts of CITES Resolution Conf 12.7 on illegal caviar trade</w:t>
      </w:r>
      <w:r w:rsidR="004B219E">
        <w:rPr>
          <w:rFonts w:ascii="Times New Roman" w:eastAsia="Times New Roman" w:hAnsi="Times New Roman" w:cs="Times New Roman"/>
          <w:lang w:val="en-GB"/>
        </w:rPr>
        <w:t xml:space="preserve"> dynamics</w:t>
      </w:r>
      <w:r w:rsidR="00AC10E7" w:rsidRPr="00275337">
        <w:rPr>
          <w:rFonts w:ascii="Times New Roman" w:eastAsia="Times New Roman" w:hAnsi="Times New Roman" w:cs="Times New Roman"/>
          <w:lang w:val="en-GB"/>
        </w:rPr>
        <w:t xml:space="preserve"> in the European Union. </w:t>
      </w:r>
      <w:r w:rsidR="004B219E">
        <w:rPr>
          <w:rFonts w:ascii="Times New Roman" w:eastAsia="Times New Roman" w:hAnsi="Times New Roman" w:cs="Times New Roman"/>
          <w:lang w:val="en-GB"/>
        </w:rPr>
        <w:t xml:space="preserve">In </w:t>
      </w:r>
      <w:r w:rsidR="00AC10E7" w:rsidRPr="00275337">
        <w:rPr>
          <w:rFonts w:ascii="Times New Roman" w:eastAsia="Times New Roman" w:hAnsi="Times New Roman" w:cs="Times New Roman"/>
          <w:lang w:val="en-GB"/>
        </w:rPr>
        <w:t xml:space="preserve">section </w:t>
      </w:r>
      <w:r w:rsidR="00E24107">
        <w:rPr>
          <w:rFonts w:ascii="Times New Roman" w:eastAsia="Times New Roman" w:hAnsi="Times New Roman" w:cs="Times New Roman"/>
          <w:lang w:val="en-GB"/>
        </w:rPr>
        <w:t>4</w:t>
      </w:r>
      <w:r w:rsidR="00AC10E7">
        <w:rPr>
          <w:rFonts w:ascii="Times New Roman" w:eastAsia="Times New Roman" w:hAnsi="Times New Roman" w:cs="Times New Roman"/>
          <w:lang w:val="en-GB"/>
        </w:rPr>
        <w:t xml:space="preserve">.4, </w:t>
      </w:r>
      <w:r w:rsidR="004B219E">
        <w:rPr>
          <w:rFonts w:ascii="Times New Roman" w:eastAsia="Times New Roman" w:hAnsi="Times New Roman" w:cs="Times New Roman"/>
          <w:lang w:val="en-GB"/>
        </w:rPr>
        <w:t>I highlight</w:t>
      </w:r>
      <w:r w:rsidR="00AC10E7" w:rsidRPr="00275337">
        <w:rPr>
          <w:rFonts w:ascii="Times New Roman" w:eastAsia="Times New Roman" w:hAnsi="Times New Roman" w:cs="Times New Roman"/>
          <w:lang w:val="en-GB"/>
        </w:rPr>
        <w:t xml:space="preserve"> some of the hidden poli</w:t>
      </w:r>
      <w:r w:rsidR="004B219E">
        <w:rPr>
          <w:rFonts w:ascii="Times New Roman" w:eastAsia="Times New Roman" w:hAnsi="Times New Roman" w:cs="Times New Roman"/>
          <w:lang w:val="en-GB"/>
        </w:rPr>
        <w:t>tical-ecological impacts that arise from</w:t>
      </w:r>
      <w:r w:rsidR="00AC10E7" w:rsidRPr="00275337">
        <w:rPr>
          <w:rFonts w:ascii="Times New Roman" w:eastAsia="Times New Roman" w:hAnsi="Times New Roman" w:cs="Times New Roman"/>
          <w:lang w:val="en-GB"/>
        </w:rPr>
        <w:t xml:space="preserve"> the limitations and absences inbuilt in the </w:t>
      </w:r>
      <w:r w:rsidR="004B219E">
        <w:rPr>
          <w:rFonts w:ascii="Times New Roman" w:eastAsia="Times New Roman" w:hAnsi="Times New Roman" w:cs="Times New Roman"/>
          <w:lang w:val="en-GB"/>
        </w:rPr>
        <w:t xml:space="preserve">EU </w:t>
      </w:r>
      <w:r w:rsidR="00AC10E7" w:rsidRPr="00275337">
        <w:rPr>
          <w:rFonts w:ascii="Times New Roman" w:eastAsia="Times New Roman" w:hAnsi="Times New Roman" w:cs="Times New Roman"/>
          <w:lang w:val="en-GB"/>
        </w:rPr>
        <w:t>caviar trade regulations.</w:t>
      </w:r>
    </w:p>
    <w:p w14:paraId="3A032084" w14:textId="77777777" w:rsidR="00AC10E7" w:rsidRDefault="00AC10E7" w:rsidP="00AC10E7">
      <w:pPr>
        <w:pStyle w:val="Normal1"/>
        <w:spacing w:line="360" w:lineRule="auto"/>
        <w:jc w:val="both"/>
        <w:rPr>
          <w:rFonts w:ascii="Times New Roman" w:eastAsia="Times New Roman" w:hAnsi="Times New Roman" w:cs="Times New Roman"/>
        </w:rPr>
      </w:pPr>
    </w:p>
    <w:p w14:paraId="3CCB05C3" w14:textId="77777777" w:rsidR="0069348E" w:rsidRDefault="0069348E" w:rsidP="00AC10E7">
      <w:pPr>
        <w:pStyle w:val="Normal1"/>
        <w:spacing w:line="360" w:lineRule="auto"/>
        <w:jc w:val="both"/>
        <w:rPr>
          <w:rFonts w:ascii="Times New Roman" w:eastAsia="Times New Roman" w:hAnsi="Times New Roman" w:cs="Times New Roman"/>
        </w:rPr>
      </w:pPr>
    </w:p>
    <w:p w14:paraId="53A8DD02" w14:textId="77777777" w:rsidR="0069348E" w:rsidRDefault="0069348E" w:rsidP="00AC10E7">
      <w:pPr>
        <w:pStyle w:val="Normal1"/>
        <w:spacing w:line="360" w:lineRule="auto"/>
        <w:jc w:val="both"/>
        <w:rPr>
          <w:rFonts w:ascii="Times New Roman" w:eastAsia="Times New Roman" w:hAnsi="Times New Roman" w:cs="Times New Roman"/>
        </w:rPr>
      </w:pPr>
    </w:p>
    <w:p w14:paraId="7C3FEA1B" w14:textId="4B873FCE" w:rsidR="00B90DD6" w:rsidRPr="00B90DD6" w:rsidRDefault="00810504" w:rsidP="00B90DD6">
      <w:pPr>
        <w:pStyle w:val="Heading2"/>
      </w:pPr>
      <w:bookmarkStart w:id="45" w:name="_Toc453224215"/>
      <w:r>
        <w:lastRenderedPageBreak/>
        <w:t>4</w:t>
      </w:r>
      <w:r w:rsidR="00AC10E7">
        <w:t>.3. Discussion: Unpacking the impact of caviar trade regulations upon caviar seizures</w:t>
      </w:r>
      <w:bookmarkEnd w:id="45"/>
      <w:r w:rsidR="00AC10E7">
        <w:t xml:space="preserve"> </w:t>
      </w:r>
      <w:r w:rsidR="00B90DD6">
        <w:br/>
      </w:r>
    </w:p>
    <w:p w14:paraId="068776E0" w14:textId="3D3D020B" w:rsidR="00AC10E7" w:rsidRPr="00772DE7" w:rsidRDefault="00810504" w:rsidP="00AC10E7">
      <w:pPr>
        <w:pStyle w:val="Heading3"/>
      </w:pPr>
      <w:bookmarkStart w:id="46" w:name="_Toc453224216"/>
      <w:r>
        <w:t>4</w:t>
      </w:r>
      <w:r w:rsidR="00AC10E7">
        <w:t>.3.1 Declining caviar seizures</w:t>
      </w:r>
      <w:bookmarkEnd w:id="46"/>
    </w:p>
    <w:p w14:paraId="7351022E" w14:textId="77777777" w:rsidR="00D75E1D" w:rsidRDefault="00AC10E7" w:rsidP="00D75E1D">
      <w:pPr>
        <w:pStyle w:val="Normal1"/>
        <w:spacing w:line="360" w:lineRule="auto"/>
        <w:rPr>
          <w:rFonts w:ascii="Times New Roman" w:eastAsia="Times New Roman" w:hAnsi="Times New Roman" w:cs="Times New Roman"/>
        </w:rPr>
      </w:pPr>
      <w:r w:rsidRPr="000434A2">
        <w:rPr>
          <w:rFonts w:ascii="Times New Roman" w:eastAsia="Times New Roman" w:hAnsi="Times New Roman" w:cs="Times New Roman"/>
        </w:rPr>
        <w:t xml:space="preserve">Over the last two decades, changes to </w:t>
      </w:r>
      <w:r w:rsidR="0069348E">
        <w:rPr>
          <w:rFonts w:ascii="Times New Roman" w:eastAsia="Times New Roman" w:hAnsi="Times New Roman" w:cs="Times New Roman"/>
        </w:rPr>
        <w:t xml:space="preserve">the </w:t>
      </w:r>
      <w:r w:rsidRPr="000434A2">
        <w:rPr>
          <w:rFonts w:ascii="Times New Roman" w:eastAsia="Times New Roman" w:hAnsi="Times New Roman" w:cs="Times New Roman"/>
        </w:rPr>
        <w:t xml:space="preserve">regulatory frameworks have caused the characteristics of the global caviar trade to change dramatically. The introduction of the export quota system in 2000 led to a significant decline in wild sturgeon catch and the export of wild caviar, and subsequently prompted the widespread development of aquaculture </w:t>
      </w:r>
      <w:r w:rsidR="00B90DD6">
        <w:rPr>
          <w:rFonts w:ascii="Times New Roman" w:eastAsia="Times New Roman" w:hAnsi="Times New Roman" w:cs="Times New Roman"/>
        </w:rPr>
        <w:t>projects for caviar production.</w:t>
      </w:r>
      <w:r w:rsidR="0069348E">
        <w:rPr>
          <w:rFonts w:ascii="Times New Roman" w:eastAsia="Times New Roman" w:hAnsi="Times New Roman" w:cs="Times New Roman"/>
        </w:rPr>
        <w:t xml:space="preserve"> T</w:t>
      </w:r>
      <w:r w:rsidRPr="000434A2">
        <w:rPr>
          <w:rFonts w:ascii="Times New Roman" w:eastAsia="Times New Roman" w:hAnsi="Times New Roman" w:cs="Times New Roman"/>
        </w:rPr>
        <w:t>he implementation of the export quotas produced a</w:t>
      </w:r>
      <w:r w:rsidR="0069348E">
        <w:rPr>
          <w:rFonts w:ascii="Times New Roman" w:eastAsia="Times New Roman" w:hAnsi="Times New Roman" w:cs="Times New Roman"/>
        </w:rPr>
        <w:t>n initial</w:t>
      </w:r>
      <w:r w:rsidRPr="000434A2">
        <w:rPr>
          <w:rFonts w:ascii="Times New Roman" w:eastAsia="Times New Roman" w:hAnsi="Times New Roman" w:cs="Times New Roman"/>
        </w:rPr>
        <w:t xml:space="preserve"> marked decline in the availability of all caviar on the global market in the early 2000s, and there has been a time-lag for farmed caviar to fill the market gap. The initial scarcity of caviar prompted a sharp rise in the prices of legal caviar in the early 2000s (se</w:t>
      </w:r>
      <w:r w:rsidR="00B90DD6">
        <w:rPr>
          <w:rFonts w:ascii="Times New Roman" w:eastAsia="Times New Roman" w:hAnsi="Times New Roman" w:cs="Times New Roman"/>
        </w:rPr>
        <w:t>e figure 4</w:t>
      </w:r>
      <w:r w:rsidRPr="000434A2">
        <w:rPr>
          <w:rFonts w:ascii="Times New Roman" w:eastAsia="Times New Roman" w:hAnsi="Times New Roman" w:cs="Times New Roman"/>
        </w:rPr>
        <w:t xml:space="preserve">.1), and a corresponding rise in illegal trafficking in caviar in order to meet global demand (UNODC, 2016: 88). </w:t>
      </w:r>
    </w:p>
    <w:p w14:paraId="1A48ACE8" w14:textId="77777777" w:rsidR="00D75E1D" w:rsidRDefault="00D75E1D" w:rsidP="00D75E1D">
      <w:pPr>
        <w:pStyle w:val="Normal1"/>
        <w:spacing w:line="360" w:lineRule="auto"/>
        <w:rPr>
          <w:rFonts w:ascii="Times New Roman" w:eastAsia="Times New Roman" w:hAnsi="Times New Roman" w:cs="Times New Roman"/>
        </w:rPr>
      </w:pPr>
    </w:p>
    <w:p w14:paraId="3D281F3D" w14:textId="77777777" w:rsidR="00D75E1D" w:rsidRDefault="00D75E1D" w:rsidP="00D75E1D">
      <w:pPr>
        <w:pStyle w:val="Normal1"/>
        <w:spacing w:line="360" w:lineRule="auto"/>
        <w:rPr>
          <w:rFonts w:ascii="Times New Roman" w:eastAsia="Times New Roman" w:hAnsi="Times New Roman" w:cs="Times New Roman"/>
        </w:rPr>
      </w:pPr>
    </w:p>
    <w:p w14:paraId="19254D9D" w14:textId="05CDA463" w:rsidR="00D75E1D" w:rsidRPr="000434A2" w:rsidRDefault="00D75E1D" w:rsidP="00D75E1D">
      <w:pPr>
        <w:pStyle w:val="Normal1"/>
        <w:spacing w:line="360" w:lineRule="auto"/>
        <w:rPr>
          <w:rFonts w:ascii="Times New Roman" w:eastAsia="Times New Roman" w:hAnsi="Times New Roman" w:cs="Times New Roman"/>
        </w:rPr>
      </w:pPr>
      <w:r>
        <w:rPr>
          <w:rFonts w:ascii="Times New Roman" w:eastAsia="Times New Roman" w:hAnsi="Times New Roman" w:cs="Times New Roman"/>
          <w:noProof/>
          <w:lang w:val="en-US"/>
        </w:rPr>
        <w:drawing>
          <wp:inline distT="0" distB="0" distL="0" distR="0" wp14:anchorId="37A843A5" wp14:editId="14060E42">
            <wp:extent cx="5974545" cy="3708133"/>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75052" cy="3708448"/>
                    </a:xfrm>
                    <a:prstGeom prst="rect">
                      <a:avLst/>
                    </a:prstGeom>
                    <a:noFill/>
                  </pic:spPr>
                </pic:pic>
              </a:graphicData>
            </a:graphic>
          </wp:inline>
        </w:drawing>
      </w:r>
    </w:p>
    <w:p w14:paraId="471F42A5" w14:textId="77777777" w:rsidR="00D75E1D" w:rsidRDefault="00D75E1D" w:rsidP="00D75E1D">
      <w:pPr>
        <w:pStyle w:val="Heading4"/>
      </w:pPr>
      <w:bookmarkStart w:id="47" w:name="_Toc453224279"/>
      <w:r>
        <w:t xml:space="preserve">Figure 4.1 </w:t>
      </w:r>
      <w:r w:rsidRPr="00772DE7">
        <w:t>Average retail price of Osetra caviar (euro/kg) 1981- 2015</w:t>
      </w:r>
      <w:bookmarkEnd w:id="47"/>
      <w:r w:rsidRPr="00772DE7">
        <w:t xml:space="preserve"> </w:t>
      </w:r>
    </w:p>
    <w:p w14:paraId="154CA024" w14:textId="77777777" w:rsidR="00D75E1D" w:rsidRPr="007C5DDB" w:rsidRDefault="00D75E1D" w:rsidP="00D75E1D">
      <w:pPr>
        <w:pStyle w:val="Normal1"/>
        <w:spacing w:line="360" w:lineRule="auto"/>
        <w:rPr>
          <w:rFonts w:ascii="Times New Roman" w:eastAsia="Times New Roman" w:hAnsi="Times New Roman" w:cs="Times New Roman"/>
          <w:bCs/>
          <w:i/>
          <w:sz w:val="20"/>
          <w:szCs w:val="20"/>
        </w:rPr>
      </w:pPr>
      <w:r w:rsidRPr="007C5DDB">
        <w:rPr>
          <w:rFonts w:ascii="Times New Roman" w:eastAsia="Times New Roman" w:hAnsi="Times New Roman" w:cs="Times New Roman"/>
          <w:bCs/>
          <w:i/>
          <w:sz w:val="20"/>
          <w:szCs w:val="20"/>
        </w:rPr>
        <w:t>Source: UNODC World Wildlife Crime Report (2016)</w:t>
      </w:r>
    </w:p>
    <w:p w14:paraId="5175BA44" w14:textId="77777777" w:rsidR="00D75E1D" w:rsidRDefault="00D75E1D" w:rsidP="00AC10E7">
      <w:pPr>
        <w:pStyle w:val="Normal1"/>
        <w:spacing w:line="360" w:lineRule="auto"/>
        <w:jc w:val="both"/>
        <w:rPr>
          <w:rFonts w:ascii="Times New Roman" w:eastAsia="Times New Roman" w:hAnsi="Times New Roman" w:cs="Times New Roman"/>
        </w:rPr>
      </w:pPr>
    </w:p>
    <w:p w14:paraId="475DBE3C" w14:textId="77777777" w:rsidR="00D75E1D" w:rsidRDefault="00D75E1D" w:rsidP="00AC10E7">
      <w:pPr>
        <w:pStyle w:val="Normal1"/>
        <w:spacing w:line="360" w:lineRule="auto"/>
        <w:jc w:val="both"/>
        <w:rPr>
          <w:rFonts w:ascii="Times New Roman" w:eastAsia="Times New Roman" w:hAnsi="Times New Roman" w:cs="Times New Roman"/>
        </w:rPr>
      </w:pPr>
    </w:p>
    <w:p w14:paraId="7257EFD7" w14:textId="77777777" w:rsidR="00D75E1D" w:rsidRDefault="00D75E1D" w:rsidP="00AC10E7">
      <w:pPr>
        <w:pStyle w:val="Normal1"/>
        <w:spacing w:line="360" w:lineRule="auto"/>
        <w:jc w:val="both"/>
        <w:rPr>
          <w:rFonts w:ascii="Times New Roman" w:eastAsia="Times New Roman" w:hAnsi="Times New Roman" w:cs="Times New Roman"/>
        </w:rPr>
      </w:pPr>
    </w:p>
    <w:p w14:paraId="32990876" w14:textId="77777777" w:rsidR="00D75E1D" w:rsidRDefault="00D75E1D" w:rsidP="00AC10E7">
      <w:pPr>
        <w:pStyle w:val="Normal1"/>
        <w:spacing w:line="360" w:lineRule="auto"/>
        <w:jc w:val="both"/>
        <w:rPr>
          <w:rFonts w:ascii="Times New Roman" w:eastAsia="Times New Roman" w:hAnsi="Times New Roman" w:cs="Times New Roman"/>
        </w:rPr>
      </w:pPr>
    </w:p>
    <w:p w14:paraId="603C90F6" w14:textId="2D8E5BB9" w:rsidR="00D75E1D" w:rsidRPr="00D75E1D" w:rsidRDefault="00AC10E7" w:rsidP="00D75E1D">
      <w:pPr>
        <w:pStyle w:val="Normal1"/>
        <w:spacing w:line="360" w:lineRule="auto"/>
        <w:jc w:val="both"/>
        <w:rPr>
          <w:rFonts w:ascii="Times New Roman" w:eastAsia="Times New Roman" w:hAnsi="Times New Roman" w:cs="Times New Roman"/>
        </w:rPr>
      </w:pPr>
      <w:r w:rsidRPr="000434A2">
        <w:rPr>
          <w:rFonts w:ascii="Times New Roman" w:eastAsia="Times New Roman" w:hAnsi="Times New Roman" w:cs="Times New Roman"/>
        </w:rPr>
        <w:lastRenderedPageBreak/>
        <w:t xml:space="preserve">Caviar producer Oliya reflected upon her memories of the effect of the CITES listing of sturgeon and the </w:t>
      </w:r>
      <w:r w:rsidR="00D75E1D">
        <w:rPr>
          <w:rFonts w:ascii="Times New Roman" w:eastAsia="Times New Roman" w:hAnsi="Times New Roman" w:cs="Times New Roman"/>
        </w:rPr>
        <w:t>implementation of export quotas</w:t>
      </w:r>
      <w:r w:rsidRPr="000434A2">
        <w:rPr>
          <w:rFonts w:ascii="Times New Roman" w:eastAsia="Times New Roman" w:hAnsi="Times New Roman" w:cs="Times New Roman"/>
        </w:rPr>
        <w:t>, saying:</w:t>
      </w:r>
    </w:p>
    <w:p w14:paraId="0E9219B8" w14:textId="604376BA" w:rsidR="00D75E1D" w:rsidRPr="00D75E1D" w:rsidRDefault="00AC10E7" w:rsidP="0025452A">
      <w:pPr>
        <w:pStyle w:val="Quote"/>
      </w:pPr>
      <w:r w:rsidRPr="00772DE7">
        <w:t>I remember at the beginning in 1998 and after, the price of the caviar was getting up, up, up! [...] Because CITES set the quota. This quota should normally be respected by the countries making the caviar. So the quota is over the years getting less and less and less. But if the quota is less, then the price is going up. If the price is high, then the black market is more heavily involved</w:t>
      </w:r>
      <w:r w:rsidRPr="005B292F">
        <w:rPr>
          <w:rStyle w:val="FootnoteReference"/>
        </w:rPr>
        <w:footnoteReference w:id="42"/>
      </w:r>
    </w:p>
    <w:p w14:paraId="3E409BAD" w14:textId="6549817B" w:rsidR="00D75E1D" w:rsidRDefault="0069348E" w:rsidP="0069348E">
      <w:pPr>
        <w:rPr>
          <w:rFonts w:cs="Times New Roman"/>
          <w:sz w:val="22"/>
        </w:rPr>
      </w:pPr>
      <w:r w:rsidRPr="004A3730">
        <w:rPr>
          <w:rFonts w:cs="Times New Roman"/>
          <w:sz w:val="22"/>
        </w:rPr>
        <w:t xml:space="preserve">The initial rise in illegal activity </w:t>
      </w:r>
      <w:r w:rsidR="00D75E1D">
        <w:rPr>
          <w:rFonts w:cs="Times New Roman"/>
          <w:sz w:val="22"/>
        </w:rPr>
        <w:t xml:space="preserve">purportedly </w:t>
      </w:r>
      <w:r w:rsidRPr="004A3730">
        <w:rPr>
          <w:rFonts w:cs="Times New Roman"/>
          <w:sz w:val="22"/>
        </w:rPr>
        <w:t>caused by the CITES listing of sturgeon and introduction of export quotas, has been evidenced by the exponential increase in seized caviar in 2001 (see figure 4.2). However, since the early 2000s caviar aquaculture has continued to grow exponentially, and now the legal international trade in caviar is almost entirely supplied by caviar from captive-bre</w:t>
      </w:r>
      <w:r>
        <w:rPr>
          <w:rFonts w:cs="Times New Roman"/>
          <w:sz w:val="22"/>
        </w:rPr>
        <w:t>d sturgeon. As shown in figure 4.3,</w:t>
      </w:r>
      <w:r w:rsidRPr="004A3730">
        <w:rPr>
          <w:rFonts w:cs="Times New Roman"/>
          <w:sz w:val="22"/>
        </w:rPr>
        <w:t xml:space="preserve"> by 2013 the amount of farmed caviar in international trade had almost reached the levels of wild caviar which was being exported prior to the 1998 listing of sturgeon on CITES and the implementation of export quotas in 2000. Thus, the regulations - in particular export quotas - have had a dramatic impact on the functioning and the characteristics of the caviar industry</w:t>
      </w:r>
      <w:r>
        <w:rPr>
          <w:rFonts w:cs="Times New Roman"/>
          <w:sz w:val="22"/>
        </w:rPr>
        <w:t xml:space="preserve"> globally</w:t>
      </w:r>
      <w:r w:rsidRPr="004A3730">
        <w:rPr>
          <w:rFonts w:cs="Times New Roman"/>
          <w:sz w:val="22"/>
        </w:rPr>
        <w:t>.</w:t>
      </w:r>
    </w:p>
    <w:p w14:paraId="3EA1FE63" w14:textId="4FA0FFCF" w:rsidR="0069348E" w:rsidRPr="00D75E1D" w:rsidRDefault="0069348E" w:rsidP="00D75E1D">
      <w:pPr>
        <w:ind w:firstLine="720"/>
        <w:rPr>
          <w:rFonts w:cs="Times New Roman"/>
          <w:sz w:val="22"/>
        </w:rPr>
      </w:pPr>
      <w:r w:rsidRPr="005244E9">
        <w:rPr>
          <w:rFonts w:eastAsia="Times New Roman" w:cs="Times New Roman"/>
          <w:sz w:val="22"/>
        </w:rPr>
        <w:t>Since the implementation of the international regulatory frameworks and mechanisms discussed in the previous section, international seizures of illegal caviar by weight, have dramatically declined on a global level (see figure 4.2). The mirrored trends of declining market supply of wild-caught caviar and declining seizures of contraband caviar prompted UNODC to depict the global caviar trade as having undergone an exemplary tra</w:t>
      </w:r>
      <w:r>
        <w:rPr>
          <w:rFonts w:eastAsia="Times New Roman" w:cs="Times New Roman"/>
          <w:sz w:val="22"/>
        </w:rPr>
        <w:t>nsformation, illustrating that “</w:t>
      </w:r>
      <w:r w:rsidRPr="005244E9">
        <w:rPr>
          <w:rFonts w:eastAsia="Times New Roman" w:cs="Times New Roman"/>
          <w:sz w:val="22"/>
        </w:rPr>
        <w:t>the growth of farming can reduce demand for illegally sourced wildlife in international marke</w:t>
      </w:r>
      <w:r>
        <w:rPr>
          <w:rFonts w:eastAsia="Times New Roman" w:cs="Times New Roman"/>
          <w:sz w:val="22"/>
        </w:rPr>
        <w:t>ts”</w:t>
      </w:r>
      <w:r w:rsidRPr="005244E9">
        <w:rPr>
          <w:rFonts w:eastAsia="Times New Roman" w:cs="Times New Roman"/>
          <w:sz w:val="22"/>
        </w:rPr>
        <w:t xml:space="preserve"> (UNODC, 2016:91). Such high level proclamations have fostered a sense</w:t>
      </w:r>
      <w:r>
        <w:rPr>
          <w:rFonts w:eastAsia="Times New Roman" w:cs="Times New Roman"/>
          <w:sz w:val="22"/>
        </w:rPr>
        <w:t xml:space="preserve"> amongst some policy actors,</w:t>
      </w:r>
      <w:r w:rsidRPr="005244E9">
        <w:rPr>
          <w:rFonts w:eastAsia="Times New Roman" w:cs="Times New Roman"/>
          <w:sz w:val="22"/>
        </w:rPr>
        <w:t xml:space="preserve"> that the impacts of the regulations on illegal caviar trade have been significant and positive. </w:t>
      </w:r>
    </w:p>
    <w:p w14:paraId="57C39CA0" w14:textId="77777777" w:rsidR="00AC10E7" w:rsidRPr="004A3730" w:rsidRDefault="00AC10E7" w:rsidP="004A3730">
      <w:pPr>
        <w:rPr>
          <w:rFonts w:cs="Times New Roman"/>
          <w:sz w:val="22"/>
        </w:rPr>
      </w:pPr>
    </w:p>
    <w:p w14:paraId="065C9B77" w14:textId="77777777" w:rsidR="00AC10E7" w:rsidRDefault="00AC10E7" w:rsidP="00AC10E7">
      <w:pPr>
        <w:pStyle w:val="Normal1"/>
        <w:spacing w:line="360" w:lineRule="auto"/>
        <w:jc w:val="center"/>
        <w:rPr>
          <w:rFonts w:ascii="Times New Roman" w:eastAsia="Times New Roman" w:hAnsi="Times New Roman" w:cs="Times New Roman"/>
        </w:rPr>
      </w:pPr>
      <w:r>
        <w:rPr>
          <w:rFonts w:ascii="Times New Roman" w:eastAsia="Times New Roman" w:hAnsi="Times New Roman" w:cs="Times New Roman"/>
          <w:noProof/>
          <w:lang w:val="en-US"/>
        </w:rPr>
        <w:lastRenderedPageBreak/>
        <w:drawing>
          <wp:inline distT="114300" distB="114300" distL="114300" distR="114300" wp14:anchorId="007056E0" wp14:editId="70C1725D">
            <wp:extent cx="4538663" cy="5040534"/>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8"/>
                    <a:srcRect/>
                    <a:stretch>
                      <a:fillRect/>
                    </a:stretch>
                  </pic:blipFill>
                  <pic:spPr>
                    <a:xfrm>
                      <a:off x="0" y="0"/>
                      <a:ext cx="4538663" cy="5040534"/>
                    </a:xfrm>
                    <a:prstGeom prst="rect">
                      <a:avLst/>
                    </a:prstGeom>
                    <a:ln/>
                  </pic:spPr>
                </pic:pic>
              </a:graphicData>
            </a:graphic>
          </wp:inline>
        </w:drawing>
      </w:r>
    </w:p>
    <w:p w14:paraId="48D07177" w14:textId="3C7B54DF" w:rsidR="007C5DDB" w:rsidRDefault="007C5DDB" w:rsidP="00324502">
      <w:pPr>
        <w:pStyle w:val="Heading4"/>
      </w:pPr>
      <w:bookmarkStart w:id="48" w:name="_Toc452561216"/>
      <w:bookmarkStart w:id="49" w:name="_Toc453224280"/>
      <w:r>
        <w:t>Figure 4</w:t>
      </w:r>
      <w:r w:rsidR="00324502">
        <w:t>.2</w:t>
      </w:r>
      <w:r w:rsidR="00AC10E7">
        <w:t>: Total seized ca</w:t>
      </w:r>
      <w:r>
        <w:t>viar per year, 1999 - 2014 (kg)</w:t>
      </w:r>
      <w:bookmarkEnd w:id="48"/>
      <w:bookmarkEnd w:id="49"/>
      <w:r w:rsidR="00AC10E7">
        <w:t xml:space="preserve"> </w:t>
      </w:r>
    </w:p>
    <w:p w14:paraId="29C4E8F1" w14:textId="7F9DBF83" w:rsidR="00AC10E7" w:rsidRPr="007C5DDB" w:rsidRDefault="00AC10E7" w:rsidP="00AC10E7">
      <w:pPr>
        <w:pStyle w:val="Normal1"/>
        <w:spacing w:line="360" w:lineRule="auto"/>
        <w:jc w:val="both"/>
        <w:rPr>
          <w:rFonts w:ascii="Times New Roman" w:eastAsia="Times New Roman" w:hAnsi="Times New Roman" w:cs="Times New Roman"/>
          <w:i/>
          <w:sz w:val="20"/>
          <w:szCs w:val="20"/>
        </w:rPr>
      </w:pPr>
      <w:r w:rsidRPr="007C5DDB">
        <w:rPr>
          <w:rFonts w:ascii="Times New Roman" w:eastAsia="Times New Roman" w:hAnsi="Times New Roman" w:cs="Times New Roman"/>
          <w:i/>
          <w:sz w:val="20"/>
          <w:szCs w:val="20"/>
        </w:rPr>
        <w:t xml:space="preserve">Data taken from World WISE database. Source: UNODC World Wildlife Crime Report (2016) </w:t>
      </w:r>
    </w:p>
    <w:p w14:paraId="02292EAF" w14:textId="77777777" w:rsidR="00AC10E7" w:rsidRPr="005244E9" w:rsidRDefault="00AC10E7" w:rsidP="00AC10E7">
      <w:pPr>
        <w:pStyle w:val="Normal1"/>
        <w:spacing w:line="360" w:lineRule="auto"/>
        <w:jc w:val="both"/>
        <w:rPr>
          <w:rFonts w:ascii="Times New Roman" w:eastAsia="Times New Roman" w:hAnsi="Times New Roman" w:cs="Times New Roman"/>
        </w:rPr>
      </w:pPr>
    </w:p>
    <w:p w14:paraId="478AD4C6" w14:textId="1FC3F7C3" w:rsidR="0069348E" w:rsidRDefault="0069348E" w:rsidP="0069348E">
      <w:pPr>
        <w:pStyle w:val="Normal1"/>
        <w:spacing w:line="360" w:lineRule="auto"/>
        <w:jc w:val="both"/>
        <w:rPr>
          <w:rFonts w:ascii="Times New Roman" w:eastAsia="Times New Roman" w:hAnsi="Times New Roman" w:cs="Times New Roman"/>
        </w:rPr>
      </w:pPr>
      <w:r w:rsidRPr="00772DE7">
        <w:rPr>
          <w:rFonts w:ascii="Times New Roman" w:eastAsia="Times New Roman" w:hAnsi="Times New Roman" w:cs="Times New Roman"/>
        </w:rPr>
        <w:t>Indeed, there is a wi</w:t>
      </w:r>
      <w:r w:rsidR="00D75E1D">
        <w:rPr>
          <w:rFonts w:ascii="Times New Roman" w:eastAsia="Times New Roman" w:hAnsi="Times New Roman" w:cs="Times New Roman"/>
        </w:rPr>
        <w:t xml:space="preserve">despread acceptance that the exponential growth of the </w:t>
      </w:r>
      <w:r w:rsidRPr="00772DE7">
        <w:rPr>
          <w:rFonts w:ascii="Times New Roman" w:eastAsia="Times New Roman" w:hAnsi="Times New Roman" w:cs="Times New Roman"/>
        </w:rPr>
        <w:t>farmed caviar industry has destabilised illegal caviar trade in the EU. This sentiment is particularly echoed amongst policymakers and enforcement officials in Western European Member States. A representative of DG Environment in the Euro</w:t>
      </w:r>
      <w:r>
        <w:rPr>
          <w:rFonts w:ascii="Times New Roman" w:eastAsia="Times New Roman" w:hAnsi="Times New Roman" w:cs="Times New Roman"/>
        </w:rPr>
        <w:t>pean Commission outlined his feeling that “</w:t>
      </w:r>
      <w:r w:rsidRPr="00772DE7">
        <w:rPr>
          <w:rFonts w:ascii="Times New Roman" w:eastAsia="Times New Roman" w:hAnsi="Times New Roman" w:cs="Times New Roman"/>
        </w:rPr>
        <w:t>the issue of illegal [caviar] trade has been replaced</w:t>
      </w:r>
      <w:r>
        <w:rPr>
          <w:rFonts w:ascii="Times New Roman" w:eastAsia="Times New Roman" w:hAnsi="Times New Roman" w:cs="Times New Roman"/>
        </w:rPr>
        <w:t>”</w:t>
      </w:r>
      <w:r w:rsidRPr="005B292F">
        <w:rPr>
          <w:rStyle w:val="FootnoteReference"/>
        </w:rPr>
        <w:footnoteReference w:id="43"/>
      </w:r>
      <w:r>
        <w:rPr>
          <w:rFonts w:ascii="Times New Roman" w:eastAsia="Times New Roman" w:hAnsi="Times New Roman" w:cs="Times New Roman"/>
          <w:lang w:val="en-GB"/>
        </w:rPr>
        <w:t xml:space="preserve"> in the EU, by the establishment and growth of caviar aquaculture, and the improved traceability afforded by the universal caviar labelling system. </w:t>
      </w:r>
      <w:r w:rsidRPr="00772DE7">
        <w:rPr>
          <w:rFonts w:ascii="Times New Roman" w:eastAsia="Times New Roman" w:hAnsi="Times New Roman" w:cs="Times New Roman"/>
        </w:rPr>
        <w:t xml:space="preserve">Some have gone as far as to portray the impact of the regulations in a particularly positive light. </w:t>
      </w:r>
    </w:p>
    <w:p w14:paraId="3858EED8" w14:textId="77777777" w:rsidR="00AC10E7" w:rsidRDefault="00AC10E7" w:rsidP="00AC10E7">
      <w:pPr>
        <w:pStyle w:val="Normal1"/>
        <w:spacing w:line="360" w:lineRule="auto"/>
        <w:jc w:val="both"/>
        <w:rPr>
          <w:rFonts w:ascii="Times New Roman" w:eastAsia="Times New Roman" w:hAnsi="Times New Roman" w:cs="Times New Roman"/>
        </w:rPr>
      </w:pPr>
    </w:p>
    <w:p w14:paraId="46CF9C23" w14:textId="77777777" w:rsidR="00AC10E7" w:rsidRDefault="00AC10E7" w:rsidP="00AC10E7">
      <w:pPr>
        <w:pStyle w:val="Normal1"/>
        <w:spacing w:line="360" w:lineRule="auto"/>
        <w:jc w:val="center"/>
        <w:rPr>
          <w:rFonts w:ascii="Times New Roman" w:eastAsia="Times New Roman" w:hAnsi="Times New Roman" w:cs="Times New Roman"/>
        </w:rPr>
      </w:pPr>
      <w:r>
        <w:rPr>
          <w:rFonts w:ascii="Times New Roman" w:eastAsia="Times New Roman" w:hAnsi="Times New Roman" w:cs="Times New Roman"/>
          <w:noProof/>
          <w:lang w:val="en-US"/>
        </w:rPr>
        <w:lastRenderedPageBreak/>
        <w:drawing>
          <wp:inline distT="114300" distB="114300" distL="114300" distR="114300" wp14:anchorId="484D5352" wp14:editId="598247A1">
            <wp:extent cx="5414963" cy="3824186"/>
            <wp:effectExtent l="0" t="0" r="0" b="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l="627" t="14486" r="627" b="7072"/>
                    <a:stretch>
                      <a:fillRect/>
                    </a:stretch>
                  </pic:blipFill>
                  <pic:spPr>
                    <a:xfrm>
                      <a:off x="0" y="0"/>
                      <a:ext cx="5414963" cy="3824186"/>
                    </a:xfrm>
                    <a:prstGeom prst="rect">
                      <a:avLst/>
                    </a:prstGeom>
                    <a:ln/>
                  </pic:spPr>
                </pic:pic>
              </a:graphicData>
            </a:graphic>
          </wp:inline>
        </w:drawing>
      </w:r>
    </w:p>
    <w:p w14:paraId="01BC6148" w14:textId="0E3DCCC2" w:rsidR="007C5DDB" w:rsidRDefault="007C5DDB" w:rsidP="00324502">
      <w:pPr>
        <w:pStyle w:val="Heading4"/>
      </w:pPr>
      <w:bookmarkStart w:id="50" w:name="_Toc452561217"/>
      <w:bookmarkStart w:id="51" w:name="_Toc453224281"/>
      <w:r>
        <w:t>Figure 4</w:t>
      </w:r>
      <w:r w:rsidR="00324502">
        <w:t>.3</w:t>
      </w:r>
      <w:r w:rsidR="00AC10E7">
        <w:t>: Exports of wild-sourced caviar and aquaculture caviar production (kg) 1998-2013.</w:t>
      </w:r>
      <w:bookmarkEnd w:id="50"/>
      <w:bookmarkEnd w:id="51"/>
      <w:r w:rsidR="00AC10E7">
        <w:t xml:space="preserve"> </w:t>
      </w:r>
    </w:p>
    <w:p w14:paraId="25A5CDC6" w14:textId="32ECCA85" w:rsidR="00AC10E7" w:rsidRPr="007C5DDB" w:rsidRDefault="00AC10E7" w:rsidP="00AC10E7">
      <w:pPr>
        <w:pStyle w:val="Normal1"/>
        <w:spacing w:line="360" w:lineRule="auto"/>
        <w:rPr>
          <w:rFonts w:ascii="Times New Roman" w:eastAsia="Times New Roman" w:hAnsi="Times New Roman" w:cs="Times New Roman"/>
          <w:i/>
        </w:rPr>
      </w:pPr>
      <w:r w:rsidRPr="007C5DDB">
        <w:rPr>
          <w:rFonts w:ascii="Times New Roman" w:eastAsia="Times New Roman" w:hAnsi="Times New Roman" w:cs="Times New Roman"/>
          <w:i/>
          <w:sz w:val="20"/>
          <w:szCs w:val="20"/>
        </w:rPr>
        <w:t xml:space="preserve">Data taken from CITES Trade database. SOURCE: UNODC, World Wildlife Crime Report (2016) </w:t>
      </w:r>
    </w:p>
    <w:p w14:paraId="64D3DD59" w14:textId="77777777" w:rsidR="00AC10E7" w:rsidRDefault="00AC10E7" w:rsidP="00AC10E7">
      <w:pPr>
        <w:pStyle w:val="Normal1"/>
        <w:spacing w:line="360" w:lineRule="auto"/>
        <w:jc w:val="both"/>
        <w:rPr>
          <w:rFonts w:ascii="Times New Roman" w:eastAsia="Times New Roman" w:hAnsi="Times New Roman" w:cs="Times New Roman"/>
        </w:rPr>
      </w:pPr>
    </w:p>
    <w:p w14:paraId="52AD8B50" w14:textId="1C741D22" w:rsidR="00AC10E7" w:rsidRPr="00DE44FB" w:rsidRDefault="00D75E1D" w:rsidP="0025452A">
      <w:pPr>
        <w:pStyle w:val="Normal1"/>
        <w:spacing w:after="160" w:line="360" w:lineRule="auto"/>
        <w:ind w:firstLine="720"/>
        <w:jc w:val="both"/>
        <w:rPr>
          <w:rFonts w:ascii="Times New Roman" w:eastAsia="Times New Roman" w:hAnsi="Times New Roman" w:cs="Times New Roman"/>
          <w:lang w:val="en-GB"/>
        </w:rPr>
      </w:pPr>
      <w:r>
        <w:rPr>
          <w:rFonts w:ascii="Times New Roman" w:eastAsia="Times New Roman" w:hAnsi="Times New Roman" w:cs="Times New Roman"/>
        </w:rPr>
        <w:t xml:space="preserve">However, </w:t>
      </w:r>
      <w:r w:rsidR="00AC10E7" w:rsidRPr="00772DE7">
        <w:rPr>
          <w:rFonts w:ascii="Times New Roman" w:eastAsia="Times New Roman" w:hAnsi="Times New Roman" w:cs="Times New Roman"/>
        </w:rPr>
        <w:t xml:space="preserve">there is pushback against this from a few dissenting voices. For example </w:t>
      </w:r>
      <w:r>
        <w:rPr>
          <w:rFonts w:ascii="Times New Roman" w:eastAsia="Times New Roman" w:hAnsi="Times New Roman" w:cs="Times New Roman"/>
        </w:rPr>
        <w:t xml:space="preserve">NGO project manager </w:t>
      </w:r>
      <w:r w:rsidR="00AC10E7" w:rsidRPr="00772DE7">
        <w:rPr>
          <w:rFonts w:ascii="Times New Roman" w:eastAsia="Times New Roman" w:hAnsi="Times New Roman" w:cs="Times New Roman"/>
        </w:rPr>
        <w:t xml:space="preserve">Sigrid, described </w:t>
      </w:r>
      <w:r>
        <w:rPr>
          <w:rFonts w:ascii="Times New Roman" w:eastAsia="Times New Roman" w:hAnsi="Times New Roman" w:cs="Times New Roman"/>
        </w:rPr>
        <w:t xml:space="preserve">her difficulties </w:t>
      </w:r>
      <w:r w:rsidR="00AC10E7" w:rsidRPr="00772DE7">
        <w:rPr>
          <w:rFonts w:ascii="Times New Roman" w:eastAsia="Times New Roman" w:hAnsi="Times New Roman" w:cs="Times New Roman"/>
        </w:rPr>
        <w:t xml:space="preserve">in challenging the entrenched views </w:t>
      </w:r>
      <w:r>
        <w:rPr>
          <w:rFonts w:ascii="Times New Roman" w:eastAsia="Times New Roman" w:hAnsi="Times New Roman" w:cs="Times New Roman"/>
        </w:rPr>
        <w:t>of</w:t>
      </w:r>
      <w:r w:rsidR="00AC10E7" w:rsidRPr="00772DE7">
        <w:rPr>
          <w:rFonts w:ascii="Times New Roman" w:eastAsia="Times New Roman" w:hAnsi="Times New Roman" w:cs="Times New Roman"/>
        </w:rPr>
        <w:t xml:space="preserve"> policy makers and civil servants in the CITES Management Authority</w:t>
      </w:r>
      <w:r w:rsidR="00CE4D3C">
        <w:rPr>
          <w:rStyle w:val="FootnoteReference"/>
          <w:rFonts w:ascii="Times New Roman" w:eastAsia="Times New Roman" w:hAnsi="Times New Roman" w:cs="Times New Roman"/>
        </w:rPr>
        <w:footnoteReference w:id="44"/>
      </w:r>
      <w:r w:rsidR="00AC10E7" w:rsidRPr="00772DE7">
        <w:rPr>
          <w:rFonts w:ascii="Times New Roman" w:eastAsia="Times New Roman" w:hAnsi="Times New Roman" w:cs="Times New Roman"/>
        </w:rPr>
        <w:t xml:space="preserve"> of the German Federal Agency for Nature Conservation (BFN). Sigrid explained how representatives of the CITES Management Authority in Germany have tried to discourage and block attempts to (re)open discussion about possible gaps in CITES Resolution Conf 12.7 and problems with the implementation of the resolution in the European Union. Instead, Sigrid explained how one representative of the </w:t>
      </w:r>
      <w:r w:rsidR="00CE4D3C">
        <w:rPr>
          <w:rFonts w:ascii="Times New Roman" w:eastAsia="Times New Roman" w:hAnsi="Times New Roman" w:cs="Times New Roman"/>
        </w:rPr>
        <w:t xml:space="preserve">German </w:t>
      </w:r>
      <w:r w:rsidR="00AC10E7" w:rsidRPr="00772DE7">
        <w:rPr>
          <w:rFonts w:ascii="Times New Roman" w:eastAsia="Times New Roman" w:hAnsi="Times New Roman" w:cs="Times New Roman"/>
        </w:rPr>
        <w:t>CITES Management</w:t>
      </w:r>
      <w:r w:rsidR="00AC10E7">
        <w:rPr>
          <w:rFonts w:ascii="Times New Roman" w:eastAsia="Times New Roman" w:hAnsi="Times New Roman" w:cs="Times New Roman"/>
        </w:rPr>
        <w:t xml:space="preserve"> Auth</w:t>
      </w:r>
      <w:r w:rsidR="00CE4D3C">
        <w:rPr>
          <w:rFonts w:ascii="Times New Roman" w:eastAsia="Times New Roman" w:hAnsi="Times New Roman" w:cs="Times New Roman"/>
        </w:rPr>
        <w:t xml:space="preserve">ority </w:t>
      </w:r>
      <w:r w:rsidR="00AC10E7">
        <w:rPr>
          <w:rFonts w:ascii="Times New Roman" w:eastAsia="Times New Roman" w:hAnsi="Times New Roman" w:cs="Times New Roman"/>
        </w:rPr>
        <w:t>vehemently</w:t>
      </w:r>
      <w:r w:rsidR="00AC10E7">
        <w:rPr>
          <w:rFonts w:ascii="Times New Roman" w:eastAsia="Times New Roman" w:hAnsi="Times New Roman" w:cs="Times New Roman"/>
          <w:lang w:val="en-GB"/>
        </w:rPr>
        <w:t xml:space="preserve"> defends that the regulation of the caviar trade in the EU has been </w:t>
      </w:r>
      <w:r w:rsidR="003E09C9">
        <w:rPr>
          <w:rFonts w:ascii="Times New Roman" w:eastAsia="Times New Roman" w:hAnsi="Times New Roman" w:cs="Times New Roman"/>
        </w:rPr>
        <w:t>“a success story!”</w:t>
      </w:r>
      <w:r w:rsidR="008670F3">
        <w:rPr>
          <w:rFonts w:ascii="Times New Roman" w:eastAsia="Times New Roman" w:hAnsi="Times New Roman" w:cs="Times New Roman"/>
        </w:rPr>
        <w:t>.</w:t>
      </w:r>
      <w:r w:rsidR="00AC10E7">
        <w:rPr>
          <w:rFonts w:ascii="Times New Roman" w:eastAsia="Times New Roman" w:hAnsi="Times New Roman" w:cs="Times New Roman"/>
          <w:lang w:val="en-GB"/>
        </w:rPr>
        <w:t xml:space="preserve"> Sigrid quoted the </w:t>
      </w:r>
      <w:r w:rsidR="00AC10E7" w:rsidRPr="00772DE7">
        <w:rPr>
          <w:rFonts w:ascii="Times New Roman" w:eastAsia="Times New Roman" w:hAnsi="Times New Roman" w:cs="Times New Roman"/>
        </w:rPr>
        <w:t xml:space="preserve">individual </w:t>
      </w:r>
      <w:r w:rsidR="00AC10E7">
        <w:rPr>
          <w:rFonts w:ascii="Times New Roman" w:eastAsia="Times New Roman" w:hAnsi="Times New Roman" w:cs="Times New Roman"/>
          <w:lang w:val="en-GB"/>
        </w:rPr>
        <w:t>as saying:</w:t>
      </w:r>
    </w:p>
    <w:p w14:paraId="66C66303" w14:textId="36BE5A18" w:rsidR="00AC10E7" w:rsidRPr="00DE44FB" w:rsidRDefault="008670F3" w:rsidP="00CE4D3C">
      <w:pPr>
        <w:pStyle w:val="Quote"/>
      </w:pPr>
      <w:r>
        <w:t>I</w:t>
      </w:r>
      <w:r w:rsidR="00AC10E7" w:rsidRPr="00DE44FB">
        <w:t>nvestigations and criminal procedures regarding w</w:t>
      </w:r>
      <w:r w:rsidR="003E09C9">
        <w:t>ild caviar belong to the past</w:t>
      </w:r>
      <w:r w:rsidR="00AC10E7">
        <w:t>…</w:t>
      </w:r>
      <w:r w:rsidR="003E09C9">
        <w:t xml:space="preserve"> </w:t>
      </w:r>
      <w:r w:rsidR="00AC10E7" w:rsidRPr="00DE44FB">
        <w:t>there is hardly any illegal trade in wild sturge</w:t>
      </w:r>
      <w:r w:rsidR="003E09C9">
        <w:t>ons any more… all caviar comes f</w:t>
      </w:r>
      <w:r w:rsidR="00AC10E7" w:rsidRPr="00DE44FB">
        <w:t>rom farms [...] It is a success story. Exclamation Point. Full Stop. Capital letters</w:t>
      </w:r>
      <w:r w:rsidR="00AC10E7" w:rsidRPr="005B292F">
        <w:rPr>
          <w:rStyle w:val="FootnoteReference"/>
        </w:rPr>
        <w:footnoteReference w:id="45"/>
      </w:r>
    </w:p>
    <w:p w14:paraId="63D159F5" w14:textId="77777777" w:rsidR="00AC10E7" w:rsidRDefault="00AC10E7" w:rsidP="00AC10E7">
      <w:pPr>
        <w:pStyle w:val="Normal1"/>
        <w:spacing w:line="360" w:lineRule="auto"/>
        <w:jc w:val="distribute"/>
        <w:rPr>
          <w:rFonts w:ascii="Times New Roman" w:eastAsia="Times New Roman" w:hAnsi="Times New Roman" w:cs="Times New Roman"/>
          <w:lang w:val="en-GB"/>
        </w:rPr>
      </w:pPr>
    </w:p>
    <w:p w14:paraId="5706E626" w14:textId="3ACFD570" w:rsidR="00E856B1" w:rsidRDefault="00AC10E7" w:rsidP="0025452A">
      <w:pPr>
        <w:pStyle w:val="Normal1"/>
        <w:spacing w:after="160" w:line="360" w:lineRule="auto"/>
        <w:jc w:val="both"/>
        <w:rPr>
          <w:rFonts w:ascii="Times New Roman" w:eastAsia="Times New Roman" w:hAnsi="Times New Roman" w:cs="Times New Roman"/>
        </w:rPr>
      </w:pPr>
      <w:r w:rsidRPr="00772DE7">
        <w:rPr>
          <w:rFonts w:ascii="Times New Roman" w:eastAsia="Times New Roman" w:hAnsi="Times New Roman" w:cs="Times New Roman"/>
        </w:rPr>
        <w:lastRenderedPageBreak/>
        <w:t>The</w:t>
      </w:r>
      <w:r w:rsidR="00E856B1">
        <w:rPr>
          <w:rFonts w:ascii="Times New Roman" w:eastAsia="Times New Roman" w:hAnsi="Times New Roman" w:cs="Times New Roman"/>
        </w:rPr>
        <w:t xml:space="preserve"> assertion that </w:t>
      </w:r>
      <w:r w:rsidR="00E856B1" w:rsidRPr="00772DE7">
        <w:rPr>
          <w:rFonts w:ascii="Times New Roman" w:eastAsia="Times New Roman" w:hAnsi="Times New Roman" w:cs="Times New Roman"/>
        </w:rPr>
        <w:t>investigations and criminal procedures regarding wild caviar belong to the past</w:t>
      </w:r>
      <w:r w:rsidR="00E856B1">
        <w:rPr>
          <w:rFonts w:ascii="Times New Roman" w:eastAsia="Times New Roman" w:hAnsi="Times New Roman" w:cs="Times New Roman"/>
        </w:rPr>
        <w:t xml:space="preserve">, is ironic given that between </w:t>
      </w:r>
      <w:r w:rsidR="00FB5B2D">
        <w:rPr>
          <w:rFonts w:ascii="Times New Roman" w:eastAsia="Times New Roman" w:hAnsi="Times New Roman" w:cs="Times New Roman"/>
        </w:rPr>
        <w:t>2010 and 2016, the EU Member S</w:t>
      </w:r>
      <w:r w:rsidRPr="00772DE7">
        <w:rPr>
          <w:rFonts w:ascii="Times New Roman" w:eastAsia="Times New Roman" w:hAnsi="Times New Roman" w:cs="Times New Roman"/>
        </w:rPr>
        <w:t xml:space="preserve">tate </w:t>
      </w:r>
      <w:r w:rsidR="00FB5B2D">
        <w:rPr>
          <w:rFonts w:ascii="Times New Roman" w:eastAsia="Times New Roman" w:hAnsi="Times New Roman" w:cs="Times New Roman"/>
        </w:rPr>
        <w:t>reporting</w:t>
      </w:r>
      <w:r w:rsidRPr="00772DE7">
        <w:rPr>
          <w:rFonts w:ascii="Times New Roman" w:eastAsia="Times New Roman" w:hAnsi="Times New Roman" w:cs="Times New Roman"/>
        </w:rPr>
        <w:t xml:space="preserve"> the most seizures of illegally trafficked caviar was Germany, with 222 cases (Harris &amp; Shiraishi, 2018:30). Admittedly, it is unclear how many of these 222 cases involved trafficked caviar from wild-origin (farmed caviar can also be classified as illegal if </w:t>
      </w:r>
      <w:r w:rsidR="00E856B1">
        <w:rPr>
          <w:rFonts w:ascii="Times New Roman" w:eastAsia="Times New Roman" w:hAnsi="Times New Roman" w:cs="Times New Roman"/>
        </w:rPr>
        <w:t xml:space="preserve">incorrectly labelled). However there was a </w:t>
      </w:r>
      <w:r w:rsidRPr="00772DE7">
        <w:rPr>
          <w:rFonts w:ascii="Times New Roman" w:eastAsia="Times New Roman" w:hAnsi="Times New Roman" w:cs="Times New Roman"/>
        </w:rPr>
        <w:t xml:space="preserve">notable case </w:t>
      </w:r>
      <w:r w:rsidR="00E856B1">
        <w:rPr>
          <w:rFonts w:ascii="Times New Roman" w:eastAsia="Times New Roman" w:hAnsi="Times New Roman" w:cs="Times New Roman"/>
        </w:rPr>
        <w:t xml:space="preserve">in </w:t>
      </w:r>
      <w:r w:rsidRPr="00772DE7">
        <w:rPr>
          <w:rFonts w:ascii="Times New Roman" w:eastAsia="Times New Roman" w:hAnsi="Times New Roman" w:cs="Times New Roman"/>
        </w:rPr>
        <w:t>2013</w:t>
      </w:r>
      <w:r w:rsidR="00E856B1">
        <w:rPr>
          <w:rFonts w:ascii="Times New Roman" w:eastAsia="Times New Roman" w:hAnsi="Times New Roman" w:cs="Times New Roman"/>
        </w:rPr>
        <w:t>,</w:t>
      </w:r>
      <w:r w:rsidRPr="00772DE7">
        <w:rPr>
          <w:rFonts w:ascii="Times New Roman" w:eastAsia="Times New Roman" w:hAnsi="Times New Roman" w:cs="Times New Roman"/>
        </w:rPr>
        <w:t xml:space="preserve"> when the German Customs Investigation Office in Cologne discovered an incident of large-scale illegal caviar trade and tax avoidance from an individual fraudulently selling 100kg of wild-caught Beluga caviar as caviar that was captive-bred in Germany. This individual was subsequently sentenced to one year in prison</w:t>
      </w:r>
      <w:r w:rsidRPr="005B292F">
        <w:rPr>
          <w:rStyle w:val="FootnoteReference"/>
        </w:rPr>
        <w:footnoteReference w:id="46"/>
      </w:r>
      <w:r>
        <w:rPr>
          <w:rFonts w:ascii="Times New Roman" w:eastAsia="Times New Roman" w:hAnsi="Times New Roman" w:cs="Times New Roman"/>
          <w:lang w:val="en-GB"/>
        </w:rPr>
        <w:t xml:space="preserve">. </w:t>
      </w:r>
      <w:r w:rsidRPr="00772DE7">
        <w:rPr>
          <w:rFonts w:ascii="Times New Roman" w:eastAsia="Times New Roman" w:hAnsi="Times New Roman" w:cs="Times New Roman"/>
        </w:rPr>
        <w:t xml:space="preserve">Thus, I would argue that it is too early to suggest that the ‘success’ of implementing CITES Resolution Conf </w:t>
      </w:r>
      <w:r w:rsidR="00E856B1">
        <w:rPr>
          <w:rFonts w:ascii="Times New Roman" w:eastAsia="Times New Roman" w:hAnsi="Times New Roman" w:cs="Times New Roman"/>
        </w:rPr>
        <w:t>12.7 in the EU, has meant that “</w:t>
      </w:r>
      <w:r w:rsidRPr="00772DE7">
        <w:rPr>
          <w:rFonts w:ascii="Times New Roman" w:eastAsia="Times New Roman" w:hAnsi="Times New Roman" w:cs="Times New Roman"/>
        </w:rPr>
        <w:t>investigations and criminal procedures regarding</w:t>
      </w:r>
      <w:r w:rsidR="00E856B1">
        <w:rPr>
          <w:rFonts w:ascii="Times New Roman" w:eastAsia="Times New Roman" w:hAnsi="Times New Roman" w:cs="Times New Roman"/>
        </w:rPr>
        <w:t xml:space="preserve"> wild caviar belong to the past”</w:t>
      </w:r>
      <w:r w:rsidRPr="00772DE7">
        <w:rPr>
          <w:rFonts w:ascii="Times New Roman" w:eastAsia="Times New Roman" w:hAnsi="Times New Roman" w:cs="Times New Roman"/>
        </w:rPr>
        <w:t xml:space="preserve">. </w:t>
      </w:r>
      <w:r w:rsidR="000D78AF">
        <w:rPr>
          <w:rFonts w:ascii="Times New Roman" w:eastAsia="Times New Roman" w:hAnsi="Times New Roman" w:cs="Times New Roman"/>
        </w:rPr>
        <w:t xml:space="preserve">Indeed in Romania alone, the Border Police Inspectorate has filed 49 lawsuits against sturgeon crimes between 2015-2019 </w:t>
      </w:r>
      <w:r w:rsidR="000D78AF">
        <w:rPr>
          <w:rFonts w:ascii="Times New Roman" w:eastAsia="Times New Roman" w:hAnsi="Times New Roman" w:cs="Times New Roman"/>
        </w:rPr>
        <w:fldChar w:fldCharType="begin" w:fldLock="1"/>
      </w:r>
      <w:r w:rsidR="000016DB">
        <w:rPr>
          <w:rFonts w:ascii="Times New Roman" w:eastAsia="Times New Roman" w:hAnsi="Times New Roman" w:cs="Times New Roman"/>
        </w:rPr>
        <w:instrText>ADDIN CSL_CITATION {"citationItems":[{"id":"ITEM-1","itemData":{"URL":"https://oxpeckers.org/2019/10/caviar-crime-and-corruption/","accessed":{"date-parts":[["2020","5","20"]]},"author":[{"dropping-particle":"","family":"Daea","given":"Marius","non-dropping-particle":"","parse-names":false,"suffix":""}],"container-title":"Oxpeckers","id":"ITEM-1","issued":{"date-parts":[["2019"]]},"title":"Caviar, crime and corruption","type":"webpage"},"uris":["http://www.mendeley.com/documents/?uuid=0e9fd15f-5704-37a0-80cc-9e4ae3d5c0b3"]}],"mendeley":{"formattedCitation":"(Daea, 2019)","plainTextFormattedCitation":"(Daea, 2019)","previouslyFormattedCitation":"(Daea, 2019)"},"properties":{"noteIndex":0},"schema":"https://github.com/citation-style-language/schema/raw/master/csl-citation.json"}</w:instrText>
      </w:r>
      <w:r w:rsidR="000D78AF">
        <w:rPr>
          <w:rFonts w:ascii="Times New Roman" w:eastAsia="Times New Roman" w:hAnsi="Times New Roman" w:cs="Times New Roman"/>
        </w:rPr>
        <w:fldChar w:fldCharType="separate"/>
      </w:r>
      <w:r w:rsidR="000D78AF" w:rsidRPr="000D78AF">
        <w:rPr>
          <w:rFonts w:ascii="Times New Roman" w:eastAsia="Times New Roman" w:hAnsi="Times New Roman" w:cs="Times New Roman"/>
          <w:noProof/>
        </w:rPr>
        <w:t>(Daea, 2019)</w:t>
      </w:r>
      <w:r w:rsidR="000D78AF">
        <w:rPr>
          <w:rFonts w:ascii="Times New Roman" w:eastAsia="Times New Roman" w:hAnsi="Times New Roman" w:cs="Times New Roman"/>
        </w:rPr>
        <w:fldChar w:fldCharType="end"/>
      </w:r>
      <w:r w:rsidR="000D78AF">
        <w:rPr>
          <w:rFonts w:ascii="Times New Roman" w:eastAsia="Times New Roman" w:hAnsi="Times New Roman" w:cs="Times New Roman"/>
        </w:rPr>
        <w:t xml:space="preserve">. </w:t>
      </w:r>
      <w:r w:rsidR="00E856B1">
        <w:rPr>
          <w:rFonts w:ascii="Times New Roman" w:eastAsia="Times New Roman" w:hAnsi="Times New Roman" w:cs="Times New Roman"/>
        </w:rPr>
        <w:t xml:space="preserve">As such, it is important to analyse how and why such hyperbolic conclusions have taken root amongst some parties in the EU; and examining how these actors deploy caviar seizure data is a useful starting point. </w:t>
      </w:r>
    </w:p>
    <w:p w14:paraId="4A9AEC2B" w14:textId="0FCE5B1C" w:rsidR="00CE4D3C" w:rsidRDefault="00AC10E7" w:rsidP="0025452A">
      <w:pPr>
        <w:pStyle w:val="Normal1"/>
        <w:spacing w:after="160" w:line="360" w:lineRule="auto"/>
        <w:jc w:val="both"/>
        <w:rPr>
          <w:rFonts w:ascii="Times New Roman" w:eastAsia="Times New Roman" w:hAnsi="Times New Roman" w:cs="Times New Roman"/>
        </w:rPr>
      </w:pPr>
      <w:r w:rsidRPr="00772DE7">
        <w:rPr>
          <w:rFonts w:ascii="Times New Roman" w:eastAsia="Times New Roman" w:hAnsi="Times New Roman" w:cs="Times New Roman"/>
        </w:rPr>
        <w:tab/>
        <w:t xml:space="preserve">Whilst there have been recent examples of </w:t>
      </w:r>
      <w:r w:rsidR="00E856B1">
        <w:rPr>
          <w:rFonts w:ascii="Times New Roman" w:eastAsia="Times New Roman" w:hAnsi="Times New Roman" w:cs="Times New Roman"/>
        </w:rPr>
        <w:t>trafficking</w:t>
      </w:r>
      <w:r w:rsidRPr="00772DE7">
        <w:rPr>
          <w:rFonts w:ascii="Times New Roman" w:eastAsia="Times New Roman" w:hAnsi="Times New Roman" w:cs="Times New Roman"/>
        </w:rPr>
        <w:t xml:space="preserve"> in wild caviar in the EU, </w:t>
      </w:r>
      <w:r>
        <w:rPr>
          <w:rFonts w:ascii="Times New Roman" w:eastAsia="Times New Roman" w:hAnsi="Times New Roman" w:cs="Times New Roman"/>
          <w:lang w:val="en-GB"/>
        </w:rPr>
        <w:t xml:space="preserve">it is undeniable that </w:t>
      </w:r>
      <w:r w:rsidRPr="00772DE7">
        <w:rPr>
          <w:rFonts w:ascii="Times New Roman" w:eastAsia="Times New Roman" w:hAnsi="Times New Roman" w:cs="Times New Roman"/>
        </w:rPr>
        <w:t xml:space="preserve">relative to seizures of caviar </w:t>
      </w:r>
      <w:r w:rsidR="005A029A">
        <w:rPr>
          <w:rFonts w:ascii="Times New Roman" w:eastAsia="Times New Roman" w:hAnsi="Times New Roman" w:cs="Times New Roman"/>
        </w:rPr>
        <w:t>in the early 2000s (see table 4.1</w:t>
      </w:r>
      <w:r w:rsidRPr="00772DE7">
        <w:rPr>
          <w:rFonts w:ascii="Times New Roman" w:eastAsia="Times New Roman" w:hAnsi="Times New Roman" w:cs="Times New Roman"/>
        </w:rPr>
        <w:t xml:space="preserve">), the quantity of seizures of caviar by weight in the European Union has continued to plummet since 2010 (see figure </w:t>
      </w:r>
      <w:r w:rsidR="005A029A">
        <w:rPr>
          <w:rFonts w:ascii="Times New Roman" w:eastAsia="Times New Roman" w:hAnsi="Times New Roman" w:cs="Times New Roman"/>
        </w:rPr>
        <w:t>4.4</w:t>
      </w:r>
      <w:r w:rsidRPr="00772DE7">
        <w:rPr>
          <w:rFonts w:ascii="Times New Roman" w:eastAsia="Times New Roman" w:hAnsi="Times New Roman" w:cs="Times New Roman"/>
        </w:rPr>
        <w:t>).</w:t>
      </w:r>
    </w:p>
    <w:p w14:paraId="523C08D8" w14:textId="77777777" w:rsidR="00E856B1" w:rsidRPr="00CE4D3C" w:rsidRDefault="00E856B1" w:rsidP="00AC10E7">
      <w:pPr>
        <w:pStyle w:val="Normal1"/>
        <w:spacing w:line="360" w:lineRule="auto"/>
        <w:jc w:val="both"/>
        <w:rPr>
          <w:rFonts w:ascii="Times New Roman" w:eastAsia="Times New Roman" w:hAnsi="Times New Roman" w:cs="Times New Roman"/>
        </w:rPr>
      </w:pPr>
    </w:p>
    <w:p w14:paraId="35239AF0" w14:textId="77777777" w:rsidR="00AC10E7" w:rsidRDefault="00AC10E7" w:rsidP="00AC10E7">
      <w:pPr>
        <w:pStyle w:val="Normal1"/>
        <w:spacing w:line="360" w:lineRule="auto"/>
        <w:jc w:val="both"/>
        <w:rPr>
          <w:rFonts w:ascii="Times New Roman" w:eastAsia="Times New Roman" w:hAnsi="Times New Roman" w:cs="Times New Roman"/>
        </w:rPr>
      </w:pPr>
    </w:p>
    <w:p w14:paraId="31FBBC5C" w14:textId="77777777" w:rsidR="00AC10E7" w:rsidRDefault="00AC10E7" w:rsidP="00AC10E7">
      <w:pPr>
        <w:pStyle w:val="Normal1"/>
        <w:spacing w:line="360" w:lineRule="auto"/>
        <w:jc w:val="center"/>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7602D955" wp14:editId="35E31B49">
            <wp:extent cx="2699886" cy="2950143"/>
            <wp:effectExtent l="0" t="0" r="0"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
                    <a:srcRect t="7973" r="26027"/>
                    <a:stretch>
                      <a:fillRect/>
                    </a:stretch>
                  </pic:blipFill>
                  <pic:spPr>
                    <a:xfrm>
                      <a:off x="0" y="0"/>
                      <a:ext cx="2701539" cy="2951949"/>
                    </a:xfrm>
                    <a:prstGeom prst="rect">
                      <a:avLst/>
                    </a:prstGeom>
                    <a:ln/>
                  </pic:spPr>
                </pic:pic>
              </a:graphicData>
            </a:graphic>
          </wp:inline>
        </w:drawing>
      </w:r>
    </w:p>
    <w:p w14:paraId="41220F1C" w14:textId="27B35F02" w:rsidR="007C5DDB" w:rsidRDefault="00E14942" w:rsidP="00324502">
      <w:pPr>
        <w:pStyle w:val="Heading6"/>
      </w:pPr>
      <w:bookmarkStart w:id="52" w:name="_Toc453224286"/>
      <w:r>
        <w:t>Table</w:t>
      </w:r>
      <w:r w:rsidR="00AC10E7">
        <w:t xml:space="preserve"> </w:t>
      </w:r>
      <w:r>
        <w:t>4.1</w:t>
      </w:r>
      <w:r w:rsidR="00AC10E7">
        <w:t>: Total EU Caviar seizures by year, 1999 - 2007.</w:t>
      </w:r>
      <w:bookmarkEnd w:id="52"/>
      <w:r w:rsidR="00AC10E7">
        <w:t xml:space="preserve"> </w:t>
      </w:r>
    </w:p>
    <w:p w14:paraId="2175E0BA" w14:textId="52AA77E4" w:rsidR="00AC10E7" w:rsidRDefault="00AC10E7" w:rsidP="00AC10E7">
      <w:pPr>
        <w:pStyle w:val="Normal1"/>
        <w:spacing w:line="360" w:lineRule="auto"/>
        <w:rPr>
          <w:rFonts w:ascii="Times New Roman" w:eastAsia="Times New Roman" w:hAnsi="Times New Roman" w:cs="Times New Roman"/>
          <w:i/>
          <w:sz w:val="20"/>
          <w:szCs w:val="20"/>
        </w:rPr>
      </w:pPr>
      <w:r w:rsidRPr="007C5DDB">
        <w:rPr>
          <w:rFonts w:ascii="Times New Roman" w:eastAsia="Times New Roman" w:hAnsi="Times New Roman" w:cs="Times New Roman"/>
          <w:i/>
          <w:sz w:val="20"/>
          <w:szCs w:val="20"/>
        </w:rPr>
        <w:t>Data taken from EU-TWIX Database. Source: Engler &amp; Knapp (2008)</w:t>
      </w:r>
    </w:p>
    <w:p w14:paraId="192B3C9E" w14:textId="77777777" w:rsidR="006158FE" w:rsidRPr="007C5DDB" w:rsidRDefault="006158FE" w:rsidP="00AC10E7">
      <w:pPr>
        <w:pStyle w:val="Normal1"/>
        <w:spacing w:line="360" w:lineRule="auto"/>
        <w:rPr>
          <w:rFonts w:ascii="Times New Roman" w:eastAsia="Times New Roman" w:hAnsi="Times New Roman" w:cs="Times New Roman"/>
          <w:i/>
          <w:sz w:val="20"/>
          <w:szCs w:val="20"/>
        </w:rPr>
      </w:pPr>
    </w:p>
    <w:p w14:paraId="423B081A" w14:textId="77777777" w:rsidR="00AC10E7" w:rsidRDefault="00AC10E7" w:rsidP="00AC10E7">
      <w:pPr>
        <w:pStyle w:val="Normal1"/>
        <w:spacing w:line="360" w:lineRule="auto"/>
        <w:jc w:val="center"/>
        <w:rPr>
          <w:rFonts w:ascii="Times New Roman" w:eastAsia="Times New Roman" w:hAnsi="Times New Roman" w:cs="Times New Roman"/>
        </w:rPr>
      </w:pPr>
      <w:r>
        <w:rPr>
          <w:rFonts w:ascii="Times New Roman" w:eastAsia="Times New Roman" w:hAnsi="Times New Roman" w:cs="Times New Roman"/>
          <w:noProof/>
          <w:lang w:val="en-US"/>
        </w:rPr>
        <w:lastRenderedPageBreak/>
        <w:drawing>
          <wp:inline distT="114300" distB="114300" distL="114300" distR="114300" wp14:anchorId="6ACCF0B5" wp14:editId="533B3C40">
            <wp:extent cx="5301837" cy="3757613"/>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1"/>
                    <a:srcRect l="3025" t="4739" r="2184" b="2774"/>
                    <a:stretch>
                      <a:fillRect/>
                    </a:stretch>
                  </pic:blipFill>
                  <pic:spPr>
                    <a:xfrm>
                      <a:off x="0" y="0"/>
                      <a:ext cx="5301837" cy="3757613"/>
                    </a:xfrm>
                    <a:prstGeom prst="rect">
                      <a:avLst/>
                    </a:prstGeom>
                    <a:ln/>
                  </pic:spPr>
                </pic:pic>
              </a:graphicData>
            </a:graphic>
          </wp:inline>
        </w:drawing>
      </w:r>
    </w:p>
    <w:p w14:paraId="540E1EF3" w14:textId="31D95B7E" w:rsidR="007C5DDB" w:rsidRDefault="00AC10E7" w:rsidP="00324502">
      <w:pPr>
        <w:pStyle w:val="Heading4"/>
      </w:pPr>
      <w:bookmarkStart w:id="53" w:name="_Toc452561218"/>
      <w:bookmarkStart w:id="54" w:name="_Toc453224282"/>
      <w:r>
        <w:t xml:space="preserve">Figure </w:t>
      </w:r>
      <w:r w:rsidR="00324502">
        <w:t>4.4</w:t>
      </w:r>
      <w:r>
        <w:t>: Number and quantity of caviar seizure records in the EU 2010 - 2016</w:t>
      </w:r>
      <w:bookmarkEnd w:id="53"/>
      <w:bookmarkEnd w:id="54"/>
    </w:p>
    <w:p w14:paraId="6DB2A0B0" w14:textId="3CC62CBD" w:rsidR="00AC10E7" w:rsidRPr="007C5DDB" w:rsidRDefault="00AC10E7" w:rsidP="00AC10E7">
      <w:pPr>
        <w:pStyle w:val="Normal1"/>
        <w:spacing w:line="360" w:lineRule="auto"/>
        <w:rPr>
          <w:rFonts w:ascii="Times New Roman" w:eastAsia="Times New Roman" w:hAnsi="Times New Roman" w:cs="Times New Roman"/>
          <w:i/>
        </w:rPr>
      </w:pPr>
      <w:r w:rsidRPr="007C5DDB">
        <w:rPr>
          <w:rFonts w:ascii="Times New Roman" w:eastAsia="Times New Roman" w:hAnsi="Times New Roman" w:cs="Times New Roman"/>
          <w:i/>
          <w:sz w:val="20"/>
          <w:szCs w:val="20"/>
        </w:rPr>
        <w:t>Data taken from EU-TWIX Database. Source: Harris &amp; Shiraishi (2018)</w:t>
      </w:r>
    </w:p>
    <w:p w14:paraId="78CB7892" w14:textId="77777777" w:rsidR="00AC10E7" w:rsidRDefault="00AC10E7" w:rsidP="00AC10E7">
      <w:pPr>
        <w:pStyle w:val="Normal1"/>
        <w:spacing w:line="360" w:lineRule="auto"/>
        <w:jc w:val="both"/>
        <w:rPr>
          <w:rFonts w:ascii="Times New Roman" w:eastAsia="Times New Roman" w:hAnsi="Times New Roman" w:cs="Times New Roman"/>
          <w:lang w:val="en-GB"/>
        </w:rPr>
      </w:pPr>
    </w:p>
    <w:p w14:paraId="4195E115" w14:textId="77777777" w:rsidR="00C81B3E" w:rsidRDefault="00AC10E7" w:rsidP="0025452A">
      <w:pPr>
        <w:pStyle w:val="Normal1"/>
        <w:spacing w:after="160" w:line="360" w:lineRule="auto"/>
        <w:ind w:firstLine="720"/>
        <w:jc w:val="both"/>
        <w:rPr>
          <w:rFonts w:ascii="Times New Roman" w:eastAsia="Times New Roman" w:hAnsi="Times New Roman" w:cs="Times New Roman"/>
        </w:rPr>
      </w:pPr>
      <w:r w:rsidRPr="001A61A0">
        <w:rPr>
          <w:rFonts w:ascii="Times New Roman" w:eastAsia="Times New Roman" w:hAnsi="Times New Roman" w:cs="Times New Roman"/>
          <w:lang w:val="en-GB"/>
        </w:rPr>
        <w:t xml:space="preserve">The declining seizures have been central to the claims made by Western European policymakers and enforcement officials in particular, that CITES Resolution Conf 12.7 and its related protocols have been </w:t>
      </w:r>
      <w:r w:rsidR="007B3A43">
        <w:rPr>
          <w:rFonts w:ascii="Times New Roman" w:eastAsia="Times New Roman" w:hAnsi="Times New Roman" w:cs="Times New Roman"/>
          <w:lang w:val="en-GB"/>
        </w:rPr>
        <w:t xml:space="preserve">implemented </w:t>
      </w:r>
      <w:r w:rsidRPr="001A61A0">
        <w:rPr>
          <w:rFonts w:ascii="Times New Roman" w:eastAsia="Times New Roman" w:hAnsi="Times New Roman" w:cs="Times New Roman"/>
          <w:lang w:val="en-GB"/>
        </w:rPr>
        <w:t>effective</w:t>
      </w:r>
      <w:r w:rsidR="007B3A43">
        <w:rPr>
          <w:rFonts w:ascii="Times New Roman" w:eastAsia="Times New Roman" w:hAnsi="Times New Roman" w:cs="Times New Roman"/>
          <w:lang w:val="en-GB"/>
        </w:rPr>
        <w:t>ly in the EU</w:t>
      </w:r>
      <w:r w:rsidRPr="001A61A0">
        <w:rPr>
          <w:rFonts w:ascii="Times New Roman" w:eastAsia="Times New Roman" w:hAnsi="Times New Roman" w:cs="Times New Roman"/>
          <w:lang w:val="en-GB"/>
        </w:rPr>
        <w:t>. An underlying implication of th</w:t>
      </w:r>
      <w:r w:rsidR="007B3A43">
        <w:rPr>
          <w:rFonts w:ascii="Times New Roman" w:eastAsia="Times New Roman" w:hAnsi="Times New Roman" w:cs="Times New Roman"/>
          <w:lang w:val="en-GB"/>
        </w:rPr>
        <w:t>ese assertions</w:t>
      </w:r>
      <w:r w:rsidR="00E856B1">
        <w:rPr>
          <w:rFonts w:ascii="Times New Roman" w:eastAsia="Times New Roman" w:hAnsi="Times New Roman" w:cs="Times New Roman"/>
          <w:lang w:val="en-GB"/>
        </w:rPr>
        <w:t xml:space="preserve"> </w:t>
      </w:r>
      <w:r w:rsidR="007B3A43">
        <w:rPr>
          <w:rFonts w:ascii="Times New Roman" w:eastAsia="Times New Roman" w:hAnsi="Times New Roman" w:cs="Times New Roman"/>
          <w:lang w:val="en-GB"/>
        </w:rPr>
        <w:t>is that there have</w:t>
      </w:r>
      <w:r w:rsidRPr="001A61A0">
        <w:rPr>
          <w:rFonts w:ascii="Times New Roman" w:eastAsia="Times New Roman" w:hAnsi="Times New Roman" w:cs="Times New Roman"/>
          <w:lang w:val="en-GB"/>
        </w:rPr>
        <w:t xml:space="preserve"> been positive impacts upon the criminality associated with illegal caviar trade in the EU.  For enforcement officers working on </w:t>
      </w:r>
      <w:r w:rsidR="00E856B1">
        <w:rPr>
          <w:rFonts w:ascii="Times New Roman" w:eastAsia="Times New Roman" w:hAnsi="Times New Roman" w:cs="Times New Roman"/>
          <w:lang w:val="en-GB"/>
        </w:rPr>
        <w:t xml:space="preserve">EU </w:t>
      </w:r>
      <w:r w:rsidRPr="001A61A0">
        <w:rPr>
          <w:rFonts w:ascii="Times New Roman" w:eastAsia="Times New Roman" w:hAnsi="Times New Roman" w:cs="Times New Roman"/>
          <w:lang w:val="en-GB"/>
        </w:rPr>
        <w:t xml:space="preserve">CITES issues, their approach to work is </w:t>
      </w:r>
      <w:r w:rsidR="007B3A43">
        <w:rPr>
          <w:rFonts w:ascii="Times New Roman" w:eastAsia="Times New Roman" w:hAnsi="Times New Roman" w:cs="Times New Roman"/>
          <w:lang w:val="en-GB"/>
        </w:rPr>
        <w:t>centred around the notion that “</w:t>
      </w:r>
      <w:r w:rsidRPr="001A61A0">
        <w:rPr>
          <w:rFonts w:ascii="Times New Roman" w:eastAsia="Times New Roman" w:hAnsi="Times New Roman" w:cs="Times New Roman"/>
          <w:lang w:val="en-GB"/>
        </w:rPr>
        <w:t>seizures equate to evidenc</w:t>
      </w:r>
      <w:r>
        <w:rPr>
          <w:rFonts w:ascii="Times New Roman" w:eastAsia="Times New Roman" w:hAnsi="Times New Roman" w:cs="Times New Roman"/>
          <w:lang w:val="en-GB"/>
        </w:rPr>
        <w:t>e that a trade is taking place</w:t>
      </w:r>
      <w:r w:rsidR="007B3A43">
        <w:rPr>
          <w:rFonts w:ascii="Times New Roman" w:eastAsia="Times New Roman" w:hAnsi="Times New Roman" w:cs="Times New Roman"/>
          <w:lang w:val="en-GB"/>
        </w:rPr>
        <w:t>”</w:t>
      </w:r>
      <w:r w:rsidRPr="005B292F">
        <w:rPr>
          <w:rStyle w:val="FootnoteReference"/>
        </w:rPr>
        <w:footnoteReference w:id="47"/>
      </w:r>
      <w:r w:rsidRPr="001A61A0">
        <w:rPr>
          <w:rFonts w:ascii="Times New Roman" w:eastAsia="Times New Roman" w:hAnsi="Times New Roman" w:cs="Times New Roman"/>
          <w:lang w:val="en-GB"/>
        </w:rPr>
        <w:t>. They explained that as seizures of caviar have dramatically declined across the E</w:t>
      </w:r>
      <w:r w:rsidR="007B3A43">
        <w:rPr>
          <w:rFonts w:ascii="Times New Roman" w:eastAsia="Times New Roman" w:hAnsi="Times New Roman" w:cs="Times New Roman"/>
          <w:lang w:val="en-GB"/>
        </w:rPr>
        <w:t>U, “</w:t>
      </w:r>
      <w:r>
        <w:rPr>
          <w:rFonts w:ascii="Times New Roman" w:eastAsia="Times New Roman" w:hAnsi="Times New Roman" w:cs="Times New Roman"/>
          <w:lang w:val="en-GB"/>
        </w:rPr>
        <w:t>the intelligence dried up</w:t>
      </w:r>
      <w:r w:rsidR="007B3A43">
        <w:rPr>
          <w:rFonts w:ascii="Times New Roman" w:eastAsia="Times New Roman" w:hAnsi="Times New Roman" w:cs="Times New Roman"/>
          <w:lang w:val="en-GB"/>
        </w:rPr>
        <w:t>”</w:t>
      </w:r>
      <w:r w:rsidRPr="005B292F">
        <w:rPr>
          <w:rStyle w:val="FootnoteReference"/>
        </w:rPr>
        <w:footnoteReference w:id="48"/>
      </w:r>
      <w:r>
        <w:rPr>
          <w:rFonts w:ascii="Times New Roman" w:eastAsia="Times New Roman" w:hAnsi="Times New Roman" w:cs="Times New Roman"/>
          <w:lang w:val="en-GB"/>
        </w:rPr>
        <w:t xml:space="preserve"> </w:t>
      </w:r>
      <w:r w:rsidRPr="001A61A0">
        <w:rPr>
          <w:rFonts w:ascii="Times New Roman" w:eastAsia="Times New Roman" w:hAnsi="Times New Roman" w:cs="Times New Roman"/>
          <w:lang w:val="en-GB"/>
        </w:rPr>
        <w:t>too. As such, many enforcement officials have come to the conclusion that the implementation of regulations and the enforcement of trade-regulating mechanisms such as zero export quotas, have dramatically impacted the extent of the operations of criminal networks trading internationally in caviar</w:t>
      </w:r>
      <w:r w:rsidR="00F41FDF" w:rsidRPr="005B292F">
        <w:rPr>
          <w:rStyle w:val="FootnoteReference"/>
        </w:rPr>
        <w:footnoteReference w:id="49"/>
      </w:r>
      <w:r w:rsidRPr="001A61A0">
        <w:rPr>
          <w:rFonts w:ascii="Times New Roman" w:eastAsia="Times New Roman" w:hAnsi="Times New Roman" w:cs="Times New Roman"/>
          <w:lang w:val="en-GB"/>
        </w:rPr>
        <w:t xml:space="preserve">. Ex-enforcement officer Michael, explained that as quotas declined and eventually were </w:t>
      </w:r>
      <w:r w:rsidR="0085031A">
        <w:rPr>
          <w:rFonts w:ascii="Times New Roman" w:eastAsia="Times New Roman" w:hAnsi="Times New Roman" w:cs="Times New Roman"/>
          <w:lang w:val="en-GB"/>
        </w:rPr>
        <w:t xml:space="preserve">set at zero in </w:t>
      </w:r>
      <w:r w:rsidRPr="001A61A0">
        <w:rPr>
          <w:rFonts w:ascii="Times New Roman" w:eastAsia="Times New Roman" w:hAnsi="Times New Roman" w:cs="Times New Roman"/>
          <w:lang w:val="en-GB"/>
        </w:rPr>
        <w:t xml:space="preserve">regions such as </w:t>
      </w:r>
      <w:r w:rsidR="0085031A">
        <w:rPr>
          <w:rFonts w:ascii="Times New Roman" w:eastAsia="Times New Roman" w:hAnsi="Times New Roman" w:cs="Times New Roman"/>
          <w:lang w:val="en-GB"/>
        </w:rPr>
        <w:t>the Caspian Sea and Black Sea, “</w:t>
      </w:r>
      <w:r w:rsidRPr="001A61A0">
        <w:rPr>
          <w:rFonts w:ascii="Times New Roman" w:eastAsia="Times New Roman" w:hAnsi="Times New Roman" w:cs="Times New Roman"/>
          <w:lang w:val="en-GB"/>
        </w:rPr>
        <w:t xml:space="preserve">that made it extremely difficult for anyone to launder </w:t>
      </w:r>
      <w:r w:rsidRPr="001A61A0">
        <w:rPr>
          <w:rFonts w:ascii="Times New Roman" w:eastAsia="Times New Roman" w:hAnsi="Times New Roman" w:cs="Times New Roman"/>
          <w:lang w:val="en-GB"/>
        </w:rPr>
        <w:lastRenderedPageBreak/>
        <w:t>caviar</w:t>
      </w:r>
      <w:r>
        <w:rPr>
          <w:rFonts w:ascii="Times New Roman" w:eastAsia="Times New Roman" w:hAnsi="Times New Roman" w:cs="Times New Roman"/>
          <w:lang w:val="en-GB"/>
        </w:rPr>
        <w:t xml:space="preserve"> into the international market</w:t>
      </w:r>
      <w:r w:rsidR="0085031A">
        <w:rPr>
          <w:rFonts w:ascii="Times New Roman" w:eastAsia="Times New Roman" w:hAnsi="Times New Roman" w:cs="Times New Roman"/>
          <w:lang w:val="en-GB"/>
        </w:rPr>
        <w:t>”</w:t>
      </w:r>
      <w:r w:rsidRPr="005B292F">
        <w:rPr>
          <w:rStyle w:val="FootnoteReference"/>
        </w:rPr>
        <w:footnoteReference w:id="50"/>
      </w:r>
      <w:r w:rsidRPr="001A61A0">
        <w:rPr>
          <w:rFonts w:ascii="Times New Roman" w:eastAsia="Times New Roman" w:hAnsi="Times New Roman" w:cs="Times New Roman"/>
          <w:lang w:val="en-GB"/>
        </w:rPr>
        <w:t>. Moreover, he suggested that the reality of greatly depleted wild sturgeon populations likely meant that poachers were less able to locate gravid female sturgeon, meaning that in terms of quantity, less illegal trade was taking place due to the scarcity of the resource</w:t>
      </w:r>
      <w:r w:rsidR="0085031A" w:rsidRPr="005B292F">
        <w:rPr>
          <w:rStyle w:val="FootnoteReference"/>
        </w:rPr>
        <w:footnoteReference w:id="51"/>
      </w:r>
      <w:r w:rsidRPr="001A61A0">
        <w:rPr>
          <w:rFonts w:ascii="Times New Roman" w:eastAsia="Times New Roman" w:hAnsi="Times New Roman" w:cs="Times New Roman"/>
          <w:lang w:val="en-GB"/>
        </w:rPr>
        <w:t>. As such, Michael suggested that once e</w:t>
      </w:r>
      <w:r w:rsidR="0085031A">
        <w:rPr>
          <w:rFonts w:ascii="Times New Roman" w:eastAsia="Times New Roman" w:hAnsi="Times New Roman" w:cs="Times New Roman"/>
          <w:lang w:val="en-GB"/>
        </w:rPr>
        <w:t>xport quotas were established, “</w:t>
      </w:r>
      <w:r w:rsidRPr="001A61A0">
        <w:rPr>
          <w:rFonts w:ascii="Times New Roman" w:eastAsia="Times New Roman" w:hAnsi="Times New Roman" w:cs="Times New Roman"/>
          <w:lang w:val="en-GB"/>
        </w:rPr>
        <w:t>the w</w:t>
      </w:r>
      <w:r w:rsidR="0085031A">
        <w:rPr>
          <w:rFonts w:ascii="Times New Roman" w:eastAsia="Times New Roman" w:hAnsi="Times New Roman" w:cs="Times New Roman"/>
          <w:lang w:val="en-GB"/>
        </w:rPr>
        <w:t>hole thing seemed to peter out” in terms of seizures, and “</w:t>
      </w:r>
      <w:r w:rsidRPr="001A61A0">
        <w:rPr>
          <w:rFonts w:ascii="Times New Roman" w:eastAsia="Times New Roman" w:hAnsi="Times New Roman" w:cs="Times New Roman"/>
          <w:lang w:val="en-GB"/>
        </w:rPr>
        <w:t>life for the law enforcemen</w:t>
      </w:r>
      <w:r>
        <w:rPr>
          <w:rFonts w:ascii="Times New Roman" w:eastAsia="Times New Roman" w:hAnsi="Times New Roman" w:cs="Times New Roman"/>
          <w:lang w:val="en-GB"/>
        </w:rPr>
        <w:t>t community became more simple</w:t>
      </w:r>
      <w:r w:rsidR="0085031A">
        <w:rPr>
          <w:rFonts w:ascii="Times New Roman" w:eastAsia="Times New Roman" w:hAnsi="Times New Roman" w:cs="Times New Roman"/>
          <w:lang w:val="en-GB"/>
        </w:rPr>
        <w:t>”</w:t>
      </w:r>
      <w:r w:rsidRPr="005B292F">
        <w:rPr>
          <w:rStyle w:val="FootnoteReference"/>
        </w:rPr>
        <w:footnoteReference w:id="52"/>
      </w:r>
      <w:r w:rsidRPr="001A61A0">
        <w:rPr>
          <w:rFonts w:ascii="Times New Roman" w:eastAsia="Times New Roman" w:hAnsi="Times New Roman" w:cs="Times New Roman"/>
          <w:lang w:val="en-GB"/>
        </w:rPr>
        <w:t>.</w:t>
      </w:r>
      <w:r w:rsidR="00C81B3E">
        <w:rPr>
          <w:rFonts w:ascii="Times New Roman" w:eastAsia="Times New Roman" w:hAnsi="Times New Roman" w:cs="Times New Roman"/>
          <w:lang w:val="en-GB"/>
        </w:rPr>
        <w:t xml:space="preserve"> </w:t>
      </w:r>
      <w:r>
        <w:rPr>
          <w:rFonts w:ascii="Times New Roman" w:eastAsia="Times New Roman" w:hAnsi="Times New Roman" w:cs="Times New Roman"/>
        </w:rPr>
        <w:t>Thus, declining seizures</w:t>
      </w:r>
      <w:r>
        <w:rPr>
          <w:rFonts w:ascii="Times New Roman" w:eastAsia="Times New Roman" w:hAnsi="Times New Roman" w:cs="Times New Roman"/>
          <w:lang w:val="en-GB"/>
        </w:rPr>
        <w:t xml:space="preserve"> of wild caviar</w:t>
      </w:r>
      <w:r>
        <w:rPr>
          <w:rFonts w:ascii="Times New Roman" w:eastAsia="Times New Roman" w:hAnsi="Times New Roman" w:cs="Times New Roman"/>
        </w:rPr>
        <w:t xml:space="preserve"> have been codified by actors from particular </w:t>
      </w:r>
      <w:r>
        <w:rPr>
          <w:rFonts w:ascii="Times New Roman" w:eastAsia="Times New Roman" w:hAnsi="Times New Roman" w:cs="Times New Roman"/>
          <w:lang w:val="en-GB"/>
        </w:rPr>
        <w:t>occupations</w:t>
      </w:r>
      <w:r>
        <w:rPr>
          <w:rFonts w:ascii="Times New Roman" w:eastAsia="Times New Roman" w:hAnsi="Times New Roman" w:cs="Times New Roman"/>
        </w:rPr>
        <w:t xml:space="preserve"> - notably related to policy and enforcement - as indicative of declining criminality and therefore exemplary of the positive impact of CITES Resolution Conf 12.7 on levels of illegal caviar trade in the European Union. </w:t>
      </w:r>
    </w:p>
    <w:p w14:paraId="3850B600" w14:textId="28EDD4E1" w:rsidR="00AC10E7" w:rsidRPr="00CE5D7C" w:rsidRDefault="00AC10E7" w:rsidP="0025452A">
      <w:pPr>
        <w:pStyle w:val="Normal1"/>
        <w:spacing w:after="160" w:line="360" w:lineRule="auto"/>
        <w:ind w:firstLine="720"/>
        <w:jc w:val="both"/>
        <w:rPr>
          <w:rFonts w:ascii="Times New Roman" w:eastAsia="Times New Roman" w:hAnsi="Times New Roman" w:cs="Times New Roman"/>
          <w:lang w:val="en-GB"/>
        </w:rPr>
      </w:pPr>
      <w:r>
        <w:rPr>
          <w:rFonts w:ascii="Times New Roman" w:eastAsia="Times New Roman" w:hAnsi="Times New Roman" w:cs="Times New Roman"/>
          <w:lang w:val="en-GB"/>
        </w:rPr>
        <w:t>Clearly there is an element</w:t>
      </w:r>
      <w:r w:rsidR="00C81B3E">
        <w:rPr>
          <w:rFonts w:ascii="Times New Roman" w:eastAsia="Times New Roman" w:hAnsi="Times New Roman" w:cs="Times New Roman"/>
          <w:lang w:val="en-GB"/>
        </w:rPr>
        <w:t xml:space="preserve"> of truth to these conclusions; </w:t>
      </w:r>
      <w:r>
        <w:rPr>
          <w:rFonts w:ascii="Times New Roman" w:eastAsia="Times New Roman" w:hAnsi="Times New Roman" w:cs="Times New Roman"/>
          <w:lang w:val="en-GB"/>
        </w:rPr>
        <w:t>but they</w:t>
      </w:r>
      <w:r w:rsidR="00C81B3E">
        <w:rPr>
          <w:rFonts w:ascii="Times New Roman" w:eastAsia="Times New Roman" w:hAnsi="Times New Roman" w:cs="Times New Roman"/>
          <w:lang w:val="en-GB"/>
        </w:rPr>
        <w:t xml:space="preserve"> are not the full story, despite being presented as such. Moreover</w:t>
      </w:r>
      <w:r>
        <w:rPr>
          <w:rFonts w:ascii="Times New Roman" w:eastAsia="Times New Roman" w:hAnsi="Times New Roman" w:cs="Times New Roman"/>
          <w:lang w:val="en-GB"/>
        </w:rPr>
        <w:t xml:space="preserve">, such conclusions have powerful material impacts. </w:t>
      </w:r>
      <w:r>
        <w:rPr>
          <w:rFonts w:ascii="Times New Roman" w:eastAsia="Times New Roman" w:hAnsi="Times New Roman" w:cs="Times New Roman"/>
        </w:rPr>
        <w:t>This is forcefull</w:t>
      </w:r>
      <w:r w:rsidR="00C81B3E">
        <w:rPr>
          <w:rFonts w:ascii="Times New Roman" w:eastAsia="Times New Roman" w:hAnsi="Times New Roman" w:cs="Times New Roman"/>
        </w:rPr>
        <w:t xml:space="preserve">y demonstrated by the downgrading </w:t>
      </w:r>
      <w:r>
        <w:rPr>
          <w:rFonts w:ascii="Times New Roman" w:eastAsia="Times New Roman" w:hAnsi="Times New Roman" w:cs="Times New Roman"/>
        </w:rPr>
        <w:t xml:space="preserve">of caviar and sturgeon as a CITES priority at the EU </w:t>
      </w:r>
      <w:r w:rsidR="00C81B3E">
        <w:rPr>
          <w:rFonts w:ascii="Times New Roman" w:eastAsia="Times New Roman" w:hAnsi="Times New Roman" w:cs="Times New Roman"/>
        </w:rPr>
        <w:t xml:space="preserve">policy </w:t>
      </w:r>
      <w:r>
        <w:rPr>
          <w:rFonts w:ascii="Times New Roman" w:eastAsia="Times New Roman" w:hAnsi="Times New Roman" w:cs="Times New Roman"/>
        </w:rPr>
        <w:t>level, and also in EU Member states such as the UK. Oliver, an inspector for the UK NWCU explained the logic behi</w:t>
      </w:r>
      <w:r w:rsidR="00F80895">
        <w:rPr>
          <w:rFonts w:ascii="Times New Roman" w:eastAsia="Times New Roman" w:hAnsi="Times New Roman" w:cs="Times New Roman"/>
        </w:rPr>
        <w:t>nd the delisting, stating that “</w:t>
      </w:r>
      <w:r>
        <w:rPr>
          <w:rFonts w:ascii="Times New Roman" w:eastAsia="Times New Roman" w:hAnsi="Times New Roman" w:cs="Times New Roman"/>
        </w:rPr>
        <w:t>the prioritie</w:t>
      </w:r>
      <w:r w:rsidR="00F80895">
        <w:rPr>
          <w:rFonts w:ascii="Times New Roman" w:eastAsia="Times New Roman" w:hAnsi="Times New Roman" w:cs="Times New Roman"/>
        </w:rPr>
        <w:t>s are all about seizures really”, and because “</w:t>
      </w:r>
      <w:r>
        <w:rPr>
          <w:rFonts w:ascii="Times New Roman" w:eastAsia="Times New Roman" w:hAnsi="Times New Roman" w:cs="Times New Roman"/>
        </w:rPr>
        <w:t>we are just not seeing the trade within and into the UK</w:t>
      </w:r>
      <w:r w:rsidR="00F80895">
        <w:rPr>
          <w:rFonts w:ascii="Times New Roman" w:eastAsia="Times New Roman" w:hAnsi="Times New Roman" w:cs="Times New Roman"/>
        </w:rPr>
        <w:t>”</w:t>
      </w:r>
      <w:r w:rsidRPr="005B292F">
        <w:rPr>
          <w:rStyle w:val="FootnoteReference"/>
        </w:rPr>
        <w:footnoteReference w:id="53"/>
      </w:r>
      <w:r>
        <w:rPr>
          <w:rFonts w:ascii="Times New Roman" w:eastAsia="Times New Roman" w:hAnsi="Times New Roman" w:cs="Times New Roman"/>
        </w:rPr>
        <w:t xml:space="preserve"> caviar has come off the CITES priority list. Similarly, Ulmer, a representati</w:t>
      </w:r>
      <w:r w:rsidR="002A64A9">
        <w:rPr>
          <w:rFonts w:ascii="Times New Roman" w:eastAsia="Times New Roman" w:hAnsi="Times New Roman" w:cs="Times New Roman"/>
        </w:rPr>
        <w:t xml:space="preserve">ve of DG Environment in the European Commission who works on </w:t>
      </w:r>
      <w:r>
        <w:rPr>
          <w:rFonts w:ascii="Times New Roman" w:eastAsia="Times New Roman" w:hAnsi="Times New Roman" w:cs="Times New Roman"/>
        </w:rPr>
        <w:t>EU wildlife trade policy</w:t>
      </w:r>
      <w:r w:rsidR="002A64A9">
        <w:rPr>
          <w:rFonts w:ascii="Times New Roman" w:eastAsia="Times New Roman" w:hAnsi="Times New Roman" w:cs="Times New Roman"/>
        </w:rPr>
        <w:t>,</w:t>
      </w:r>
      <w:r>
        <w:rPr>
          <w:rFonts w:ascii="Times New Roman" w:eastAsia="Times New Roman" w:hAnsi="Times New Roman" w:cs="Times New Roman"/>
        </w:rPr>
        <w:t xml:space="preserve"> explained that in setting CIT</w:t>
      </w:r>
      <w:r w:rsidR="00F80895">
        <w:rPr>
          <w:rFonts w:ascii="Times New Roman" w:eastAsia="Times New Roman" w:hAnsi="Times New Roman" w:cs="Times New Roman"/>
        </w:rPr>
        <w:t>ES p</w:t>
      </w:r>
      <w:r w:rsidR="002A64A9">
        <w:rPr>
          <w:rFonts w:ascii="Times New Roman" w:eastAsia="Times New Roman" w:hAnsi="Times New Roman" w:cs="Times New Roman"/>
        </w:rPr>
        <w:t>riorities at the EU level</w:t>
      </w:r>
      <w:r w:rsidR="00F80895">
        <w:rPr>
          <w:rFonts w:ascii="Times New Roman" w:eastAsia="Times New Roman" w:hAnsi="Times New Roman" w:cs="Times New Roman"/>
        </w:rPr>
        <w:t xml:space="preserve"> “</w:t>
      </w:r>
      <w:r>
        <w:rPr>
          <w:rFonts w:ascii="Times New Roman" w:eastAsia="Times New Roman" w:hAnsi="Times New Roman" w:cs="Times New Roman"/>
        </w:rPr>
        <w:t>the question is the extent</w:t>
      </w:r>
      <w:r w:rsidR="00F80895">
        <w:rPr>
          <w:rFonts w:ascii="Times New Roman" w:eastAsia="Times New Roman" w:hAnsi="Times New Roman" w:cs="Times New Roman"/>
        </w:rPr>
        <w:t>”</w:t>
      </w:r>
      <w:r w:rsidRPr="005B292F">
        <w:rPr>
          <w:rStyle w:val="FootnoteReference"/>
        </w:rPr>
        <w:footnoteReference w:id="54"/>
      </w:r>
      <w:r>
        <w:rPr>
          <w:rFonts w:ascii="Times New Roman" w:eastAsia="Times New Roman" w:hAnsi="Times New Roman" w:cs="Times New Roman"/>
        </w:rPr>
        <w:t xml:space="preserve"> of illegal trade, which is typically reflected in the number of seizures made, and the size of the seizures made.</w:t>
      </w:r>
      <w:r w:rsidR="002A64A9">
        <w:rPr>
          <w:rFonts w:ascii="Times New Roman" w:eastAsia="Times New Roman" w:hAnsi="Times New Roman" w:cs="Times New Roman"/>
        </w:rPr>
        <w:t xml:space="preserve"> Due to declining seizures of contraband caviar in the EU,</w:t>
      </w:r>
      <w:r>
        <w:rPr>
          <w:rFonts w:ascii="Times New Roman" w:eastAsia="Times New Roman" w:hAnsi="Times New Roman" w:cs="Times New Roman"/>
        </w:rPr>
        <w:t xml:space="preserve"> </w:t>
      </w:r>
      <w:r w:rsidR="00F80895">
        <w:rPr>
          <w:rFonts w:ascii="Times New Roman" w:eastAsia="Times New Roman" w:hAnsi="Times New Roman" w:cs="Times New Roman"/>
        </w:rPr>
        <w:t>Ulmer acknowledged that caviar “</w:t>
      </w:r>
      <w:r>
        <w:rPr>
          <w:rFonts w:ascii="Times New Roman" w:eastAsia="Times New Roman" w:hAnsi="Times New Roman" w:cs="Times New Roman"/>
        </w:rPr>
        <w:t>doesn’t feature among the top priorities of what the EU wildlife trade policy is focussing on now</w:t>
      </w:r>
      <w:r w:rsidR="00F80895">
        <w:rPr>
          <w:rFonts w:ascii="Times New Roman" w:eastAsia="Times New Roman" w:hAnsi="Times New Roman" w:cs="Times New Roman"/>
        </w:rPr>
        <w:t>”</w:t>
      </w:r>
      <w:r w:rsidRPr="005B292F">
        <w:rPr>
          <w:rStyle w:val="FootnoteReference"/>
        </w:rPr>
        <w:footnoteReference w:id="55"/>
      </w:r>
      <w:r w:rsidR="00DF3BFD">
        <w:rPr>
          <w:rFonts w:ascii="Times New Roman" w:eastAsia="Times New Roman" w:hAnsi="Times New Roman" w:cs="Times New Roman"/>
        </w:rPr>
        <w:t>. The relegating</w:t>
      </w:r>
      <w:r>
        <w:rPr>
          <w:rFonts w:ascii="Times New Roman" w:eastAsia="Times New Roman" w:hAnsi="Times New Roman" w:cs="Times New Roman"/>
        </w:rPr>
        <w:t xml:space="preserve"> of caviar on the CITES pr</w:t>
      </w:r>
      <w:r w:rsidR="00DF3BFD">
        <w:rPr>
          <w:rFonts w:ascii="Times New Roman" w:eastAsia="Times New Roman" w:hAnsi="Times New Roman" w:cs="Times New Roman"/>
        </w:rPr>
        <w:t>iorities of both the EU and EU Member S</w:t>
      </w:r>
      <w:r>
        <w:rPr>
          <w:rFonts w:ascii="Times New Roman" w:eastAsia="Times New Roman" w:hAnsi="Times New Roman" w:cs="Times New Roman"/>
        </w:rPr>
        <w:t xml:space="preserve">tates such as the UK, reflects the powerful material impacts that can ensue from </w:t>
      </w:r>
      <w:r w:rsidR="00DF3BFD">
        <w:rPr>
          <w:rFonts w:ascii="Times New Roman" w:eastAsia="Times New Roman" w:hAnsi="Times New Roman" w:cs="Times New Roman"/>
        </w:rPr>
        <w:t xml:space="preserve">using raw seizure data to guide policy. </w:t>
      </w:r>
    </w:p>
    <w:p w14:paraId="0B62EB7B" w14:textId="62071853" w:rsidR="00AC10E7" w:rsidRDefault="00AC10E7" w:rsidP="0025452A">
      <w:pPr>
        <w:pStyle w:val="Normal1"/>
        <w:spacing w:after="16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Whilst these enforcement officials and the representative of DG </w:t>
      </w:r>
      <w:r w:rsidR="002A64A9">
        <w:rPr>
          <w:rFonts w:ascii="Times New Roman" w:eastAsia="Times New Roman" w:hAnsi="Times New Roman" w:cs="Times New Roman"/>
        </w:rPr>
        <w:t>ENV</w:t>
      </w:r>
      <w:r>
        <w:rPr>
          <w:rFonts w:ascii="Times New Roman" w:eastAsia="Times New Roman" w:hAnsi="Times New Roman" w:cs="Times New Roman"/>
        </w:rPr>
        <w:t xml:space="preserve"> presented declining seizures as being indicative of reduced criminality in the caviar trade, they were however, more circumspect in their proclamations about the overall ‘success’ of CITES Resolution Conf 12.7 in preventing illegal caviar trade in the EU. Rather than declaring that investigations and criminal proceedings related to caviar trade belong in the past, Ulmer,</w:t>
      </w:r>
      <w:r w:rsidR="00DF3BFD">
        <w:rPr>
          <w:rFonts w:ascii="Times New Roman" w:eastAsia="Times New Roman" w:hAnsi="Times New Roman" w:cs="Times New Roman"/>
        </w:rPr>
        <w:t xml:space="preserve"> recognised that illegal trade “</w:t>
      </w:r>
      <w:r>
        <w:rPr>
          <w:rFonts w:ascii="Times New Roman" w:eastAsia="Times New Roman" w:hAnsi="Times New Roman" w:cs="Times New Roman"/>
        </w:rPr>
        <w:t>is still an issue, and there are still seizure</w:t>
      </w:r>
      <w:r w:rsidR="00DF3BFD">
        <w:rPr>
          <w:rFonts w:ascii="Times New Roman" w:eastAsia="Times New Roman" w:hAnsi="Times New Roman" w:cs="Times New Roman"/>
        </w:rPr>
        <w:t>s”</w:t>
      </w:r>
      <w:r>
        <w:rPr>
          <w:rFonts w:ascii="Times New Roman" w:eastAsia="Times New Roman" w:hAnsi="Times New Roman" w:cs="Times New Roman"/>
        </w:rPr>
        <w:t>, but he did temper this b</w:t>
      </w:r>
      <w:r w:rsidR="00DF3BFD">
        <w:rPr>
          <w:rFonts w:ascii="Times New Roman" w:eastAsia="Times New Roman" w:hAnsi="Times New Roman" w:cs="Times New Roman"/>
        </w:rPr>
        <w:t>y saying that illegal trade is “</w:t>
      </w:r>
      <w:r>
        <w:rPr>
          <w:rFonts w:ascii="Times New Roman" w:eastAsia="Times New Roman" w:hAnsi="Times New Roman" w:cs="Times New Roman"/>
        </w:rPr>
        <w:t xml:space="preserve">probably not </w:t>
      </w:r>
      <w:r>
        <w:rPr>
          <w:rFonts w:ascii="Times New Roman" w:eastAsia="Times New Roman" w:hAnsi="Times New Roman" w:cs="Times New Roman"/>
        </w:rPr>
        <w:lastRenderedPageBreak/>
        <w:t>as important as before</w:t>
      </w:r>
      <w:r w:rsidR="00DF3BFD">
        <w:rPr>
          <w:rFonts w:ascii="Times New Roman" w:eastAsia="Times New Roman" w:hAnsi="Times New Roman" w:cs="Times New Roman"/>
        </w:rPr>
        <w:t>”</w:t>
      </w:r>
      <w:r w:rsidR="002A64A9" w:rsidRPr="005B292F">
        <w:rPr>
          <w:rStyle w:val="FootnoteReference"/>
        </w:rPr>
        <w:footnoteReference w:id="56"/>
      </w:r>
      <w:r w:rsidR="002A64A9">
        <w:rPr>
          <w:rFonts w:ascii="Times New Roman" w:eastAsia="Times New Roman" w:hAnsi="Times New Roman" w:cs="Times New Roman"/>
        </w:rPr>
        <w:t xml:space="preserve"> in terms extent</w:t>
      </w:r>
      <w:r>
        <w:rPr>
          <w:rFonts w:ascii="Times New Roman" w:eastAsia="Times New Roman" w:hAnsi="Times New Roman" w:cs="Times New Roman"/>
        </w:rPr>
        <w:t xml:space="preserve">. When pushed on whether the lack of seizures </w:t>
      </w:r>
      <w:r w:rsidR="002A64A9">
        <w:rPr>
          <w:rFonts w:ascii="Times New Roman" w:eastAsia="Times New Roman" w:hAnsi="Times New Roman" w:cs="Times New Roman"/>
        </w:rPr>
        <w:t xml:space="preserve">undeniably equates </w:t>
      </w:r>
      <w:r>
        <w:rPr>
          <w:rFonts w:ascii="Times New Roman" w:eastAsia="Times New Roman" w:hAnsi="Times New Roman" w:cs="Times New Roman"/>
        </w:rPr>
        <w:t xml:space="preserve">to severely diminished levels of criminality, Oliver conceded that </w:t>
      </w:r>
      <w:r w:rsidR="00DF3BFD">
        <w:rPr>
          <w:rFonts w:ascii="Times New Roman" w:eastAsia="Times New Roman" w:hAnsi="Times New Roman" w:cs="Times New Roman"/>
        </w:rPr>
        <w:t>“</w:t>
      </w:r>
      <w:r>
        <w:rPr>
          <w:rFonts w:ascii="Times New Roman" w:eastAsia="Times New Roman" w:hAnsi="Times New Roman" w:cs="Times New Roman"/>
          <w:i/>
        </w:rPr>
        <w:t>maybe</w:t>
      </w:r>
      <w:r>
        <w:rPr>
          <w:rFonts w:ascii="Times New Roman" w:eastAsia="Times New Roman" w:hAnsi="Times New Roman" w:cs="Times New Roman"/>
        </w:rPr>
        <w:t xml:space="preserve"> criminals are either being clever and not getting detected and are changing their methods and it’s not getting picked up </w:t>
      </w:r>
      <w:r>
        <w:rPr>
          <w:rFonts w:ascii="Times New Roman" w:eastAsia="Times New Roman" w:hAnsi="Times New Roman" w:cs="Times New Roman"/>
          <w:i/>
        </w:rPr>
        <w:t>or</w:t>
      </w:r>
      <w:r>
        <w:rPr>
          <w:rFonts w:ascii="Times New Roman" w:eastAsia="Times New Roman" w:hAnsi="Times New Roman" w:cs="Times New Roman"/>
        </w:rPr>
        <w:t xml:space="preserve"> the trade’s not there</w:t>
      </w:r>
      <w:r w:rsidR="00DF3BFD">
        <w:rPr>
          <w:rFonts w:ascii="Times New Roman" w:eastAsia="Times New Roman" w:hAnsi="Times New Roman" w:cs="Times New Roman"/>
        </w:rPr>
        <w:t>”</w:t>
      </w:r>
      <w:r w:rsidRPr="005B292F">
        <w:rPr>
          <w:rStyle w:val="FootnoteReference"/>
        </w:rPr>
        <w:footnoteReference w:id="57"/>
      </w:r>
      <w:r>
        <w:rPr>
          <w:rFonts w:ascii="Times New Roman" w:eastAsia="Times New Roman" w:hAnsi="Times New Roman" w:cs="Times New Roman"/>
        </w:rPr>
        <w:t xml:space="preserve">. In contrast, giving </w:t>
      </w:r>
      <w:r>
        <w:rPr>
          <w:rFonts w:ascii="Times New Roman" w:eastAsia="Times New Roman" w:hAnsi="Times New Roman" w:cs="Times New Roman"/>
          <w:lang w:val="en-GB"/>
        </w:rPr>
        <w:t>a critical reflection</w:t>
      </w:r>
      <w:r>
        <w:rPr>
          <w:rFonts w:ascii="Times New Roman" w:eastAsia="Times New Roman" w:hAnsi="Times New Roman" w:cs="Times New Roman"/>
        </w:rPr>
        <w:t xml:space="preserve"> on the story that seizure data alone t</w:t>
      </w:r>
      <w:r>
        <w:rPr>
          <w:rFonts w:ascii="Times New Roman" w:eastAsia="Times New Roman" w:hAnsi="Times New Roman" w:cs="Times New Roman"/>
          <w:lang w:val="en-GB"/>
        </w:rPr>
        <w:t>ells</w:t>
      </w:r>
      <w:r>
        <w:rPr>
          <w:rFonts w:ascii="Times New Roman" w:eastAsia="Times New Roman" w:hAnsi="Times New Roman" w:cs="Times New Roman"/>
        </w:rPr>
        <w:t xml:space="preserve">, </w:t>
      </w:r>
      <w:r w:rsidR="006158FE">
        <w:rPr>
          <w:rFonts w:ascii="Times New Roman" w:eastAsia="Times New Roman" w:hAnsi="Times New Roman" w:cs="Times New Roman"/>
        </w:rPr>
        <w:t>ex-enforcement officer Michael said, “</w:t>
      </w:r>
      <w:r>
        <w:rPr>
          <w:rFonts w:ascii="Times New Roman" w:eastAsia="Times New Roman" w:hAnsi="Times New Roman" w:cs="Times New Roman"/>
        </w:rPr>
        <w:t>I think if you looked at current statistics, I think they would probably suggest that not a lot is happening. But from a sort of criminology point of view if you like, that doesn’t make sense</w:t>
      </w:r>
      <w:r w:rsidR="006158FE">
        <w:rPr>
          <w:rFonts w:ascii="Times New Roman" w:eastAsia="Times New Roman" w:hAnsi="Times New Roman" w:cs="Times New Roman"/>
        </w:rPr>
        <w:t>”</w:t>
      </w:r>
      <w:r w:rsidRPr="005B292F">
        <w:rPr>
          <w:rStyle w:val="FootnoteReference"/>
        </w:rPr>
        <w:footnoteReference w:id="58"/>
      </w:r>
      <w:r>
        <w:rPr>
          <w:rFonts w:ascii="Times New Roman" w:eastAsia="Times New Roman" w:hAnsi="Times New Roman" w:cs="Times New Roman"/>
        </w:rPr>
        <w:t>.</w:t>
      </w:r>
    </w:p>
    <w:p w14:paraId="60899FB9" w14:textId="713FC234" w:rsidR="00AC10E7" w:rsidRDefault="00AC10E7" w:rsidP="0025452A">
      <w:pPr>
        <w:pStyle w:val="Normal1"/>
        <w:spacing w:after="160" w:line="360" w:lineRule="auto"/>
        <w:jc w:val="both"/>
        <w:rPr>
          <w:rFonts w:ascii="Times New Roman" w:eastAsia="Times New Roman" w:hAnsi="Times New Roman" w:cs="Times New Roman"/>
        </w:rPr>
      </w:pPr>
      <w:r>
        <w:rPr>
          <w:rFonts w:ascii="Times New Roman" w:eastAsia="Times New Roman" w:hAnsi="Times New Roman" w:cs="Times New Roman"/>
        </w:rPr>
        <w:tab/>
        <w:t xml:space="preserve">In what follows, I explore Michael’s hypothesis that there is likely to be more going on below the surface of the seizure data. In fact, </w:t>
      </w:r>
      <w:r>
        <w:rPr>
          <w:rFonts w:ascii="Times New Roman" w:eastAsia="Times New Roman" w:hAnsi="Times New Roman" w:cs="Times New Roman"/>
          <w:lang w:val="en-GB"/>
        </w:rPr>
        <w:t>I argue</w:t>
      </w:r>
      <w:r>
        <w:rPr>
          <w:rFonts w:ascii="Times New Roman" w:eastAsia="Times New Roman" w:hAnsi="Times New Roman" w:cs="Times New Roman"/>
        </w:rPr>
        <w:t xml:space="preserve"> that in the case of illegal caviar trade in the EU, raw seizure data is mobilised in a</w:t>
      </w:r>
      <w:r>
        <w:rPr>
          <w:rFonts w:ascii="Times New Roman" w:eastAsia="Times New Roman" w:hAnsi="Times New Roman" w:cs="Times New Roman"/>
          <w:lang w:val="en-GB"/>
        </w:rPr>
        <w:t xml:space="preserve">n </w:t>
      </w:r>
      <w:r>
        <w:rPr>
          <w:rFonts w:ascii="Times New Roman" w:eastAsia="Times New Roman" w:hAnsi="Times New Roman" w:cs="Times New Roman"/>
        </w:rPr>
        <w:t xml:space="preserve">uncritical manner, which presents a narrow picture about the impacts of CITES Resolution Conf 12.7 in the European Union. This narrow view centres around seizure data </w:t>
      </w:r>
      <w:r w:rsidRPr="00CE5D7C">
        <w:rPr>
          <w:rFonts w:ascii="Times New Roman" w:eastAsia="Times New Roman" w:hAnsi="Times New Roman" w:cs="Times New Roman"/>
        </w:rPr>
        <w:t xml:space="preserve">and its purported links with criminality; and has the potential to powerfully shape political priorities and the allocation of resources, whilst </w:t>
      </w:r>
      <w:r w:rsidR="006158FE">
        <w:rPr>
          <w:rFonts w:ascii="Times New Roman" w:eastAsia="Times New Roman" w:hAnsi="Times New Roman" w:cs="Times New Roman"/>
        </w:rPr>
        <w:t>overlooking other hidden implications arising from the implementation of</w:t>
      </w:r>
      <w:r w:rsidRPr="00CE5D7C">
        <w:rPr>
          <w:rFonts w:ascii="Times New Roman" w:eastAsia="Times New Roman" w:hAnsi="Times New Roman" w:cs="Times New Roman"/>
        </w:rPr>
        <w:t xml:space="preserve"> CITES Resolution Conf 12.7 in the EU</w:t>
      </w:r>
      <w:r>
        <w:rPr>
          <w:rFonts w:ascii="Times New Roman" w:eastAsia="Times New Roman" w:hAnsi="Times New Roman" w:cs="Times New Roman"/>
          <w:lang w:val="en-GB"/>
        </w:rPr>
        <w:t xml:space="preserve">. </w:t>
      </w:r>
      <w:r w:rsidR="006158FE">
        <w:rPr>
          <w:rFonts w:ascii="Times New Roman" w:eastAsia="Times New Roman" w:hAnsi="Times New Roman" w:cs="Times New Roman"/>
        </w:rPr>
        <w:t>As a result, what Yvar calls a “political reality”</w:t>
      </w:r>
      <w:r w:rsidRPr="005B292F">
        <w:rPr>
          <w:rStyle w:val="FootnoteReference"/>
        </w:rPr>
        <w:footnoteReference w:id="59"/>
      </w:r>
      <w:r>
        <w:rPr>
          <w:rFonts w:ascii="Times New Roman" w:eastAsia="Times New Roman" w:hAnsi="Times New Roman" w:cs="Times New Roman"/>
        </w:rPr>
        <w:t xml:space="preserve"> is constructed</w:t>
      </w:r>
      <w:r w:rsidR="006158FE">
        <w:rPr>
          <w:rFonts w:ascii="Times New Roman" w:eastAsia="Times New Roman" w:hAnsi="Times New Roman" w:cs="Times New Roman"/>
        </w:rPr>
        <w:t>,</w:t>
      </w:r>
      <w:r>
        <w:rPr>
          <w:rFonts w:ascii="Times New Roman" w:eastAsia="Times New Roman" w:hAnsi="Times New Roman" w:cs="Times New Roman"/>
        </w:rPr>
        <w:t xml:space="preserve"> in which EU</w:t>
      </w:r>
      <w:r>
        <w:rPr>
          <w:rFonts w:ascii="Times New Roman" w:eastAsia="Times New Roman" w:hAnsi="Times New Roman" w:cs="Times New Roman"/>
          <w:lang w:val="en-GB"/>
        </w:rPr>
        <w:t xml:space="preserve"> institutions</w:t>
      </w:r>
      <w:r>
        <w:rPr>
          <w:rFonts w:ascii="Times New Roman" w:eastAsia="Times New Roman" w:hAnsi="Times New Roman" w:cs="Times New Roman"/>
        </w:rPr>
        <w:t xml:space="preserve">, EU Member State government’s and enforcement bodies are presented as being in control of the illegal caviar trade situation in the EU. On the contrary, I </w:t>
      </w:r>
      <w:r w:rsidR="002A64A9">
        <w:rPr>
          <w:rFonts w:ascii="Times New Roman" w:eastAsia="Times New Roman" w:hAnsi="Times New Roman" w:cs="Times New Roman"/>
        </w:rPr>
        <w:t>argue that</w:t>
      </w:r>
      <w:r>
        <w:rPr>
          <w:rFonts w:ascii="Times New Roman" w:eastAsia="Times New Roman" w:hAnsi="Times New Roman" w:cs="Times New Roman"/>
        </w:rPr>
        <w:t xml:space="preserve"> seizure data cannot be taken at face value as an indication that illegal caviar trade is no longer a significant problem in the EU. In what follows, I critically analyse and </w:t>
      </w:r>
      <w:r w:rsidR="002A64A9">
        <w:rPr>
          <w:rFonts w:ascii="Times New Roman" w:eastAsia="Times New Roman" w:hAnsi="Times New Roman" w:cs="Times New Roman"/>
        </w:rPr>
        <w:t>re-</w:t>
      </w:r>
      <w:r>
        <w:rPr>
          <w:rFonts w:ascii="Times New Roman" w:eastAsia="Times New Roman" w:hAnsi="Times New Roman" w:cs="Times New Roman"/>
        </w:rPr>
        <w:t>contextualise the seiz</w:t>
      </w:r>
      <w:r w:rsidR="006158FE">
        <w:rPr>
          <w:rFonts w:ascii="Times New Roman" w:eastAsia="Times New Roman" w:hAnsi="Times New Roman" w:cs="Times New Roman"/>
        </w:rPr>
        <w:t xml:space="preserve">ure data in order to highlight gaps and grey areas </w:t>
      </w:r>
      <w:r>
        <w:rPr>
          <w:rFonts w:ascii="Times New Roman" w:eastAsia="Times New Roman" w:hAnsi="Times New Roman" w:cs="Times New Roman"/>
        </w:rPr>
        <w:t>in the</w:t>
      </w:r>
      <w:r w:rsidR="002A64A9">
        <w:rPr>
          <w:rFonts w:ascii="Times New Roman" w:eastAsia="Times New Roman" w:hAnsi="Times New Roman" w:cs="Times New Roman"/>
        </w:rPr>
        <w:t>se</w:t>
      </w:r>
      <w:r>
        <w:rPr>
          <w:rFonts w:ascii="Times New Roman" w:eastAsia="Times New Roman" w:hAnsi="Times New Roman" w:cs="Times New Roman"/>
        </w:rPr>
        <w:t xml:space="preserve"> data, </w:t>
      </w:r>
      <w:r w:rsidR="002A64A9">
        <w:rPr>
          <w:rFonts w:ascii="Times New Roman" w:eastAsia="Times New Roman" w:hAnsi="Times New Roman" w:cs="Times New Roman"/>
        </w:rPr>
        <w:t xml:space="preserve">and thereby critique using such </w:t>
      </w:r>
      <w:r>
        <w:rPr>
          <w:rFonts w:ascii="Times New Roman" w:eastAsia="Times New Roman" w:hAnsi="Times New Roman" w:cs="Times New Roman"/>
        </w:rPr>
        <w:t>dat</w:t>
      </w:r>
      <w:r w:rsidR="00B45155">
        <w:rPr>
          <w:rFonts w:ascii="Times New Roman" w:eastAsia="Times New Roman" w:hAnsi="Times New Roman" w:cs="Times New Roman"/>
        </w:rPr>
        <w:t>a to guide political priorities.</w:t>
      </w:r>
    </w:p>
    <w:p w14:paraId="453D0789" w14:textId="77777777" w:rsidR="002A64A9" w:rsidRDefault="002A64A9" w:rsidP="00AC10E7">
      <w:pPr>
        <w:pStyle w:val="Normal1"/>
        <w:spacing w:line="360" w:lineRule="auto"/>
        <w:jc w:val="both"/>
        <w:rPr>
          <w:rFonts w:ascii="Times New Roman" w:eastAsia="Times New Roman" w:hAnsi="Times New Roman" w:cs="Times New Roman"/>
        </w:rPr>
      </w:pPr>
    </w:p>
    <w:p w14:paraId="1AC15958" w14:textId="41B33620" w:rsidR="00AC10E7" w:rsidRDefault="00810504" w:rsidP="00810504">
      <w:pPr>
        <w:pStyle w:val="Heading3"/>
      </w:pPr>
      <w:bookmarkStart w:id="55" w:name="_Toc453224217"/>
      <w:r>
        <w:t>4</w:t>
      </w:r>
      <w:r w:rsidR="00AC10E7">
        <w:t>.3.2 Deconstructing seizure data</w:t>
      </w:r>
      <w:bookmarkEnd w:id="55"/>
      <w:r w:rsidR="00AC10E7">
        <w:t xml:space="preserve"> </w:t>
      </w:r>
    </w:p>
    <w:p w14:paraId="51D55874" w14:textId="77777777" w:rsidR="00094134" w:rsidRDefault="00094134" w:rsidP="00AC10E7">
      <w:pPr>
        <w:pStyle w:val="Normal1"/>
        <w:spacing w:line="360" w:lineRule="auto"/>
        <w:jc w:val="both"/>
        <w:rPr>
          <w:rFonts w:ascii="Times New Roman" w:eastAsia="Times New Roman" w:hAnsi="Times New Roman" w:cs="Times New Roman"/>
        </w:rPr>
      </w:pPr>
      <w:r>
        <w:rPr>
          <w:rFonts w:ascii="Times New Roman" w:eastAsia="Times New Roman" w:hAnsi="Times New Roman" w:cs="Times New Roman"/>
        </w:rPr>
        <w:t>S</w:t>
      </w:r>
      <w:r w:rsidR="00AC10E7">
        <w:rPr>
          <w:rFonts w:ascii="Times New Roman" w:eastAsia="Times New Roman" w:hAnsi="Times New Roman" w:cs="Times New Roman"/>
        </w:rPr>
        <w:t xml:space="preserve">peaking </w:t>
      </w:r>
      <w:r>
        <w:rPr>
          <w:rFonts w:ascii="Times New Roman" w:eastAsia="Times New Roman" w:hAnsi="Times New Roman" w:cs="Times New Roman"/>
        </w:rPr>
        <w:t xml:space="preserve">about the issue of illegal caviar trade at the </w:t>
      </w:r>
      <w:r w:rsidR="00AC10E7">
        <w:rPr>
          <w:rFonts w:ascii="Times New Roman" w:eastAsia="Times New Roman" w:hAnsi="Times New Roman" w:cs="Times New Roman"/>
        </w:rPr>
        <w:t>8th International Symposi</w:t>
      </w:r>
      <w:r>
        <w:rPr>
          <w:rFonts w:ascii="Times New Roman" w:eastAsia="Times New Roman" w:hAnsi="Times New Roman" w:cs="Times New Roman"/>
        </w:rPr>
        <w:t xml:space="preserve">um on Sturgeon (ISS8) in Vienna, a representative of WWF-International </w:t>
      </w:r>
      <w:r w:rsidR="00C70392">
        <w:rPr>
          <w:rFonts w:ascii="Times New Roman" w:eastAsia="Times New Roman" w:hAnsi="Times New Roman" w:cs="Times New Roman"/>
        </w:rPr>
        <w:t>explained that there is a “</w:t>
      </w:r>
      <w:r w:rsidR="00AC10E7">
        <w:rPr>
          <w:rFonts w:ascii="Times New Roman" w:eastAsia="Times New Roman" w:hAnsi="Times New Roman" w:cs="Times New Roman"/>
        </w:rPr>
        <w:t>widespread perception that</w:t>
      </w:r>
      <w:r w:rsidR="00C70392">
        <w:rPr>
          <w:rFonts w:ascii="Times New Roman" w:eastAsia="Times New Roman" w:hAnsi="Times New Roman" w:cs="Times New Roman"/>
        </w:rPr>
        <w:t xml:space="preserve"> the problem is largely sorted”,</w:t>
      </w:r>
      <w:r w:rsidR="00AC10E7">
        <w:rPr>
          <w:rFonts w:ascii="Times New Roman" w:eastAsia="Times New Roman" w:hAnsi="Times New Roman" w:cs="Times New Roman"/>
        </w:rPr>
        <w:t xml:space="preserve"> but he urged that the</w:t>
      </w:r>
      <w:r w:rsidR="00C70392">
        <w:rPr>
          <w:rFonts w:ascii="Times New Roman" w:eastAsia="Times New Roman" w:hAnsi="Times New Roman" w:cs="Times New Roman"/>
        </w:rPr>
        <w:t xml:space="preserve"> diverse audience of attendees “</w:t>
      </w:r>
      <w:r w:rsidR="00AC10E7">
        <w:rPr>
          <w:rFonts w:ascii="Times New Roman" w:eastAsia="Times New Roman" w:hAnsi="Times New Roman" w:cs="Times New Roman"/>
        </w:rPr>
        <w:t>don’t accept that</w:t>
      </w:r>
      <w:r w:rsidR="00C70392">
        <w:rPr>
          <w:rFonts w:ascii="Times New Roman" w:eastAsia="Times New Roman" w:hAnsi="Times New Roman" w:cs="Times New Roman"/>
        </w:rPr>
        <w:t>”</w:t>
      </w:r>
      <w:r w:rsidR="00AC10E7" w:rsidRPr="005B292F">
        <w:rPr>
          <w:rStyle w:val="FootnoteReference"/>
        </w:rPr>
        <w:footnoteReference w:id="60"/>
      </w:r>
      <w:r w:rsidR="00AC10E7">
        <w:rPr>
          <w:rFonts w:ascii="Times New Roman" w:eastAsia="Times New Roman" w:hAnsi="Times New Roman" w:cs="Times New Roman"/>
        </w:rPr>
        <w:t xml:space="preserve">. On </w:t>
      </w:r>
      <w:r w:rsidR="00047DA8">
        <w:rPr>
          <w:rFonts w:ascii="Times New Roman" w:eastAsia="Times New Roman" w:hAnsi="Times New Roman" w:cs="Times New Roman"/>
        </w:rPr>
        <w:t>the contrary, he stressed that “</w:t>
      </w:r>
      <w:r w:rsidR="00AC10E7">
        <w:rPr>
          <w:rFonts w:ascii="Times New Roman" w:eastAsia="Times New Roman" w:hAnsi="Times New Roman" w:cs="Times New Roman"/>
        </w:rPr>
        <w:t>significant poaching problems still exist, and it is even worse [in volume] in some instances than</w:t>
      </w:r>
      <w:r w:rsidR="00047DA8">
        <w:rPr>
          <w:rFonts w:ascii="Times New Roman" w:eastAsia="Times New Roman" w:hAnsi="Times New Roman" w:cs="Times New Roman"/>
        </w:rPr>
        <w:t xml:space="preserve"> legal trade in the last decade”</w:t>
      </w:r>
      <w:r w:rsidR="00AC10E7">
        <w:rPr>
          <w:rFonts w:ascii="Times New Roman" w:eastAsia="Times New Roman" w:hAnsi="Times New Roman" w:cs="Times New Roman"/>
        </w:rPr>
        <w:t>.</w:t>
      </w:r>
      <w:r w:rsidR="00AC10E7">
        <w:rPr>
          <w:rFonts w:ascii="Times New Roman" w:eastAsia="Times New Roman" w:hAnsi="Times New Roman" w:cs="Times New Roman"/>
          <w:lang w:val="en-GB"/>
        </w:rPr>
        <w:t xml:space="preserve"> </w:t>
      </w:r>
      <w:r w:rsidR="00AC10E7" w:rsidRPr="003C14F0">
        <w:rPr>
          <w:rFonts w:ascii="Times New Roman" w:eastAsia="Times New Roman" w:hAnsi="Times New Roman" w:cs="Times New Roman"/>
        </w:rPr>
        <w:t xml:space="preserve">This stance seems at odds with the above conclusions that suggest illegal caviar trade has declined enormously over the last decade, when extrapolated from seizure statistics. </w:t>
      </w:r>
    </w:p>
    <w:p w14:paraId="068D5658" w14:textId="12278FA0" w:rsidR="00AC10E7" w:rsidRPr="00094134" w:rsidRDefault="00047DA8" w:rsidP="0025452A">
      <w:pPr>
        <w:pStyle w:val="Normal1"/>
        <w:spacing w:after="160" w:line="360" w:lineRule="auto"/>
        <w:ind w:firstLine="720"/>
        <w:jc w:val="both"/>
        <w:rPr>
          <w:rFonts w:ascii="Times New Roman" w:eastAsia="Times New Roman" w:hAnsi="Times New Roman" w:cs="Times New Roman"/>
        </w:rPr>
      </w:pPr>
      <w:r>
        <w:rPr>
          <w:rFonts w:ascii="Times New Roman" w:eastAsia="Times New Roman" w:hAnsi="Times New Roman" w:cs="Times New Roman"/>
        </w:rPr>
        <w:lastRenderedPageBreak/>
        <w:t xml:space="preserve">The </w:t>
      </w:r>
      <w:r w:rsidR="00AC10E7" w:rsidRPr="003C14F0">
        <w:rPr>
          <w:rFonts w:ascii="Times New Roman" w:eastAsia="Times New Roman" w:hAnsi="Times New Roman" w:cs="Times New Roman"/>
        </w:rPr>
        <w:t xml:space="preserve">apparent contradiction </w:t>
      </w:r>
      <w:r>
        <w:rPr>
          <w:rFonts w:ascii="Times New Roman" w:eastAsia="Times New Roman" w:hAnsi="Times New Roman" w:cs="Times New Roman"/>
        </w:rPr>
        <w:t xml:space="preserve">is rooted in the fact that </w:t>
      </w:r>
      <w:r w:rsidR="00AC10E7" w:rsidRPr="003C14F0">
        <w:rPr>
          <w:rFonts w:ascii="Times New Roman" w:eastAsia="Times New Roman" w:hAnsi="Times New Roman" w:cs="Times New Roman"/>
        </w:rPr>
        <w:t>seizure data is partial and cannot fully account for dynamics such as poaching levels</w:t>
      </w:r>
      <w:r>
        <w:rPr>
          <w:rFonts w:ascii="Times New Roman" w:eastAsia="Times New Roman" w:hAnsi="Times New Roman" w:cs="Times New Roman"/>
        </w:rPr>
        <w:t xml:space="preserve"> in sturgeon range states</w:t>
      </w:r>
      <w:r w:rsidR="00AC10E7" w:rsidRPr="003C14F0">
        <w:rPr>
          <w:rFonts w:ascii="Times New Roman" w:eastAsia="Times New Roman" w:hAnsi="Times New Roman" w:cs="Times New Roman"/>
        </w:rPr>
        <w:t>.</w:t>
      </w:r>
      <w:r w:rsidR="00AC10E7">
        <w:rPr>
          <w:rFonts w:ascii="Times New Roman" w:eastAsia="Times New Roman" w:hAnsi="Times New Roman" w:cs="Times New Roman"/>
          <w:lang w:val="en-GB"/>
        </w:rPr>
        <w:t xml:space="preserve"> </w:t>
      </w:r>
      <w:r w:rsidR="00AC10E7">
        <w:rPr>
          <w:rFonts w:ascii="Times New Roman" w:eastAsia="Times New Roman" w:hAnsi="Times New Roman" w:cs="Times New Roman"/>
        </w:rPr>
        <w:t xml:space="preserve">As such, the WWF representative maintained that it is necessary to continue to challenge the </w:t>
      </w:r>
      <w:r w:rsidR="00094134">
        <w:rPr>
          <w:rFonts w:ascii="Times New Roman" w:eastAsia="Times New Roman" w:hAnsi="Times New Roman" w:cs="Times New Roman"/>
        </w:rPr>
        <w:t>dominant</w:t>
      </w:r>
      <w:r>
        <w:rPr>
          <w:rFonts w:ascii="Times New Roman" w:eastAsia="Times New Roman" w:hAnsi="Times New Roman" w:cs="Times New Roman"/>
        </w:rPr>
        <w:t xml:space="preserve"> narratives</w:t>
      </w:r>
      <w:r w:rsidR="00AC10E7">
        <w:rPr>
          <w:rFonts w:ascii="Times New Roman" w:eastAsia="Times New Roman" w:hAnsi="Times New Roman" w:cs="Times New Roman"/>
        </w:rPr>
        <w:t xml:space="preserve"> based upon seizure data, even if they are becoming increasingly entrenched. For example, he explained how even UNODC had initially suggested in draft versions of the 2016 World Wildlife Crime report that the regulation of caviar trade had been a ‘success story’, before the peer reviewers unequivo</w:t>
      </w:r>
      <w:r>
        <w:rPr>
          <w:rFonts w:ascii="Times New Roman" w:eastAsia="Times New Roman" w:hAnsi="Times New Roman" w:cs="Times New Roman"/>
        </w:rPr>
        <w:t>cally challenged this and said “</w:t>
      </w:r>
      <w:r w:rsidR="00AC10E7">
        <w:rPr>
          <w:rFonts w:ascii="Times New Roman" w:eastAsia="Times New Roman" w:hAnsi="Times New Roman" w:cs="Times New Roman"/>
        </w:rPr>
        <w:t>no way! It’s a tragedy</w:t>
      </w:r>
      <w:r>
        <w:rPr>
          <w:rFonts w:ascii="Times New Roman" w:eastAsia="Times New Roman" w:hAnsi="Times New Roman" w:cs="Times New Roman"/>
        </w:rPr>
        <w:t>”</w:t>
      </w:r>
      <w:r w:rsidR="00AC10E7" w:rsidRPr="005B292F">
        <w:rPr>
          <w:rStyle w:val="FootnoteReference"/>
        </w:rPr>
        <w:footnoteReference w:id="61"/>
      </w:r>
      <w:r w:rsidR="00AC10E7">
        <w:rPr>
          <w:rFonts w:ascii="Times New Roman" w:eastAsia="Times New Roman" w:hAnsi="Times New Roman" w:cs="Times New Roman"/>
        </w:rPr>
        <w:t xml:space="preserve">. As a result, the </w:t>
      </w:r>
      <w:r w:rsidR="00094134">
        <w:rPr>
          <w:rFonts w:ascii="Times New Roman" w:eastAsia="Times New Roman" w:hAnsi="Times New Roman" w:cs="Times New Roman"/>
        </w:rPr>
        <w:t xml:space="preserve">report’s </w:t>
      </w:r>
      <w:r w:rsidR="00AC10E7">
        <w:rPr>
          <w:rFonts w:ascii="Times New Roman" w:eastAsia="Times New Roman" w:hAnsi="Times New Roman" w:cs="Times New Roman"/>
        </w:rPr>
        <w:t>final</w:t>
      </w:r>
      <w:r w:rsidR="00094134">
        <w:rPr>
          <w:rFonts w:ascii="Times New Roman" w:eastAsia="Times New Roman" w:hAnsi="Times New Roman" w:cs="Times New Roman"/>
        </w:rPr>
        <w:t>ised</w:t>
      </w:r>
      <w:r w:rsidR="00AC10E7">
        <w:rPr>
          <w:rFonts w:ascii="Times New Roman" w:eastAsia="Times New Roman" w:hAnsi="Times New Roman" w:cs="Times New Roman"/>
        </w:rPr>
        <w:t xml:space="preserve"> caviar case study is more measured in its conclusions. Similarly, </w:t>
      </w:r>
      <w:r w:rsidR="00094134">
        <w:rPr>
          <w:rFonts w:ascii="Times New Roman" w:eastAsia="Times New Roman" w:hAnsi="Times New Roman" w:cs="Times New Roman"/>
        </w:rPr>
        <w:t xml:space="preserve">NGO project manager </w:t>
      </w:r>
      <w:r w:rsidR="00AC10E7">
        <w:rPr>
          <w:rFonts w:ascii="Times New Roman" w:eastAsia="Times New Roman" w:hAnsi="Times New Roman" w:cs="Times New Roman"/>
        </w:rPr>
        <w:t xml:space="preserve">Sigrid, </w:t>
      </w:r>
      <w:r>
        <w:rPr>
          <w:rFonts w:ascii="Times New Roman" w:eastAsia="Times New Roman" w:hAnsi="Times New Roman" w:cs="Times New Roman"/>
        </w:rPr>
        <w:t>acknowledged the “</w:t>
      </w:r>
      <w:r w:rsidR="00AC10E7">
        <w:rPr>
          <w:rFonts w:ascii="Times New Roman" w:eastAsia="Times New Roman" w:hAnsi="Times New Roman" w:cs="Times New Roman"/>
        </w:rPr>
        <w:t>widespread belief that the</w:t>
      </w:r>
      <w:r>
        <w:rPr>
          <w:rFonts w:ascii="Times New Roman" w:eastAsia="Times New Roman" w:hAnsi="Times New Roman" w:cs="Times New Roman"/>
        </w:rPr>
        <w:t xml:space="preserve"> caviar trade is under control”, primarily “</w:t>
      </w:r>
      <w:r w:rsidR="00AC10E7">
        <w:rPr>
          <w:rFonts w:ascii="Times New Roman" w:eastAsia="Times New Roman" w:hAnsi="Times New Roman" w:cs="Times New Roman"/>
        </w:rPr>
        <w:t>because seizures have decreased a lot</w:t>
      </w:r>
      <w:r>
        <w:rPr>
          <w:rFonts w:ascii="Times New Roman" w:eastAsia="Times New Roman" w:hAnsi="Times New Roman" w:cs="Times New Roman"/>
        </w:rPr>
        <w:t>”</w:t>
      </w:r>
      <w:r w:rsidR="00AC10E7" w:rsidRPr="005B292F">
        <w:rPr>
          <w:rStyle w:val="FootnoteReference"/>
        </w:rPr>
        <w:footnoteReference w:id="62"/>
      </w:r>
      <w:r>
        <w:rPr>
          <w:rFonts w:ascii="Times New Roman" w:eastAsia="Times New Roman" w:hAnsi="Times New Roman" w:cs="Times New Roman"/>
        </w:rPr>
        <w:t>. But she stressed that it is “</w:t>
      </w:r>
      <w:r w:rsidR="00AC10E7">
        <w:rPr>
          <w:rFonts w:ascii="Times New Roman" w:eastAsia="Times New Roman" w:hAnsi="Times New Roman" w:cs="Times New Roman"/>
        </w:rPr>
        <w:t>not the case that the caviar trade is under cont</w:t>
      </w:r>
      <w:r>
        <w:rPr>
          <w:rFonts w:ascii="Times New Roman" w:eastAsia="Times New Roman" w:hAnsi="Times New Roman" w:cs="Times New Roman"/>
        </w:rPr>
        <w:t>rol”, and that actually “</w:t>
      </w:r>
      <w:r w:rsidR="00AC10E7">
        <w:rPr>
          <w:rFonts w:ascii="Times New Roman" w:eastAsia="Times New Roman" w:hAnsi="Times New Roman" w:cs="Times New Roman"/>
        </w:rPr>
        <w:t>seizure data doesn’t say enough of the actual picture</w:t>
      </w:r>
      <w:r>
        <w:rPr>
          <w:rFonts w:ascii="Times New Roman" w:eastAsia="Times New Roman" w:hAnsi="Times New Roman" w:cs="Times New Roman"/>
        </w:rPr>
        <w:t>”</w:t>
      </w:r>
      <w:r w:rsidR="00AC10E7" w:rsidRPr="005B292F">
        <w:rPr>
          <w:rStyle w:val="FootnoteReference"/>
        </w:rPr>
        <w:footnoteReference w:id="63"/>
      </w:r>
      <w:r w:rsidR="00AC10E7">
        <w:rPr>
          <w:rFonts w:ascii="Times New Roman" w:eastAsia="Times New Roman" w:hAnsi="Times New Roman" w:cs="Times New Roman"/>
        </w:rPr>
        <w:t xml:space="preserve">. Building upon this, I argue that seizure data does not tell ‘enough of the actual picture’ regarding the impact of regulations, </w:t>
      </w:r>
      <w:r w:rsidR="00AC10E7" w:rsidRPr="003C14F0">
        <w:rPr>
          <w:rFonts w:ascii="Times New Roman" w:eastAsia="Times New Roman" w:hAnsi="Times New Roman" w:cs="Times New Roman"/>
        </w:rPr>
        <w:t>because th</w:t>
      </w:r>
      <w:r w:rsidR="00AC10E7">
        <w:rPr>
          <w:rFonts w:ascii="Times New Roman" w:eastAsia="Times New Roman" w:hAnsi="Times New Roman" w:cs="Times New Roman"/>
        </w:rPr>
        <w:t>ese data are inherently flawed</w:t>
      </w:r>
      <w:r w:rsidR="00AC10E7">
        <w:rPr>
          <w:rFonts w:ascii="Times New Roman" w:eastAsia="Times New Roman" w:hAnsi="Times New Roman" w:cs="Times New Roman"/>
          <w:lang w:val="en-GB"/>
        </w:rPr>
        <w:t xml:space="preserve"> </w:t>
      </w:r>
      <w:r w:rsidR="00AC10E7" w:rsidRPr="003C14F0">
        <w:rPr>
          <w:rFonts w:ascii="Times New Roman" w:eastAsia="Times New Roman" w:hAnsi="Times New Roman" w:cs="Times New Roman"/>
        </w:rPr>
        <w:t>and simplify reality in a particularly depoliticised way.</w:t>
      </w:r>
      <w:r w:rsidR="00AC10E7">
        <w:rPr>
          <w:rFonts w:ascii="Times New Roman" w:eastAsia="Times New Roman" w:hAnsi="Times New Roman" w:cs="Times New Roman"/>
          <w:lang w:val="en-GB"/>
        </w:rPr>
        <w:t xml:space="preserve"> As such, caviar seizures in the EU should not be used as a proxy for</w:t>
      </w:r>
      <w:r>
        <w:rPr>
          <w:rFonts w:ascii="Times New Roman" w:eastAsia="Times New Roman" w:hAnsi="Times New Roman" w:cs="Times New Roman"/>
          <w:lang w:val="en-GB"/>
        </w:rPr>
        <w:t xml:space="preserve"> criminality when</w:t>
      </w:r>
      <w:r w:rsidR="00AC10E7">
        <w:rPr>
          <w:rFonts w:ascii="Times New Roman" w:eastAsia="Times New Roman" w:hAnsi="Times New Roman" w:cs="Times New Roman"/>
          <w:lang w:val="en-GB"/>
        </w:rPr>
        <w:t xml:space="preserve"> making conclusions about the extent of illegal caviar trade. </w:t>
      </w:r>
    </w:p>
    <w:p w14:paraId="300E97CD" w14:textId="3AE27375" w:rsidR="00BD0F28" w:rsidRPr="00BD0F28" w:rsidRDefault="00AC10E7" w:rsidP="0025452A">
      <w:pPr>
        <w:pStyle w:val="Normal1"/>
        <w:spacing w:after="160" w:line="360" w:lineRule="auto"/>
        <w:jc w:val="both"/>
        <w:rPr>
          <w:rStyle w:val="QuoteChar"/>
          <w:rFonts w:eastAsia="Times New Roman" w:cs="Times New Roman"/>
          <w:iCs w:val="0"/>
          <w:lang w:eastAsia="en-US"/>
        </w:rPr>
      </w:pPr>
      <w:r>
        <w:rPr>
          <w:rFonts w:ascii="Times New Roman" w:eastAsia="Times New Roman" w:hAnsi="Times New Roman" w:cs="Times New Roman"/>
        </w:rPr>
        <w:tab/>
        <w:t xml:space="preserve">Yvar, an academic who has undertaken extensive research on the illegal caviar trade, was similarly critical of the mobilisation of seizure data. He stressed the importance of challenging the discourses that rely on seizure data alone to make the case that </w:t>
      </w:r>
      <w:r>
        <w:rPr>
          <w:rFonts w:ascii="Times New Roman" w:eastAsia="Times New Roman" w:hAnsi="Times New Roman" w:cs="Times New Roman"/>
          <w:lang w:val="en-GB"/>
        </w:rPr>
        <w:t xml:space="preserve">EU </w:t>
      </w:r>
      <w:r>
        <w:rPr>
          <w:rFonts w:ascii="Times New Roman" w:eastAsia="Times New Roman" w:hAnsi="Times New Roman" w:cs="Times New Roman"/>
        </w:rPr>
        <w:t>caviar trade regulations have been effective in preventing illegal caviar trade.</w:t>
      </w:r>
      <w:r>
        <w:rPr>
          <w:rFonts w:ascii="Times New Roman" w:eastAsia="Times New Roman" w:hAnsi="Times New Roman" w:cs="Times New Roman"/>
          <w:lang w:val="en-GB"/>
        </w:rPr>
        <w:t xml:space="preserve"> </w:t>
      </w:r>
      <w:r>
        <w:rPr>
          <w:rFonts w:ascii="Times New Roman" w:eastAsia="Times New Roman" w:hAnsi="Times New Roman" w:cs="Times New Roman"/>
        </w:rPr>
        <w:t>Yvar criticised the manner in which stat</w:t>
      </w:r>
      <w:r w:rsidR="00047DA8">
        <w:rPr>
          <w:rFonts w:ascii="Times New Roman" w:eastAsia="Times New Roman" w:hAnsi="Times New Roman" w:cs="Times New Roman"/>
        </w:rPr>
        <w:t>es and the EU use seizure data “</w:t>
      </w:r>
      <w:r>
        <w:rPr>
          <w:rFonts w:ascii="Times New Roman" w:eastAsia="Times New Roman" w:hAnsi="Times New Roman" w:cs="Times New Roman"/>
        </w:rPr>
        <w:t>to argue what kind of</w:t>
      </w:r>
      <w:r w:rsidR="00047DA8">
        <w:rPr>
          <w:rFonts w:ascii="Times New Roman" w:eastAsia="Times New Roman" w:hAnsi="Times New Roman" w:cs="Times New Roman"/>
        </w:rPr>
        <w:t xml:space="preserve"> political priorities they have”, describing these actions as “ridiculous” and arguing that “</w:t>
      </w:r>
      <w:r>
        <w:rPr>
          <w:rFonts w:ascii="Times New Roman" w:eastAsia="Times New Roman" w:hAnsi="Times New Roman" w:cs="Times New Roman"/>
        </w:rPr>
        <w:t>numbers play too much value in society in this sense</w:t>
      </w:r>
      <w:r w:rsidR="00047DA8">
        <w:rPr>
          <w:rFonts w:ascii="Times New Roman" w:eastAsia="Times New Roman" w:hAnsi="Times New Roman" w:cs="Times New Roman"/>
        </w:rPr>
        <w:t>”</w:t>
      </w:r>
      <w:r w:rsidRPr="005B292F">
        <w:rPr>
          <w:rStyle w:val="FootnoteReference"/>
        </w:rPr>
        <w:footnoteReference w:id="64"/>
      </w:r>
      <w:r>
        <w:rPr>
          <w:rFonts w:ascii="Times New Roman" w:eastAsia="Times New Roman" w:hAnsi="Times New Roman" w:cs="Times New Roman"/>
        </w:rPr>
        <w:t>. Moreover, Yvar argued that</w:t>
      </w:r>
      <w:r w:rsidR="00CA027B">
        <w:rPr>
          <w:rFonts w:ascii="Times New Roman" w:eastAsia="Times New Roman" w:hAnsi="Times New Roman" w:cs="Times New Roman"/>
        </w:rPr>
        <w:t>:</w:t>
      </w:r>
    </w:p>
    <w:p w14:paraId="57E41B71" w14:textId="7F84BDA0" w:rsidR="0025452A" w:rsidRPr="0025452A" w:rsidRDefault="00CA027B" w:rsidP="00FC70E0">
      <w:pPr>
        <w:pStyle w:val="Quote"/>
      </w:pPr>
      <w:r>
        <w:t>A</w:t>
      </w:r>
      <w:r w:rsidR="00AC10E7" w:rsidRPr="00CA027B">
        <w:t xml:space="preserve"> lot of</w:t>
      </w:r>
      <w:r w:rsidR="00BD0F28">
        <w:t xml:space="preserve"> problems are in this data</w:t>
      </w:r>
      <w:r w:rsidR="00AC10E7" w:rsidRPr="00CA027B">
        <w:t xml:space="preserve"> [...] Some countries do not report at all! The commas are not in the right place. For instance, we know that a very important link was Greece to enter the EU, but there are no re</w:t>
      </w:r>
      <w:r w:rsidR="00047DA8" w:rsidRPr="00CA027B">
        <w:t>cords from Greece</w:t>
      </w:r>
      <w:r w:rsidRPr="005B292F">
        <w:rPr>
          <w:rStyle w:val="FootnoteReference"/>
        </w:rPr>
        <w:footnoteReference w:id="65"/>
      </w:r>
      <w:r w:rsidRPr="00CA027B">
        <w:t>.</w:t>
      </w:r>
    </w:p>
    <w:p w14:paraId="77362B7B" w14:textId="3FBB4205" w:rsidR="00AC10E7" w:rsidRDefault="00AC10E7" w:rsidP="00FC70E0">
      <w:pPr>
        <w:pStyle w:val="Normal1"/>
        <w:spacing w:after="160" w:line="360" w:lineRule="auto"/>
        <w:jc w:val="both"/>
        <w:rPr>
          <w:rFonts w:ascii="Times New Roman" w:eastAsia="Times New Roman" w:hAnsi="Times New Roman" w:cs="Times New Roman"/>
        </w:rPr>
      </w:pPr>
      <w:r>
        <w:rPr>
          <w:rFonts w:ascii="Times New Roman" w:eastAsia="Times New Roman" w:hAnsi="Times New Roman" w:cs="Times New Roman"/>
        </w:rPr>
        <w:t>The problems inherent with seizure data are referenced by NGO, TRAF</w:t>
      </w:r>
      <w:r w:rsidR="00BD0F28">
        <w:rPr>
          <w:rFonts w:ascii="Times New Roman" w:eastAsia="Times New Roman" w:hAnsi="Times New Roman" w:cs="Times New Roman"/>
        </w:rPr>
        <w:t>FIC, in statements made in multiple</w:t>
      </w:r>
      <w:r>
        <w:rPr>
          <w:rFonts w:ascii="Times New Roman" w:eastAsia="Times New Roman" w:hAnsi="Times New Roman" w:cs="Times New Roman"/>
        </w:rPr>
        <w:t xml:space="preserve"> reports on the caviar trade (Engler &amp; Knapp, </w:t>
      </w:r>
      <w:r w:rsidR="00BD0F28">
        <w:rPr>
          <w:rFonts w:ascii="Times New Roman" w:eastAsia="Times New Roman" w:hAnsi="Times New Roman" w:cs="Times New Roman"/>
        </w:rPr>
        <w:t xml:space="preserve">2008; Harris &amp; Shiraishi, 2018), </w:t>
      </w:r>
      <w:r>
        <w:rPr>
          <w:rFonts w:ascii="Times New Roman" w:eastAsia="Times New Roman" w:hAnsi="Times New Roman" w:cs="Times New Roman"/>
        </w:rPr>
        <w:t>which declare that</w:t>
      </w:r>
      <w:r w:rsidR="00CA027B">
        <w:rPr>
          <w:rFonts w:ascii="Times New Roman" w:eastAsia="Times New Roman" w:hAnsi="Times New Roman" w:cs="Times New Roman"/>
        </w:rPr>
        <w:t xml:space="preserve"> “</w:t>
      </w:r>
      <w:r>
        <w:rPr>
          <w:rFonts w:ascii="Times New Roman" w:eastAsia="Times New Roman" w:hAnsi="Times New Roman" w:cs="Times New Roman"/>
        </w:rPr>
        <w:t xml:space="preserve">trends in seizure records derived from data are </w:t>
      </w:r>
      <w:r>
        <w:rPr>
          <w:rFonts w:ascii="Times New Roman" w:eastAsia="Times New Roman" w:hAnsi="Times New Roman" w:cs="Times New Roman"/>
          <w:i/>
        </w:rPr>
        <w:t>only indicative of patterns of illegal trade</w:t>
      </w:r>
      <w:r>
        <w:rPr>
          <w:rFonts w:ascii="Times New Roman" w:eastAsia="Times New Roman" w:hAnsi="Times New Roman" w:cs="Times New Roman"/>
        </w:rPr>
        <w:t xml:space="preserve"> because countries/territories </w:t>
      </w:r>
      <w:r>
        <w:rPr>
          <w:rFonts w:ascii="Times New Roman" w:eastAsia="Times New Roman" w:hAnsi="Times New Roman" w:cs="Times New Roman"/>
          <w:i/>
        </w:rPr>
        <w:t>differ in their enforcement effort, their reporting and recording of information</w:t>
      </w:r>
      <w:r w:rsidR="00CA027B">
        <w:rPr>
          <w:rFonts w:ascii="Times New Roman" w:eastAsia="Times New Roman" w:hAnsi="Times New Roman" w:cs="Times New Roman"/>
        </w:rPr>
        <w:t>”</w:t>
      </w:r>
      <w:r>
        <w:rPr>
          <w:rFonts w:ascii="Times New Roman" w:eastAsia="Times New Roman" w:hAnsi="Times New Roman" w:cs="Times New Roman"/>
        </w:rPr>
        <w:t xml:space="preserve"> (Harris &amp; Shiraishi, 2018: 16 emphasis added). But despite this, seizure data continues to be invoked as a measure of the positive impacts of the caviar trade regulations, without making reference to enforcement dynamics </w:t>
      </w:r>
      <w:r w:rsidR="00BD0F28">
        <w:rPr>
          <w:rFonts w:ascii="Times New Roman" w:eastAsia="Times New Roman" w:hAnsi="Times New Roman" w:cs="Times New Roman"/>
        </w:rPr>
        <w:t>or the context in which the data is collected, recorded</w:t>
      </w:r>
      <w:r w:rsidR="00CA027B">
        <w:rPr>
          <w:rFonts w:ascii="Times New Roman" w:eastAsia="Times New Roman" w:hAnsi="Times New Roman" w:cs="Times New Roman"/>
        </w:rPr>
        <w:t>,</w:t>
      </w:r>
      <w:r w:rsidR="00BD0F28">
        <w:rPr>
          <w:rFonts w:ascii="Times New Roman" w:eastAsia="Times New Roman" w:hAnsi="Times New Roman" w:cs="Times New Roman"/>
        </w:rPr>
        <w:t xml:space="preserve"> and reported</w:t>
      </w:r>
      <w:r>
        <w:rPr>
          <w:rFonts w:ascii="Times New Roman" w:eastAsia="Times New Roman" w:hAnsi="Times New Roman" w:cs="Times New Roman"/>
        </w:rPr>
        <w:t xml:space="preserve">. </w:t>
      </w:r>
    </w:p>
    <w:p w14:paraId="4E935DDB" w14:textId="254F42DB" w:rsidR="00CA027B" w:rsidRDefault="00AC10E7" w:rsidP="00FC70E0">
      <w:pPr>
        <w:pStyle w:val="Normal1"/>
        <w:spacing w:after="160"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ab/>
        <w:t>Taking these points into conside</w:t>
      </w:r>
      <w:r w:rsidR="00CA027B">
        <w:rPr>
          <w:rFonts w:ascii="Times New Roman" w:eastAsia="Times New Roman" w:hAnsi="Times New Roman" w:cs="Times New Roman"/>
        </w:rPr>
        <w:t xml:space="preserve">ration, when further analysing </w:t>
      </w:r>
      <w:r>
        <w:rPr>
          <w:rFonts w:ascii="Times New Roman" w:eastAsia="Times New Roman" w:hAnsi="Times New Roman" w:cs="Times New Roman"/>
        </w:rPr>
        <w:t xml:space="preserve">the </w:t>
      </w:r>
      <w:r w:rsidR="00BD0F28">
        <w:rPr>
          <w:rFonts w:ascii="Times New Roman" w:eastAsia="Times New Roman" w:hAnsi="Times New Roman" w:cs="Times New Roman"/>
        </w:rPr>
        <w:t xml:space="preserve">caviar </w:t>
      </w:r>
      <w:r>
        <w:rPr>
          <w:rFonts w:ascii="Times New Roman" w:eastAsia="Times New Roman" w:hAnsi="Times New Roman" w:cs="Times New Roman"/>
        </w:rPr>
        <w:t>seizure data</w:t>
      </w:r>
      <w:r w:rsidRPr="005B292F">
        <w:rPr>
          <w:rStyle w:val="FootnoteReference"/>
        </w:rPr>
        <w:footnoteReference w:id="66"/>
      </w:r>
      <w:r w:rsidR="00BD0F28">
        <w:rPr>
          <w:rFonts w:ascii="Times New Roman" w:eastAsia="Times New Roman" w:hAnsi="Times New Roman" w:cs="Times New Roman"/>
        </w:rPr>
        <w:t xml:space="preserve"> it became clear that these data are flawed</w:t>
      </w:r>
      <w:r>
        <w:rPr>
          <w:rFonts w:ascii="Times New Roman" w:eastAsia="Times New Roman" w:hAnsi="Times New Roman" w:cs="Times New Roman"/>
        </w:rPr>
        <w:t>, give</w:t>
      </w:r>
      <w:r w:rsidR="00CA027B">
        <w:rPr>
          <w:rFonts w:ascii="Times New Roman" w:eastAsia="Times New Roman" w:hAnsi="Times New Roman" w:cs="Times New Roman"/>
        </w:rPr>
        <w:t xml:space="preserve">n that the reporting on seizures </w:t>
      </w:r>
      <w:r>
        <w:rPr>
          <w:rFonts w:ascii="Times New Roman" w:eastAsia="Times New Roman" w:hAnsi="Times New Roman" w:cs="Times New Roman"/>
        </w:rPr>
        <w:t xml:space="preserve">from EU Member States is incomplete and uneven. </w:t>
      </w:r>
      <w:r w:rsidRPr="003C14F0">
        <w:rPr>
          <w:rFonts w:ascii="Times New Roman" w:eastAsia="Times New Roman" w:hAnsi="Times New Roman" w:cs="Times New Roman"/>
        </w:rPr>
        <w:t>Information on wildlife trade seizures in the EU is held in the EU-TWIX database, however reporting to this database is voluntary for EU Member States</w:t>
      </w:r>
      <w:r w:rsidR="00CA027B">
        <w:rPr>
          <w:rFonts w:ascii="Times New Roman" w:eastAsia="Times New Roman" w:hAnsi="Times New Roman" w:cs="Times New Roman"/>
        </w:rPr>
        <w:t>.</w:t>
      </w:r>
      <w:r w:rsidRPr="003C14F0">
        <w:rPr>
          <w:rFonts w:ascii="Times New Roman" w:eastAsia="Times New Roman" w:hAnsi="Times New Roman" w:cs="Times New Roman"/>
        </w:rPr>
        <w:t xml:space="preserve"> </w:t>
      </w:r>
      <w:r>
        <w:rPr>
          <w:rFonts w:ascii="Times New Roman" w:eastAsia="Times New Roman" w:hAnsi="Times New Roman" w:cs="Times New Roman"/>
        </w:rPr>
        <w:t>The incompleteness of the data set is something that is</w:t>
      </w:r>
      <w:r>
        <w:rPr>
          <w:rFonts w:ascii="Times New Roman" w:eastAsia="Times New Roman" w:hAnsi="Times New Roman" w:cs="Times New Roman"/>
          <w:lang w:val="en-GB"/>
        </w:rPr>
        <w:t xml:space="preserve"> not</w:t>
      </w:r>
      <w:r>
        <w:rPr>
          <w:rFonts w:ascii="Times New Roman" w:eastAsia="Times New Roman" w:hAnsi="Times New Roman" w:cs="Times New Roman"/>
        </w:rPr>
        <w:t xml:space="preserve"> widely acknowledged and was</w:t>
      </w:r>
      <w:r>
        <w:rPr>
          <w:rFonts w:ascii="Times New Roman" w:eastAsia="Times New Roman" w:hAnsi="Times New Roman" w:cs="Times New Roman"/>
          <w:lang w:val="en-GB"/>
        </w:rPr>
        <w:t xml:space="preserve"> not </w:t>
      </w:r>
      <w:r>
        <w:rPr>
          <w:rFonts w:ascii="Times New Roman" w:eastAsia="Times New Roman" w:hAnsi="Times New Roman" w:cs="Times New Roman"/>
        </w:rPr>
        <w:t>even mentioned as a possible limitation of the seizure data by the enforcement officials or EU policymakers interviewed for this research. However, when analysing a 2017 European Commission report compiled by TRAFFIC</w:t>
      </w:r>
      <w:r w:rsidRPr="005B292F">
        <w:rPr>
          <w:rStyle w:val="FootnoteReference"/>
        </w:rPr>
        <w:footnoteReference w:id="67"/>
      </w:r>
      <w:r>
        <w:rPr>
          <w:rFonts w:ascii="Times New Roman" w:eastAsia="Times New Roman" w:hAnsi="Times New Roman" w:cs="Times New Roman"/>
        </w:rPr>
        <w:t>, which provides an ‘</w:t>
      </w:r>
      <w:r w:rsidRPr="00E519EA">
        <w:rPr>
          <w:rFonts w:ascii="Times New Roman" w:eastAsia="Times New Roman" w:hAnsi="Times New Roman" w:cs="Times New Roman"/>
          <w:i/>
        </w:rPr>
        <w:t>overview of important wildlife seizures in the European Union between January and December 2016</w:t>
      </w:r>
      <w:r>
        <w:rPr>
          <w:rFonts w:ascii="Times New Roman" w:eastAsia="Times New Roman" w:hAnsi="Times New Roman" w:cs="Times New Roman"/>
        </w:rPr>
        <w:t>’, the repor</w:t>
      </w:r>
      <w:r w:rsidR="00CA027B">
        <w:rPr>
          <w:rFonts w:ascii="Times New Roman" w:eastAsia="Times New Roman" w:hAnsi="Times New Roman" w:cs="Times New Roman"/>
        </w:rPr>
        <w:t>t states that only 24 of 28 EU Member S</w:t>
      </w:r>
      <w:r>
        <w:rPr>
          <w:rFonts w:ascii="Times New Roman" w:eastAsia="Times New Roman" w:hAnsi="Times New Roman" w:cs="Times New Roman"/>
        </w:rPr>
        <w:t>tates submitted reports to the European Commission on seizures taking place at the borders of the European Union during that year. Further, the report onl</w:t>
      </w:r>
      <w:r w:rsidR="00CA027B">
        <w:rPr>
          <w:rFonts w:ascii="Times New Roman" w:eastAsia="Times New Roman" w:hAnsi="Times New Roman" w:cs="Times New Roman"/>
        </w:rPr>
        <w:t>y uses the data provided by 18 Member S</w:t>
      </w:r>
      <w:r>
        <w:rPr>
          <w:rFonts w:ascii="Times New Roman" w:eastAsia="Times New Roman" w:hAnsi="Times New Roman" w:cs="Times New Roman"/>
        </w:rPr>
        <w:t xml:space="preserve">tates because Denmark and Finland did not report data on ‘significant seizures’, and the report also excludes data from Estonia, Italy, Sweden and Slovakia as these countries only reported seizures taking place </w:t>
      </w:r>
      <w:r w:rsidRPr="00CD0DC5">
        <w:rPr>
          <w:rFonts w:ascii="Times New Roman" w:eastAsia="Times New Roman" w:hAnsi="Times New Roman" w:cs="Times New Roman"/>
          <w:i/>
        </w:rPr>
        <w:t>within</w:t>
      </w:r>
      <w:r>
        <w:rPr>
          <w:rFonts w:ascii="Times New Roman" w:eastAsia="Times New Roman" w:hAnsi="Times New Roman" w:cs="Times New Roman"/>
        </w:rPr>
        <w:t xml:space="preserve"> the EU in 2016, and the purview of the report was to document seizures being imported </w:t>
      </w:r>
      <w:r w:rsidRPr="00E519EA">
        <w:rPr>
          <w:rFonts w:ascii="Times New Roman" w:eastAsia="Times New Roman" w:hAnsi="Times New Roman" w:cs="Times New Roman"/>
          <w:i/>
        </w:rPr>
        <w:t>into</w:t>
      </w:r>
      <w:r>
        <w:rPr>
          <w:rFonts w:ascii="Times New Roman" w:eastAsia="Times New Roman" w:hAnsi="Times New Roman" w:cs="Times New Roman"/>
        </w:rPr>
        <w:t xml:space="preserve"> the EU. The report also acknowledges that some of the 18 Member States provided information on seizures to the European Commission for only a part of the reporting period</w:t>
      </w:r>
      <w:r>
        <w:rPr>
          <w:rFonts w:ascii="Times New Roman" w:eastAsia="Times New Roman" w:hAnsi="Times New Roman" w:cs="Times New Roman"/>
          <w:lang w:val="en-GB"/>
        </w:rPr>
        <w:t xml:space="preserve"> </w:t>
      </w:r>
      <w:r w:rsidR="00CA027B">
        <w:rPr>
          <w:rFonts w:ascii="Times New Roman" w:eastAsia="Times New Roman" w:hAnsi="Times New Roman" w:cs="Times New Roman"/>
          <w:lang w:val="en-GB"/>
        </w:rPr>
        <w:t>(see table 4.2</w:t>
      </w:r>
      <w:r>
        <w:rPr>
          <w:rFonts w:ascii="Times New Roman" w:eastAsia="Times New Roman" w:hAnsi="Times New Roman" w:cs="Times New Roman"/>
          <w:lang w:val="en-GB"/>
        </w:rPr>
        <w:t xml:space="preserve"> for information on  European Commission </w:t>
      </w:r>
      <w:r w:rsidRPr="00DB60AD">
        <w:rPr>
          <w:rFonts w:ascii="Times New Roman" w:eastAsia="Times New Roman" w:hAnsi="Times New Roman" w:cs="Times New Roman"/>
          <w:lang w:val="en-GB"/>
        </w:rPr>
        <w:t>reports from 2012 - 2017).</w:t>
      </w:r>
      <w:r>
        <w:rPr>
          <w:rFonts w:ascii="Times New Roman" w:eastAsia="Times New Roman" w:hAnsi="Times New Roman" w:cs="Times New Roman"/>
        </w:rPr>
        <w:t xml:space="preserve"> Thus it is impossible to suggest that the</w:t>
      </w:r>
      <w:r w:rsidR="00E519EA">
        <w:rPr>
          <w:rFonts w:ascii="Times New Roman" w:eastAsia="Times New Roman" w:hAnsi="Times New Roman" w:cs="Times New Roman"/>
        </w:rPr>
        <w:t>se seizure data provide</w:t>
      </w:r>
      <w:r>
        <w:rPr>
          <w:rFonts w:ascii="Times New Roman" w:eastAsia="Times New Roman" w:hAnsi="Times New Roman" w:cs="Times New Roman"/>
        </w:rPr>
        <w:t xml:space="preserve"> a full picture of illegal caviar trade in the European Union, because when countries do not report, or only report for part of the perio</w:t>
      </w:r>
      <w:r w:rsidR="00CA027B">
        <w:rPr>
          <w:rFonts w:ascii="Times New Roman" w:eastAsia="Times New Roman" w:hAnsi="Times New Roman" w:cs="Times New Roman"/>
        </w:rPr>
        <w:t>d, this effectively means that “</w:t>
      </w:r>
      <w:r>
        <w:rPr>
          <w:rFonts w:ascii="Times New Roman" w:eastAsia="Times New Roman" w:hAnsi="Times New Roman" w:cs="Times New Roman"/>
        </w:rPr>
        <w:t>trade lines are completely out of the spotlight</w:t>
      </w:r>
      <w:r w:rsidR="00CA027B">
        <w:rPr>
          <w:rFonts w:ascii="Times New Roman" w:eastAsia="Times New Roman" w:hAnsi="Times New Roman" w:cs="Times New Roman"/>
        </w:rPr>
        <w:t>”</w:t>
      </w:r>
      <w:r w:rsidRPr="005B292F">
        <w:rPr>
          <w:rStyle w:val="FootnoteReference"/>
        </w:rPr>
        <w:footnoteReference w:id="68"/>
      </w:r>
      <w:r>
        <w:rPr>
          <w:rFonts w:ascii="Times New Roman" w:eastAsia="Times New Roman" w:hAnsi="Times New Roman" w:cs="Times New Roman"/>
        </w:rPr>
        <w:t xml:space="preserve">. </w:t>
      </w:r>
    </w:p>
    <w:p w14:paraId="53C35210" w14:textId="01BBF31E" w:rsidR="00E519EA" w:rsidRPr="00FC70E0" w:rsidRDefault="00E519EA" w:rsidP="00FC70E0">
      <w:pPr>
        <w:pStyle w:val="Normal1"/>
        <w:spacing w:after="160" w:line="360" w:lineRule="auto"/>
        <w:ind w:firstLine="720"/>
        <w:jc w:val="both"/>
        <w:rPr>
          <w:rFonts w:ascii="Times New Roman" w:eastAsia="Times New Roman" w:hAnsi="Times New Roman" w:cs="Times New Roman"/>
          <w:lang w:val="en-GB"/>
        </w:rPr>
      </w:pPr>
      <w:r>
        <w:rPr>
          <w:rFonts w:ascii="Times New Roman" w:eastAsia="Times New Roman" w:hAnsi="Times New Roman" w:cs="Times New Roman"/>
        </w:rPr>
        <w:t>Interestingly though, despite the aforementioned inconsistencies in EU Member State reporting, the</w:t>
      </w:r>
      <w:r w:rsidRPr="00DB60AD">
        <w:rPr>
          <w:rFonts w:ascii="Times New Roman" w:eastAsia="Times New Roman" w:hAnsi="Times New Roman" w:cs="Times New Roman"/>
        </w:rPr>
        <w:t xml:space="preserve"> European Commission report providing an</w:t>
      </w:r>
      <w:r>
        <w:rPr>
          <w:rFonts w:ascii="Times New Roman" w:eastAsia="Times New Roman" w:hAnsi="Times New Roman" w:cs="Times New Roman"/>
        </w:rPr>
        <w:t xml:space="preserve"> ‘</w:t>
      </w:r>
      <w:r w:rsidRPr="00E519EA">
        <w:rPr>
          <w:rFonts w:ascii="Times New Roman" w:eastAsia="Times New Roman" w:hAnsi="Times New Roman" w:cs="Times New Roman"/>
          <w:i/>
        </w:rPr>
        <w:t>overview of seizures of CITES-listed wildlife in the European Union January to December 2017</w:t>
      </w:r>
      <w:r>
        <w:rPr>
          <w:rFonts w:ascii="Times New Roman" w:eastAsia="Times New Roman" w:hAnsi="Times New Roman" w:cs="Times New Roman"/>
        </w:rPr>
        <w:t>’</w:t>
      </w:r>
      <w:r w:rsidRPr="005B292F">
        <w:rPr>
          <w:rStyle w:val="FootnoteReference"/>
        </w:rPr>
        <w:footnoteReference w:id="69"/>
      </w:r>
      <w:r>
        <w:rPr>
          <w:rFonts w:ascii="Times New Roman" w:eastAsia="Times New Roman" w:hAnsi="Times New Roman" w:cs="Times New Roman"/>
        </w:rPr>
        <w:t>, makes conclusions which contrast significantly with the Western European policymakers and enforcement officers interviewed for this research. Namely, the report states that an “important continuing/emerging trend in illegal trade in 2017”, is “the continued seizures of sturgeon caviar”</w:t>
      </w:r>
      <w:r w:rsidRPr="005B292F">
        <w:rPr>
          <w:rStyle w:val="FootnoteReference"/>
        </w:rPr>
        <w:footnoteReference w:id="70"/>
      </w:r>
      <w:r>
        <w:rPr>
          <w:rFonts w:ascii="Times New Roman" w:eastAsia="Times New Roman" w:hAnsi="Times New Roman" w:cs="Times New Roman"/>
        </w:rPr>
        <w:t xml:space="preserve">. This points to the contradictory conclusions made when raw seizure data is presented in isolation without consideration of wider context. </w:t>
      </w:r>
    </w:p>
    <w:p w14:paraId="7D6B3F61" w14:textId="77777777" w:rsidR="00E519EA" w:rsidRDefault="00E519EA" w:rsidP="00AC10E7">
      <w:pPr>
        <w:pStyle w:val="Normal1"/>
        <w:spacing w:line="360" w:lineRule="auto"/>
        <w:jc w:val="both"/>
        <w:rPr>
          <w:rFonts w:ascii="Times New Roman" w:eastAsia="Times New Roman" w:hAnsi="Times New Roman" w:cs="Times New Roman"/>
        </w:rPr>
      </w:pPr>
    </w:p>
    <w:tbl>
      <w:tblPr>
        <w:tblW w:w="949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016"/>
        <w:gridCol w:w="1101"/>
        <w:gridCol w:w="1101"/>
        <w:gridCol w:w="1101"/>
        <w:gridCol w:w="1033"/>
        <w:gridCol w:w="1037"/>
        <w:gridCol w:w="1101"/>
      </w:tblGrid>
      <w:tr w:rsidR="008016C0" w:rsidRPr="00DB60AD" w14:paraId="58E23855" w14:textId="77777777" w:rsidTr="00C24D36">
        <w:trPr>
          <w:trHeight w:hRule="exact" w:val="851"/>
          <w:jc w:val="center"/>
        </w:trPr>
        <w:tc>
          <w:tcPr>
            <w:tcW w:w="3110" w:type="dxa"/>
            <w:vMerge w:val="restart"/>
            <w:tcBorders>
              <w:top w:val="single" w:sz="6" w:space="0" w:color="000000"/>
              <w:left w:val="single" w:sz="6" w:space="0" w:color="000000"/>
              <w:right w:val="single" w:sz="6" w:space="0" w:color="000000"/>
            </w:tcBorders>
            <w:shd w:val="clear" w:color="auto" w:fill="CCCCCC"/>
            <w:tcMar>
              <w:top w:w="40" w:type="dxa"/>
              <w:left w:w="40" w:type="dxa"/>
              <w:bottom w:w="40" w:type="dxa"/>
              <w:right w:w="40" w:type="dxa"/>
            </w:tcMar>
          </w:tcPr>
          <w:p w14:paraId="46377C2C" w14:textId="77777777" w:rsidR="008016C0" w:rsidRPr="00315177" w:rsidRDefault="008016C0" w:rsidP="00C24D36">
            <w:pPr>
              <w:widowControl w:val="0"/>
              <w:rPr>
                <w:b/>
                <w:sz w:val="18"/>
                <w:szCs w:val="18"/>
              </w:rPr>
            </w:pPr>
            <w:r w:rsidRPr="00315177">
              <w:rPr>
                <w:b/>
                <w:sz w:val="18"/>
                <w:szCs w:val="18"/>
              </w:rPr>
              <w:t>Report Title</w:t>
            </w:r>
          </w:p>
        </w:tc>
        <w:tc>
          <w:tcPr>
            <w:tcW w:w="1064" w:type="dxa"/>
            <w:vMerge w:val="restart"/>
            <w:tcBorders>
              <w:top w:val="single" w:sz="6" w:space="0" w:color="000000"/>
              <w:right w:val="single" w:sz="6" w:space="0" w:color="000000"/>
            </w:tcBorders>
            <w:shd w:val="clear" w:color="auto" w:fill="CCCCCC"/>
            <w:tcMar>
              <w:top w:w="40" w:type="dxa"/>
              <w:left w:w="40" w:type="dxa"/>
              <w:bottom w:w="40" w:type="dxa"/>
              <w:right w:w="40" w:type="dxa"/>
            </w:tcMar>
          </w:tcPr>
          <w:p w14:paraId="59A37355" w14:textId="77777777" w:rsidR="008016C0" w:rsidRPr="00315177" w:rsidRDefault="008016C0" w:rsidP="00C24D36">
            <w:pPr>
              <w:widowControl w:val="0"/>
              <w:rPr>
                <w:b/>
                <w:sz w:val="18"/>
                <w:szCs w:val="18"/>
              </w:rPr>
            </w:pPr>
            <w:r w:rsidRPr="00315177">
              <w:rPr>
                <w:b/>
                <w:sz w:val="18"/>
                <w:szCs w:val="18"/>
              </w:rPr>
              <w:t>Year Published</w:t>
            </w:r>
          </w:p>
        </w:tc>
        <w:tc>
          <w:tcPr>
            <w:tcW w:w="1063" w:type="dxa"/>
            <w:vMerge w:val="restart"/>
            <w:tcBorders>
              <w:top w:val="single" w:sz="6" w:space="0" w:color="000000"/>
              <w:right w:val="single" w:sz="6" w:space="0" w:color="000000"/>
            </w:tcBorders>
            <w:shd w:val="clear" w:color="auto" w:fill="CCCCCC"/>
            <w:tcMar>
              <w:top w:w="40" w:type="dxa"/>
              <w:left w:w="40" w:type="dxa"/>
              <w:bottom w:w="40" w:type="dxa"/>
              <w:right w:w="40" w:type="dxa"/>
            </w:tcMar>
          </w:tcPr>
          <w:p w14:paraId="6E8C6B6D" w14:textId="77777777" w:rsidR="008016C0" w:rsidRPr="00315177" w:rsidRDefault="008016C0" w:rsidP="00C24D36">
            <w:pPr>
              <w:widowControl w:val="0"/>
              <w:rPr>
                <w:b/>
                <w:sz w:val="18"/>
                <w:szCs w:val="18"/>
              </w:rPr>
            </w:pPr>
            <w:r w:rsidRPr="00315177">
              <w:rPr>
                <w:b/>
                <w:sz w:val="18"/>
                <w:szCs w:val="18"/>
              </w:rPr>
              <w:t>No. of EU MS reporting international seizures</w:t>
            </w:r>
          </w:p>
        </w:tc>
        <w:tc>
          <w:tcPr>
            <w:tcW w:w="1064" w:type="dxa"/>
            <w:vMerge w:val="restart"/>
            <w:tcBorders>
              <w:top w:val="single" w:sz="6" w:space="0" w:color="000000"/>
              <w:right w:val="single" w:sz="6" w:space="0" w:color="000000"/>
            </w:tcBorders>
            <w:shd w:val="clear" w:color="auto" w:fill="CCCCCC"/>
            <w:tcMar>
              <w:top w:w="40" w:type="dxa"/>
              <w:left w:w="40" w:type="dxa"/>
              <w:bottom w:w="40" w:type="dxa"/>
              <w:right w:w="40" w:type="dxa"/>
            </w:tcMar>
          </w:tcPr>
          <w:p w14:paraId="1C0235DA" w14:textId="77777777" w:rsidR="008016C0" w:rsidRPr="00315177" w:rsidRDefault="008016C0" w:rsidP="00C24D36">
            <w:pPr>
              <w:widowControl w:val="0"/>
              <w:rPr>
                <w:b/>
                <w:sz w:val="18"/>
                <w:szCs w:val="18"/>
              </w:rPr>
            </w:pPr>
            <w:r w:rsidRPr="00315177">
              <w:rPr>
                <w:b/>
                <w:sz w:val="18"/>
                <w:szCs w:val="18"/>
              </w:rPr>
              <w:t>No. of EU MS reporting internal seizures</w:t>
            </w:r>
          </w:p>
        </w:tc>
        <w:tc>
          <w:tcPr>
            <w:tcW w:w="2126" w:type="dxa"/>
            <w:gridSpan w:val="2"/>
            <w:tcBorders>
              <w:top w:val="single" w:sz="6" w:space="0" w:color="000000"/>
              <w:bottom w:val="single" w:sz="6" w:space="0" w:color="000000"/>
            </w:tcBorders>
            <w:shd w:val="clear" w:color="auto" w:fill="CCCCCC"/>
            <w:tcMar>
              <w:top w:w="40" w:type="dxa"/>
              <w:left w:w="40" w:type="dxa"/>
              <w:bottom w:w="40" w:type="dxa"/>
              <w:right w:w="40" w:type="dxa"/>
            </w:tcMar>
          </w:tcPr>
          <w:p w14:paraId="1BD8AC69" w14:textId="77777777" w:rsidR="008016C0" w:rsidRPr="00315177" w:rsidRDefault="008016C0" w:rsidP="00C24D36">
            <w:pPr>
              <w:widowControl w:val="0"/>
              <w:rPr>
                <w:b/>
                <w:sz w:val="18"/>
                <w:szCs w:val="18"/>
              </w:rPr>
            </w:pPr>
            <w:r>
              <w:rPr>
                <w:b/>
                <w:sz w:val="18"/>
                <w:szCs w:val="18"/>
              </w:rPr>
              <w:t>Number o</w:t>
            </w:r>
            <w:r w:rsidRPr="00315177">
              <w:rPr>
                <w:b/>
                <w:sz w:val="18"/>
                <w:szCs w:val="18"/>
              </w:rPr>
              <w:t>f caviar seizures</w:t>
            </w:r>
          </w:p>
        </w:tc>
        <w:tc>
          <w:tcPr>
            <w:tcW w:w="1063" w:type="dxa"/>
            <w:vMerge w:val="restart"/>
            <w:tcBorders>
              <w:top w:val="single" w:sz="6" w:space="0" w:color="000000"/>
              <w:right w:val="single" w:sz="6" w:space="0" w:color="000000"/>
            </w:tcBorders>
            <w:shd w:val="clear" w:color="auto" w:fill="CCCCCC"/>
            <w:tcMar>
              <w:top w:w="40" w:type="dxa"/>
              <w:left w:w="40" w:type="dxa"/>
              <w:bottom w:w="40" w:type="dxa"/>
              <w:right w:w="40" w:type="dxa"/>
            </w:tcMar>
          </w:tcPr>
          <w:p w14:paraId="625B052B" w14:textId="7D009EEC" w:rsidR="008016C0" w:rsidRPr="00315177" w:rsidRDefault="008016C0" w:rsidP="00C24D36">
            <w:pPr>
              <w:widowControl w:val="0"/>
              <w:rPr>
                <w:b/>
                <w:sz w:val="18"/>
                <w:szCs w:val="18"/>
              </w:rPr>
            </w:pPr>
            <w:r w:rsidRPr="00315177">
              <w:rPr>
                <w:b/>
                <w:sz w:val="18"/>
                <w:szCs w:val="18"/>
              </w:rPr>
              <w:t xml:space="preserve">Caviar </w:t>
            </w:r>
            <w:r>
              <w:rPr>
                <w:b/>
                <w:sz w:val="18"/>
                <w:szCs w:val="18"/>
              </w:rPr>
              <w:t>as a percentage</w:t>
            </w:r>
            <w:r w:rsidRPr="00315177">
              <w:rPr>
                <w:b/>
                <w:sz w:val="18"/>
                <w:szCs w:val="18"/>
              </w:rPr>
              <w:t xml:space="preserve"> of International </w:t>
            </w:r>
            <w:r>
              <w:rPr>
                <w:b/>
                <w:sz w:val="18"/>
                <w:szCs w:val="18"/>
              </w:rPr>
              <w:t xml:space="preserve">illegal wildlife Seizures </w:t>
            </w:r>
            <w:r w:rsidRPr="00315177">
              <w:rPr>
                <w:b/>
                <w:sz w:val="18"/>
                <w:szCs w:val="18"/>
              </w:rPr>
              <w:t>in EU</w:t>
            </w:r>
          </w:p>
        </w:tc>
      </w:tr>
      <w:tr w:rsidR="008016C0" w:rsidRPr="00DB60AD" w14:paraId="19E4E897" w14:textId="77777777" w:rsidTr="00C24D36">
        <w:trPr>
          <w:trHeight w:hRule="exact" w:val="1571"/>
          <w:jc w:val="center"/>
        </w:trPr>
        <w:tc>
          <w:tcPr>
            <w:tcW w:w="3110" w:type="dxa"/>
            <w:vMerge/>
            <w:tcBorders>
              <w:left w:val="single" w:sz="6" w:space="0" w:color="000000"/>
              <w:bottom w:val="single" w:sz="6" w:space="0" w:color="000000"/>
              <w:right w:val="single" w:sz="6" w:space="0" w:color="000000"/>
            </w:tcBorders>
            <w:shd w:val="clear" w:color="auto" w:fill="CCCCCC"/>
            <w:tcMar>
              <w:top w:w="40" w:type="dxa"/>
              <w:left w:w="40" w:type="dxa"/>
              <w:bottom w:w="40" w:type="dxa"/>
              <w:right w:w="40" w:type="dxa"/>
            </w:tcMar>
          </w:tcPr>
          <w:p w14:paraId="7997FC6D" w14:textId="77777777" w:rsidR="008016C0" w:rsidRPr="00315177" w:rsidRDefault="008016C0" w:rsidP="00C24D36">
            <w:pPr>
              <w:widowControl w:val="0"/>
              <w:rPr>
                <w:b/>
                <w:sz w:val="18"/>
                <w:szCs w:val="18"/>
              </w:rPr>
            </w:pPr>
          </w:p>
        </w:tc>
        <w:tc>
          <w:tcPr>
            <w:tcW w:w="1064" w:type="dxa"/>
            <w:vMerge/>
            <w:tcBorders>
              <w:bottom w:val="single" w:sz="6" w:space="0" w:color="000000"/>
              <w:right w:val="single" w:sz="6" w:space="0" w:color="000000"/>
            </w:tcBorders>
            <w:shd w:val="clear" w:color="auto" w:fill="CCCCCC"/>
            <w:tcMar>
              <w:top w:w="40" w:type="dxa"/>
              <w:left w:w="40" w:type="dxa"/>
              <w:bottom w:w="40" w:type="dxa"/>
              <w:right w:w="40" w:type="dxa"/>
            </w:tcMar>
          </w:tcPr>
          <w:p w14:paraId="56BBE2D9" w14:textId="77777777" w:rsidR="008016C0" w:rsidRPr="00315177" w:rsidRDefault="008016C0" w:rsidP="00C24D36">
            <w:pPr>
              <w:widowControl w:val="0"/>
              <w:rPr>
                <w:b/>
                <w:sz w:val="18"/>
                <w:szCs w:val="18"/>
              </w:rPr>
            </w:pPr>
          </w:p>
        </w:tc>
        <w:tc>
          <w:tcPr>
            <w:tcW w:w="1063" w:type="dxa"/>
            <w:vMerge/>
            <w:tcBorders>
              <w:bottom w:val="single" w:sz="6" w:space="0" w:color="000000"/>
              <w:right w:val="single" w:sz="6" w:space="0" w:color="000000"/>
            </w:tcBorders>
            <w:shd w:val="clear" w:color="auto" w:fill="CCCCCC"/>
            <w:tcMar>
              <w:top w:w="40" w:type="dxa"/>
              <w:left w:w="40" w:type="dxa"/>
              <w:bottom w:w="40" w:type="dxa"/>
              <w:right w:w="40" w:type="dxa"/>
            </w:tcMar>
          </w:tcPr>
          <w:p w14:paraId="00FA856A" w14:textId="77777777" w:rsidR="008016C0" w:rsidRPr="00315177" w:rsidRDefault="008016C0" w:rsidP="00C24D36">
            <w:pPr>
              <w:widowControl w:val="0"/>
              <w:rPr>
                <w:b/>
                <w:sz w:val="18"/>
                <w:szCs w:val="18"/>
              </w:rPr>
            </w:pPr>
          </w:p>
        </w:tc>
        <w:tc>
          <w:tcPr>
            <w:tcW w:w="1064" w:type="dxa"/>
            <w:vMerge/>
            <w:tcBorders>
              <w:bottom w:val="single" w:sz="6" w:space="0" w:color="000000"/>
              <w:right w:val="single" w:sz="6" w:space="0" w:color="000000"/>
            </w:tcBorders>
            <w:shd w:val="clear" w:color="auto" w:fill="CCCCCC"/>
            <w:tcMar>
              <w:top w:w="40" w:type="dxa"/>
              <w:left w:w="40" w:type="dxa"/>
              <w:bottom w:w="40" w:type="dxa"/>
              <w:right w:w="40" w:type="dxa"/>
            </w:tcMar>
          </w:tcPr>
          <w:p w14:paraId="25DCDA2C" w14:textId="77777777" w:rsidR="008016C0" w:rsidRPr="00315177" w:rsidRDefault="008016C0" w:rsidP="00C24D36">
            <w:pPr>
              <w:widowControl w:val="0"/>
              <w:rPr>
                <w:b/>
                <w:sz w:val="18"/>
                <w:szCs w:val="18"/>
              </w:rPr>
            </w:pPr>
          </w:p>
        </w:tc>
        <w:tc>
          <w:tcPr>
            <w:tcW w:w="1063" w:type="dxa"/>
            <w:tcBorders>
              <w:top w:val="single" w:sz="6" w:space="0" w:color="000000"/>
              <w:bottom w:val="single" w:sz="6" w:space="0" w:color="000000"/>
              <w:right w:val="single" w:sz="6" w:space="0" w:color="000000"/>
            </w:tcBorders>
            <w:shd w:val="clear" w:color="auto" w:fill="CCCCCC"/>
            <w:tcMar>
              <w:top w:w="40" w:type="dxa"/>
              <w:left w:w="40" w:type="dxa"/>
              <w:bottom w:w="40" w:type="dxa"/>
              <w:right w:w="40" w:type="dxa"/>
            </w:tcMar>
          </w:tcPr>
          <w:p w14:paraId="24AA9956" w14:textId="77777777" w:rsidR="008016C0" w:rsidRDefault="008016C0" w:rsidP="00C24D36">
            <w:pPr>
              <w:widowControl w:val="0"/>
              <w:rPr>
                <w:b/>
                <w:sz w:val="18"/>
                <w:szCs w:val="18"/>
              </w:rPr>
            </w:pPr>
            <w:r>
              <w:rPr>
                <w:b/>
                <w:sz w:val="18"/>
                <w:szCs w:val="18"/>
              </w:rPr>
              <w:t>Quantity</w:t>
            </w:r>
          </w:p>
        </w:tc>
        <w:tc>
          <w:tcPr>
            <w:tcW w:w="1063" w:type="dxa"/>
            <w:tcBorders>
              <w:bottom w:val="single" w:sz="6" w:space="0" w:color="000000"/>
            </w:tcBorders>
            <w:shd w:val="clear" w:color="auto" w:fill="CCCCCC"/>
          </w:tcPr>
          <w:p w14:paraId="3FC944EE" w14:textId="77777777" w:rsidR="008016C0" w:rsidRDefault="008016C0" w:rsidP="00C24D36">
            <w:pPr>
              <w:widowControl w:val="0"/>
              <w:rPr>
                <w:b/>
                <w:sz w:val="18"/>
                <w:szCs w:val="18"/>
              </w:rPr>
            </w:pPr>
            <w:r>
              <w:rPr>
                <w:b/>
                <w:sz w:val="18"/>
                <w:szCs w:val="18"/>
              </w:rPr>
              <w:t>Unit used in data</w:t>
            </w:r>
          </w:p>
        </w:tc>
        <w:tc>
          <w:tcPr>
            <w:tcW w:w="1063" w:type="dxa"/>
            <w:vMerge/>
            <w:tcBorders>
              <w:bottom w:val="single" w:sz="6" w:space="0" w:color="000000"/>
              <w:right w:val="single" w:sz="6" w:space="0" w:color="000000"/>
            </w:tcBorders>
            <w:shd w:val="clear" w:color="auto" w:fill="CCCCCC"/>
            <w:tcMar>
              <w:top w:w="40" w:type="dxa"/>
              <w:left w:w="40" w:type="dxa"/>
              <w:bottom w:w="40" w:type="dxa"/>
              <w:right w:w="40" w:type="dxa"/>
            </w:tcMar>
          </w:tcPr>
          <w:p w14:paraId="27664800" w14:textId="77777777" w:rsidR="008016C0" w:rsidRPr="00315177" w:rsidRDefault="008016C0" w:rsidP="00C24D36">
            <w:pPr>
              <w:widowControl w:val="0"/>
              <w:rPr>
                <w:b/>
                <w:sz w:val="18"/>
                <w:szCs w:val="18"/>
              </w:rPr>
            </w:pPr>
          </w:p>
        </w:tc>
      </w:tr>
      <w:tr w:rsidR="008016C0" w:rsidRPr="00DB60AD" w14:paraId="60B0E4B1" w14:textId="77777777" w:rsidTr="00C24D36">
        <w:trPr>
          <w:trHeight w:hRule="exact" w:val="907"/>
          <w:jc w:val="center"/>
        </w:trPr>
        <w:tc>
          <w:tcPr>
            <w:tcW w:w="3110" w:type="dxa"/>
            <w:tcBorders>
              <w:left w:val="single" w:sz="6" w:space="0" w:color="000000"/>
              <w:bottom w:val="single" w:sz="6" w:space="0" w:color="000000"/>
              <w:right w:val="single" w:sz="6" w:space="0" w:color="000000"/>
            </w:tcBorders>
            <w:tcMar>
              <w:top w:w="40" w:type="dxa"/>
              <w:left w:w="40" w:type="dxa"/>
              <w:bottom w:w="40" w:type="dxa"/>
              <w:right w:w="40" w:type="dxa"/>
            </w:tcMar>
          </w:tcPr>
          <w:p w14:paraId="7DBBB25B" w14:textId="77777777" w:rsidR="008016C0" w:rsidRPr="0048141B" w:rsidRDefault="008016C0" w:rsidP="00C24D36">
            <w:pPr>
              <w:widowControl w:val="0"/>
              <w:rPr>
                <w:rFonts w:cs="Times New Roman"/>
                <w:sz w:val="18"/>
                <w:szCs w:val="18"/>
              </w:rPr>
            </w:pPr>
            <w:r w:rsidRPr="0048141B">
              <w:rPr>
                <w:rFonts w:cs="Times New Roman"/>
                <w:sz w:val="18"/>
                <w:szCs w:val="18"/>
              </w:rPr>
              <w:t>Overview of important international seizures of CITES Listed specimens in the EU Jan - Dec 2012</w:t>
            </w:r>
          </w:p>
        </w:tc>
        <w:tc>
          <w:tcPr>
            <w:tcW w:w="1134" w:type="dxa"/>
            <w:tcBorders>
              <w:bottom w:val="single" w:sz="6" w:space="0" w:color="000000"/>
              <w:right w:val="single" w:sz="6" w:space="0" w:color="000000"/>
            </w:tcBorders>
            <w:tcMar>
              <w:top w:w="40" w:type="dxa"/>
              <w:left w:w="40" w:type="dxa"/>
              <w:bottom w:w="40" w:type="dxa"/>
              <w:right w:w="40" w:type="dxa"/>
            </w:tcMar>
          </w:tcPr>
          <w:p w14:paraId="24B65488"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2013</w:t>
            </w:r>
          </w:p>
        </w:tc>
        <w:tc>
          <w:tcPr>
            <w:tcW w:w="1134" w:type="dxa"/>
            <w:tcBorders>
              <w:bottom w:val="single" w:sz="6" w:space="0" w:color="000000"/>
              <w:right w:val="single" w:sz="6" w:space="0" w:color="000000"/>
            </w:tcBorders>
            <w:tcMar>
              <w:top w:w="40" w:type="dxa"/>
              <w:left w:w="40" w:type="dxa"/>
              <w:bottom w:w="40" w:type="dxa"/>
              <w:right w:w="40" w:type="dxa"/>
            </w:tcMar>
          </w:tcPr>
          <w:p w14:paraId="01D5A879"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23 (data from 17 used)</w:t>
            </w:r>
          </w:p>
        </w:tc>
        <w:tc>
          <w:tcPr>
            <w:tcW w:w="1134" w:type="dxa"/>
            <w:tcBorders>
              <w:bottom w:val="single" w:sz="6" w:space="0" w:color="000000"/>
              <w:right w:val="single" w:sz="6" w:space="0" w:color="000000"/>
            </w:tcBorders>
            <w:tcMar>
              <w:top w:w="40" w:type="dxa"/>
              <w:left w:w="40" w:type="dxa"/>
              <w:bottom w:w="40" w:type="dxa"/>
              <w:right w:w="40" w:type="dxa"/>
            </w:tcMar>
          </w:tcPr>
          <w:p w14:paraId="7CACCCDF"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n/a</w:t>
            </w:r>
          </w:p>
        </w:tc>
        <w:tc>
          <w:tcPr>
            <w:tcW w:w="567" w:type="dxa"/>
            <w:tcBorders>
              <w:bottom w:val="single" w:sz="6" w:space="0" w:color="000000"/>
              <w:right w:val="single" w:sz="6" w:space="0" w:color="000000"/>
            </w:tcBorders>
            <w:tcMar>
              <w:top w:w="40" w:type="dxa"/>
              <w:left w:w="40" w:type="dxa"/>
              <w:bottom w:w="40" w:type="dxa"/>
              <w:right w:w="40" w:type="dxa"/>
            </w:tcMar>
          </w:tcPr>
          <w:p w14:paraId="0C3C7995"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51</w:t>
            </w:r>
          </w:p>
        </w:tc>
        <w:tc>
          <w:tcPr>
            <w:tcW w:w="567" w:type="dxa"/>
            <w:tcBorders>
              <w:bottom w:val="single" w:sz="6" w:space="0" w:color="000000"/>
            </w:tcBorders>
          </w:tcPr>
          <w:p w14:paraId="07110932" w14:textId="77777777" w:rsidR="008016C0" w:rsidRPr="003D094D" w:rsidRDefault="008016C0" w:rsidP="00C24D36">
            <w:pPr>
              <w:widowControl w:val="0"/>
              <w:spacing w:line="276" w:lineRule="auto"/>
              <w:jc w:val="center"/>
              <w:rPr>
                <w:rFonts w:cs="Times New Roman"/>
                <w:sz w:val="18"/>
                <w:szCs w:val="18"/>
              </w:rPr>
            </w:pPr>
            <w:r w:rsidRPr="0048141B">
              <w:rPr>
                <w:rFonts w:cs="Times New Roman"/>
                <w:sz w:val="18"/>
                <w:szCs w:val="18"/>
              </w:rPr>
              <w:t>KG</w:t>
            </w:r>
          </w:p>
          <w:p w14:paraId="339A8241" w14:textId="77777777" w:rsidR="008016C0" w:rsidRPr="0048141B" w:rsidRDefault="008016C0" w:rsidP="00C24D36">
            <w:pPr>
              <w:widowControl w:val="0"/>
              <w:spacing w:line="276" w:lineRule="auto"/>
              <w:rPr>
                <w:rFonts w:cs="Times New Roman"/>
                <w:sz w:val="18"/>
                <w:szCs w:val="18"/>
              </w:rPr>
            </w:pPr>
          </w:p>
        </w:tc>
        <w:tc>
          <w:tcPr>
            <w:tcW w:w="1134" w:type="dxa"/>
            <w:tcBorders>
              <w:bottom w:val="single" w:sz="6" w:space="0" w:color="000000"/>
              <w:right w:val="single" w:sz="6" w:space="0" w:color="000000"/>
            </w:tcBorders>
            <w:tcMar>
              <w:top w:w="40" w:type="dxa"/>
              <w:left w:w="40" w:type="dxa"/>
              <w:bottom w:w="40" w:type="dxa"/>
              <w:right w:w="40" w:type="dxa"/>
            </w:tcMar>
          </w:tcPr>
          <w:p w14:paraId="4983CF34"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6%</w:t>
            </w:r>
          </w:p>
        </w:tc>
      </w:tr>
      <w:tr w:rsidR="008016C0" w:rsidRPr="00DB60AD" w14:paraId="267FE13D" w14:textId="77777777" w:rsidTr="00C24D36">
        <w:trPr>
          <w:trHeight w:hRule="exact" w:val="454"/>
          <w:jc w:val="center"/>
        </w:trPr>
        <w:tc>
          <w:tcPr>
            <w:tcW w:w="3110" w:type="dxa"/>
            <w:vMerge w:val="restart"/>
            <w:tcBorders>
              <w:left w:val="single" w:sz="6" w:space="0" w:color="000000"/>
              <w:right w:val="single" w:sz="6" w:space="0" w:color="000000"/>
            </w:tcBorders>
            <w:tcMar>
              <w:top w:w="40" w:type="dxa"/>
              <w:left w:w="40" w:type="dxa"/>
              <w:bottom w:w="40" w:type="dxa"/>
              <w:right w:w="40" w:type="dxa"/>
            </w:tcMar>
          </w:tcPr>
          <w:p w14:paraId="7D423C3B" w14:textId="77777777" w:rsidR="008016C0" w:rsidRPr="0048141B" w:rsidRDefault="008016C0" w:rsidP="00C24D36">
            <w:pPr>
              <w:widowControl w:val="0"/>
              <w:rPr>
                <w:rFonts w:cs="Times New Roman"/>
                <w:sz w:val="18"/>
                <w:szCs w:val="18"/>
              </w:rPr>
            </w:pPr>
            <w:r w:rsidRPr="0048141B">
              <w:rPr>
                <w:rFonts w:cs="Times New Roman"/>
                <w:sz w:val="18"/>
                <w:szCs w:val="18"/>
              </w:rPr>
              <w:t>Overview of important seizures in the EU Jan - Dec 2013</w:t>
            </w:r>
          </w:p>
        </w:tc>
        <w:tc>
          <w:tcPr>
            <w:tcW w:w="1064" w:type="dxa"/>
            <w:vMerge w:val="restart"/>
            <w:tcBorders>
              <w:right w:val="single" w:sz="6" w:space="0" w:color="000000"/>
            </w:tcBorders>
            <w:tcMar>
              <w:top w:w="40" w:type="dxa"/>
              <w:left w:w="40" w:type="dxa"/>
              <w:bottom w:w="40" w:type="dxa"/>
              <w:right w:w="40" w:type="dxa"/>
            </w:tcMar>
          </w:tcPr>
          <w:p w14:paraId="710D8CC8"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2014</w:t>
            </w:r>
          </w:p>
        </w:tc>
        <w:tc>
          <w:tcPr>
            <w:tcW w:w="1063" w:type="dxa"/>
            <w:vMerge w:val="restart"/>
            <w:tcBorders>
              <w:right w:val="single" w:sz="6" w:space="0" w:color="000000"/>
            </w:tcBorders>
            <w:tcMar>
              <w:top w:w="40" w:type="dxa"/>
              <w:left w:w="40" w:type="dxa"/>
              <w:bottom w:w="40" w:type="dxa"/>
              <w:right w:w="40" w:type="dxa"/>
            </w:tcMar>
          </w:tcPr>
          <w:p w14:paraId="2FDEBD7B"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22 (data from 15 used)</w:t>
            </w:r>
          </w:p>
        </w:tc>
        <w:tc>
          <w:tcPr>
            <w:tcW w:w="1064" w:type="dxa"/>
            <w:vMerge w:val="restart"/>
            <w:tcBorders>
              <w:right w:val="single" w:sz="6" w:space="0" w:color="000000"/>
            </w:tcBorders>
            <w:tcMar>
              <w:top w:w="40" w:type="dxa"/>
              <w:left w:w="40" w:type="dxa"/>
              <w:bottom w:w="40" w:type="dxa"/>
              <w:right w:w="40" w:type="dxa"/>
            </w:tcMar>
          </w:tcPr>
          <w:p w14:paraId="0F17F606"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n/a</w:t>
            </w:r>
          </w:p>
        </w:tc>
        <w:tc>
          <w:tcPr>
            <w:tcW w:w="567" w:type="dxa"/>
            <w:tcBorders>
              <w:right w:val="single" w:sz="6" w:space="0" w:color="000000"/>
            </w:tcBorders>
            <w:tcMar>
              <w:top w:w="40" w:type="dxa"/>
              <w:left w:w="40" w:type="dxa"/>
              <w:bottom w:w="40" w:type="dxa"/>
              <w:right w:w="40" w:type="dxa"/>
            </w:tcMar>
          </w:tcPr>
          <w:p w14:paraId="2545EB98"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1800</w:t>
            </w:r>
          </w:p>
        </w:tc>
        <w:tc>
          <w:tcPr>
            <w:tcW w:w="567" w:type="dxa"/>
            <w:tcBorders>
              <w:bottom w:val="single" w:sz="6" w:space="0" w:color="000000"/>
            </w:tcBorders>
          </w:tcPr>
          <w:p w14:paraId="066BEE87"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Items</w:t>
            </w:r>
          </w:p>
        </w:tc>
        <w:tc>
          <w:tcPr>
            <w:tcW w:w="1063" w:type="dxa"/>
            <w:vMerge w:val="restart"/>
            <w:tcBorders>
              <w:right w:val="single" w:sz="6" w:space="0" w:color="000000"/>
            </w:tcBorders>
            <w:tcMar>
              <w:top w:w="40" w:type="dxa"/>
              <w:left w:w="40" w:type="dxa"/>
              <w:bottom w:w="40" w:type="dxa"/>
              <w:right w:w="40" w:type="dxa"/>
            </w:tcMar>
          </w:tcPr>
          <w:p w14:paraId="75AA6F61"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5%</w:t>
            </w:r>
          </w:p>
        </w:tc>
      </w:tr>
      <w:tr w:rsidR="008016C0" w:rsidRPr="00DB60AD" w14:paraId="6B5DF3F2" w14:textId="77777777" w:rsidTr="00C24D36">
        <w:trPr>
          <w:trHeight w:hRule="exact" w:val="454"/>
          <w:jc w:val="center"/>
        </w:trPr>
        <w:tc>
          <w:tcPr>
            <w:tcW w:w="3110" w:type="dxa"/>
            <w:vMerge/>
            <w:tcBorders>
              <w:left w:val="single" w:sz="6" w:space="0" w:color="000000"/>
              <w:bottom w:val="single" w:sz="6" w:space="0" w:color="000000"/>
              <w:right w:val="single" w:sz="6" w:space="0" w:color="000000"/>
            </w:tcBorders>
            <w:tcMar>
              <w:top w:w="40" w:type="dxa"/>
              <w:left w:w="40" w:type="dxa"/>
              <w:bottom w:w="40" w:type="dxa"/>
              <w:right w:w="40" w:type="dxa"/>
            </w:tcMar>
          </w:tcPr>
          <w:p w14:paraId="12F0A486" w14:textId="77777777" w:rsidR="008016C0" w:rsidRPr="0048141B" w:rsidRDefault="008016C0" w:rsidP="00C24D36">
            <w:pPr>
              <w:widowControl w:val="0"/>
              <w:rPr>
                <w:rFonts w:cs="Times New Roman"/>
                <w:sz w:val="18"/>
                <w:szCs w:val="18"/>
              </w:rPr>
            </w:pPr>
          </w:p>
        </w:tc>
        <w:tc>
          <w:tcPr>
            <w:tcW w:w="1064" w:type="dxa"/>
            <w:vMerge/>
            <w:tcBorders>
              <w:bottom w:val="single" w:sz="6" w:space="0" w:color="000000"/>
              <w:right w:val="single" w:sz="6" w:space="0" w:color="000000"/>
            </w:tcBorders>
            <w:tcMar>
              <w:top w:w="40" w:type="dxa"/>
              <w:left w:w="40" w:type="dxa"/>
              <w:bottom w:w="40" w:type="dxa"/>
              <w:right w:w="40" w:type="dxa"/>
            </w:tcMar>
          </w:tcPr>
          <w:p w14:paraId="34E46778" w14:textId="77777777" w:rsidR="008016C0" w:rsidRPr="0048141B" w:rsidRDefault="008016C0" w:rsidP="00C24D36">
            <w:pPr>
              <w:widowControl w:val="0"/>
              <w:spacing w:line="276" w:lineRule="auto"/>
              <w:jc w:val="center"/>
              <w:rPr>
                <w:rFonts w:cs="Times New Roman"/>
                <w:sz w:val="18"/>
                <w:szCs w:val="18"/>
              </w:rPr>
            </w:pPr>
          </w:p>
        </w:tc>
        <w:tc>
          <w:tcPr>
            <w:tcW w:w="1063" w:type="dxa"/>
            <w:vMerge/>
            <w:tcBorders>
              <w:bottom w:val="single" w:sz="6" w:space="0" w:color="000000"/>
              <w:right w:val="single" w:sz="6" w:space="0" w:color="000000"/>
            </w:tcBorders>
            <w:tcMar>
              <w:top w:w="40" w:type="dxa"/>
              <w:left w:w="40" w:type="dxa"/>
              <w:bottom w:w="40" w:type="dxa"/>
              <w:right w:w="40" w:type="dxa"/>
            </w:tcMar>
          </w:tcPr>
          <w:p w14:paraId="396248AD" w14:textId="77777777" w:rsidR="008016C0" w:rsidRPr="0048141B" w:rsidRDefault="008016C0" w:rsidP="00C24D36">
            <w:pPr>
              <w:widowControl w:val="0"/>
              <w:spacing w:line="276" w:lineRule="auto"/>
              <w:jc w:val="center"/>
              <w:rPr>
                <w:rFonts w:cs="Times New Roman"/>
                <w:sz w:val="18"/>
                <w:szCs w:val="18"/>
              </w:rPr>
            </w:pPr>
          </w:p>
        </w:tc>
        <w:tc>
          <w:tcPr>
            <w:tcW w:w="1064" w:type="dxa"/>
            <w:vMerge/>
            <w:tcBorders>
              <w:bottom w:val="single" w:sz="6" w:space="0" w:color="000000"/>
              <w:right w:val="single" w:sz="6" w:space="0" w:color="000000"/>
            </w:tcBorders>
            <w:tcMar>
              <w:top w:w="40" w:type="dxa"/>
              <w:left w:w="40" w:type="dxa"/>
              <w:bottom w:w="40" w:type="dxa"/>
              <w:right w:w="40" w:type="dxa"/>
            </w:tcMar>
          </w:tcPr>
          <w:p w14:paraId="0A8AE5C6" w14:textId="77777777" w:rsidR="008016C0" w:rsidRPr="0048141B" w:rsidRDefault="008016C0" w:rsidP="00C24D36">
            <w:pPr>
              <w:widowControl w:val="0"/>
              <w:spacing w:line="276" w:lineRule="auto"/>
              <w:jc w:val="center"/>
              <w:rPr>
                <w:rFonts w:cs="Times New Roman"/>
                <w:sz w:val="18"/>
                <w:szCs w:val="18"/>
              </w:rPr>
            </w:pPr>
          </w:p>
        </w:tc>
        <w:tc>
          <w:tcPr>
            <w:tcW w:w="567" w:type="dxa"/>
            <w:tcBorders>
              <w:bottom w:val="single" w:sz="6" w:space="0" w:color="000000"/>
              <w:right w:val="single" w:sz="6" w:space="0" w:color="000000"/>
            </w:tcBorders>
            <w:tcMar>
              <w:top w:w="40" w:type="dxa"/>
              <w:left w:w="40" w:type="dxa"/>
              <w:bottom w:w="40" w:type="dxa"/>
              <w:right w:w="40" w:type="dxa"/>
            </w:tcMar>
          </w:tcPr>
          <w:p w14:paraId="0D9D9701"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470</w:t>
            </w:r>
          </w:p>
        </w:tc>
        <w:tc>
          <w:tcPr>
            <w:tcW w:w="567" w:type="dxa"/>
            <w:tcBorders>
              <w:bottom w:val="single" w:sz="6" w:space="0" w:color="000000"/>
            </w:tcBorders>
          </w:tcPr>
          <w:p w14:paraId="71B6AC12"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KG</w:t>
            </w:r>
          </w:p>
          <w:p w14:paraId="07F41CEA"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KG</w:t>
            </w:r>
          </w:p>
        </w:tc>
        <w:tc>
          <w:tcPr>
            <w:tcW w:w="1063" w:type="dxa"/>
            <w:vMerge/>
            <w:tcBorders>
              <w:bottom w:val="single" w:sz="6" w:space="0" w:color="000000"/>
              <w:right w:val="single" w:sz="6" w:space="0" w:color="000000"/>
            </w:tcBorders>
            <w:tcMar>
              <w:top w:w="40" w:type="dxa"/>
              <w:left w:w="40" w:type="dxa"/>
              <w:bottom w:w="40" w:type="dxa"/>
              <w:right w:w="40" w:type="dxa"/>
            </w:tcMar>
          </w:tcPr>
          <w:p w14:paraId="3B05DF8D" w14:textId="77777777" w:rsidR="008016C0" w:rsidRPr="0048141B" w:rsidRDefault="008016C0" w:rsidP="00C24D36">
            <w:pPr>
              <w:widowControl w:val="0"/>
              <w:spacing w:line="276" w:lineRule="auto"/>
              <w:jc w:val="center"/>
              <w:rPr>
                <w:rFonts w:cs="Times New Roman"/>
                <w:sz w:val="18"/>
                <w:szCs w:val="18"/>
              </w:rPr>
            </w:pPr>
          </w:p>
        </w:tc>
      </w:tr>
      <w:tr w:rsidR="008016C0" w:rsidRPr="00DB60AD" w14:paraId="282C9DF0" w14:textId="77777777" w:rsidTr="00C24D36">
        <w:trPr>
          <w:trHeight w:hRule="exact" w:val="851"/>
          <w:jc w:val="center"/>
        </w:trPr>
        <w:tc>
          <w:tcPr>
            <w:tcW w:w="3110" w:type="dxa"/>
            <w:tcBorders>
              <w:left w:val="single" w:sz="6" w:space="0" w:color="000000"/>
              <w:bottom w:val="single" w:sz="6" w:space="0" w:color="000000"/>
              <w:right w:val="single" w:sz="6" w:space="0" w:color="000000"/>
            </w:tcBorders>
            <w:tcMar>
              <w:top w:w="40" w:type="dxa"/>
              <w:left w:w="40" w:type="dxa"/>
              <w:bottom w:w="40" w:type="dxa"/>
              <w:right w:w="40" w:type="dxa"/>
            </w:tcMar>
          </w:tcPr>
          <w:p w14:paraId="0E646EF2" w14:textId="77777777" w:rsidR="008016C0" w:rsidRPr="0048141B" w:rsidRDefault="008016C0" w:rsidP="00C24D36">
            <w:pPr>
              <w:widowControl w:val="0"/>
              <w:rPr>
                <w:rFonts w:cs="Times New Roman"/>
                <w:sz w:val="18"/>
                <w:szCs w:val="18"/>
              </w:rPr>
            </w:pPr>
            <w:r w:rsidRPr="0048141B">
              <w:rPr>
                <w:rFonts w:cs="Times New Roman"/>
                <w:sz w:val="18"/>
                <w:szCs w:val="18"/>
              </w:rPr>
              <w:t>Overview of important international seizures in the EU Jan - Dec 2014</w:t>
            </w:r>
          </w:p>
        </w:tc>
        <w:tc>
          <w:tcPr>
            <w:tcW w:w="1064" w:type="dxa"/>
            <w:tcBorders>
              <w:bottom w:val="single" w:sz="6" w:space="0" w:color="000000"/>
              <w:right w:val="single" w:sz="6" w:space="0" w:color="000000"/>
            </w:tcBorders>
            <w:tcMar>
              <w:top w:w="40" w:type="dxa"/>
              <w:left w:w="40" w:type="dxa"/>
              <w:bottom w:w="40" w:type="dxa"/>
              <w:right w:w="40" w:type="dxa"/>
            </w:tcMar>
          </w:tcPr>
          <w:p w14:paraId="3E010046"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2015</w:t>
            </w:r>
          </w:p>
        </w:tc>
        <w:tc>
          <w:tcPr>
            <w:tcW w:w="1063" w:type="dxa"/>
            <w:tcBorders>
              <w:bottom w:val="single" w:sz="6" w:space="0" w:color="000000"/>
              <w:right w:val="single" w:sz="6" w:space="0" w:color="000000"/>
            </w:tcBorders>
            <w:tcMar>
              <w:top w:w="40" w:type="dxa"/>
              <w:left w:w="40" w:type="dxa"/>
              <w:bottom w:w="40" w:type="dxa"/>
              <w:right w:w="40" w:type="dxa"/>
            </w:tcMar>
          </w:tcPr>
          <w:p w14:paraId="47744669"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22 (data from 18 used)</w:t>
            </w:r>
          </w:p>
        </w:tc>
        <w:tc>
          <w:tcPr>
            <w:tcW w:w="1064" w:type="dxa"/>
            <w:tcBorders>
              <w:bottom w:val="single" w:sz="6" w:space="0" w:color="000000"/>
              <w:right w:val="single" w:sz="6" w:space="0" w:color="000000"/>
            </w:tcBorders>
            <w:tcMar>
              <w:top w:w="40" w:type="dxa"/>
              <w:left w:w="40" w:type="dxa"/>
              <w:bottom w:w="40" w:type="dxa"/>
              <w:right w:w="40" w:type="dxa"/>
            </w:tcMar>
          </w:tcPr>
          <w:p w14:paraId="52BE00D6"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n/a</w:t>
            </w:r>
          </w:p>
        </w:tc>
        <w:tc>
          <w:tcPr>
            <w:tcW w:w="567" w:type="dxa"/>
            <w:tcBorders>
              <w:bottom w:val="single" w:sz="6" w:space="0" w:color="000000"/>
              <w:right w:val="single" w:sz="6" w:space="0" w:color="000000"/>
            </w:tcBorders>
            <w:tcMar>
              <w:top w:w="40" w:type="dxa"/>
              <w:left w:w="40" w:type="dxa"/>
              <w:bottom w:w="40" w:type="dxa"/>
              <w:right w:w="40" w:type="dxa"/>
            </w:tcMar>
          </w:tcPr>
          <w:p w14:paraId="5E32F1A6"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90</w:t>
            </w:r>
          </w:p>
        </w:tc>
        <w:tc>
          <w:tcPr>
            <w:tcW w:w="567" w:type="dxa"/>
            <w:tcBorders>
              <w:bottom w:val="single" w:sz="6" w:space="0" w:color="000000"/>
            </w:tcBorders>
          </w:tcPr>
          <w:p w14:paraId="636D5A53"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KG</w:t>
            </w:r>
          </w:p>
        </w:tc>
        <w:tc>
          <w:tcPr>
            <w:tcW w:w="1063" w:type="dxa"/>
            <w:tcBorders>
              <w:bottom w:val="single" w:sz="6" w:space="0" w:color="000000"/>
              <w:right w:val="single" w:sz="6" w:space="0" w:color="000000"/>
            </w:tcBorders>
            <w:tcMar>
              <w:top w:w="40" w:type="dxa"/>
              <w:left w:w="40" w:type="dxa"/>
              <w:bottom w:w="40" w:type="dxa"/>
              <w:right w:w="40" w:type="dxa"/>
            </w:tcMar>
          </w:tcPr>
          <w:p w14:paraId="752F0701"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5%</w:t>
            </w:r>
          </w:p>
        </w:tc>
      </w:tr>
      <w:tr w:rsidR="008016C0" w:rsidRPr="00DB60AD" w14:paraId="0E5E4683" w14:textId="77777777" w:rsidTr="00C24D36">
        <w:trPr>
          <w:trHeight w:hRule="exact" w:val="851"/>
          <w:jc w:val="center"/>
        </w:trPr>
        <w:tc>
          <w:tcPr>
            <w:tcW w:w="3110" w:type="dxa"/>
            <w:tcBorders>
              <w:left w:val="single" w:sz="6" w:space="0" w:color="000000"/>
              <w:bottom w:val="single" w:sz="6" w:space="0" w:color="000000"/>
              <w:right w:val="single" w:sz="6" w:space="0" w:color="000000"/>
            </w:tcBorders>
            <w:tcMar>
              <w:top w:w="40" w:type="dxa"/>
              <w:left w:w="40" w:type="dxa"/>
              <w:bottom w:w="40" w:type="dxa"/>
              <w:right w:w="40" w:type="dxa"/>
            </w:tcMar>
          </w:tcPr>
          <w:p w14:paraId="52B3BB4E" w14:textId="77777777" w:rsidR="008016C0" w:rsidRPr="0048141B" w:rsidRDefault="008016C0" w:rsidP="00C24D36">
            <w:pPr>
              <w:widowControl w:val="0"/>
              <w:rPr>
                <w:rFonts w:cs="Times New Roman"/>
                <w:sz w:val="18"/>
                <w:szCs w:val="18"/>
              </w:rPr>
            </w:pPr>
            <w:r w:rsidRPr="0048141B">
              <w:rPr>
                <w:rFonts w:cs="Times New Roman"/>
                <w:sz w:val="18"/>
                <w:szCs w:val="18"/>
              </w:rPr>
              <w:t>Overview of important international seizures in the EU Jan - Dec 2015</w:t>
            </w:r>
          </w:p>
        </w:tc>
        <w:tc>
          <w:tcPr>
            <w:tcW w:w="1064" w:type="dxa"/>
            <w:tcBorders>
              <w:bottom w:val="single" w:sz="6" w:space="0" w:color="000000"/>
              <w:right w:val="single" w:sz="6" w:space="0" w:color="000000"/>
            </w:tcBorders>
            <w:tcMar>
              <w:top w:w="40" w:type="dxa"/>
              <w:left w:w="40" w:type="dxa"/>
              <w:bottom w:w="40" w:type="dxa"/>
              <w:right w:w="40" w:type="dxa"/>
            </w:tcMar>
          </w:tcPr>
          <w:p w14:paraId="5425853D"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2016</w:t>
            </w:r>
          </w:p>
        </w:tc>
        <w:tc>
          <w:tcPr>
            <w:tcW w:w="1063" w:type="dxa"/>
            <w:tcBorders>
              <w:bottom w:val="single" w:sz="6" w:space="0" w:color="000000"/>
              <w:right w:val="single" w:sz="6" w:space="0" w:color="000000"/>
            </w:tcBorders>
            <w:tcMar>
              <w:top w:w="40" w:type="dxa"/>
              <w:left w:w="40" w:type="dxa"/>
              <w:bottom w:w="40" w:type="dxa"/>
              <w:right w:w="40" w:type="dxa"/>
            </w:tcMar>
          </w:tcPr>
          <w:p w14:paraId="3E755033"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20</w:t>
            </w:r>
          </w:p>
        </w:tc>
        <w:tc>
          <w:tcPr>
            <w:tcW w:w="1064" w:type="dxa"/>
            <w:tcBorders>
              <w:bottom w:val="single" w:sz="6" w:space="0" w:color="000000"/>
              <w:right w:val="single" w:sz="6" w:space="0" w:color="000000"/>
            </w:tcBorders>
            <w:tcMar>
              <w:top w:w="40" w:type="dxa"/>
              <w:left w:w="40" w:type="dxa"/>
              <w:bottom w:w="40" w:type="dxa"/>
              <w:right w:w="40" w:type="dxa"/>
            </w:tcMar>
          </w:tcPr>
          <w:p w14:paraId="3592829B"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n/a</w:t>
            </w:r>
          </w:p>
        </w:tc>
        <w:tc>
          <w:tcPr>
            <w:tcW w:w="567" w:type="dxa"/>
            <w:tcBorders>
              <w:bottom w:val="single" w:sz="6" w:space="0" w:color="000000"/>
              <w:right w:val="single" w:sz="6" w:space="0" w:color="000000"/>
            </w:tcBorders>
            <w:tcMar>
              <w:top w:w="40" w:type="dxa"/>
              <w:left w:w="40" w:type="dxa"/>
              <w:bottom w:w="40" w:type="dxa"/>
              <w:right w:w="40" w:type="dxa"/>
            </w:tcMar>
          </w:tcPr>
          <w:p w14:paraId="50A93220"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61</w:t>
            </w:r>
          </w:p>
        </w:tc>
        <w:tc>
          <w:tcPr>
            <w:tcW w:w="567" w:type="dxa"/>
            <w:tcBorders>
              <w:bottom w:val="single" w:sz="6" w:space="0" w:color="000000"/>
            </w:tcBorders>
          </w:tcPr>
          <w:p w14:paraId="05F4C9D9" w14:textId="77777777" w:rsidR="008016C0" w:rsidRPr="0048141B" w:rsidRDefault="008016C0" w:rsidP="00C24D36">
            <w:pPr>
              <w:widowControl w:val="0"/>
              <w:spacing w:line="276" w:lineRule="auto"/>
              <w:rPr>
                <w:rFonts w:cs="Times New Roman"/>
                <w:sz w:val="18"/>
                <w:szCs w:val="18"/>
              </w:rPr>
            </w:pPr>
            <w:r w:rsidRPr="0048141B">
              <w:rPr>
                <w:rFonts w:cs="Times New Roman"/>
                <w:sz w:val="18"/>
                <w:szCs w:val="18"/>
              </w:rPr>
              <w:t xml:space="preserve">       KG</w:t>
            </w:r>
          </w:p>
        </w:tc>
        <w:tc>
          <w:tcPr>
            <w:tcW w:w="1063" w:type="dxa"/>
            <w:tcBorders>
              <w:bottom w:val="single" w:sz="6" w:space="0" w:color="000000"/>
              <w:right w:val="single" w:sz="6" w:space="0" w:color="000000"/>
            </w:tcBorders>
            <w:tcMar>
              <w:top w:w="40" w:type="dxa"/>
              <w:left w:w="40" w:type="dxa"/>
              <w:bottom w:w="40" w:type="dxa"/>
              <w:right w:w="40" w:type="dxa"/>
            </w:tcMar>
          </w:tcPr>
          <w:p w14:paraId="1AF0439B"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2%</w:t>
            </w:r>
          </w:p>
        </w:tc>
      </w:tr>
      <w:tr w:rsidR="008016C0" w:rsidRPr="00DB60AD" w14:paraId="7297442F" w14:textId="77777777" w:rsidTr="00C24D36">
        <w:trPr>
          <w:trHeight w:hRule="exact" w:val="454"/>
          <w:jc w:val="center"/>
        </w:trPr>
        <w:tc>
          <w:tcPr>
            <w:tcW w:w="3110" w:type="dxa"/>
            <w:vMerge w:val="restart"/>
            <w:tcBorders>
              <w:left w:val="single" w:sz="6" w:space="0" w:color="000000"/>
              <w:right w:val="single" w:sz="6" w:space="0" w:color="000000"/>
            </w:tcBorders>
            <w:tcMar>
              <w:top w:w="40" w:type="dxa"/>
              <w:left w:w="40" w:type="dxa"/>
              <w:bottom w:w="40" w:type="dxa"/>
              <w:right w:w="40" w:type="dxa"/>
            </w:tcMar>
          </w:tcPr>
          <w:p w14:paraId="51C3C1B7" w14:textId="77777777" w:rsidR="008016C0" w:rsidRPr="0048141B" w:rsidRDefault="008016C0" w:rsidP="00C24D36">
            <w:pPr>
              <w:widowControl w:val="0"/>
              <w:rPr>
                <w:rFonts w:cs="Times New Roman"/>
                <w:sz w:val="18"/>
                <w:szCs w:val="18"/>
              </w:rPr>
            </w:pPr>
            <w:r w:rsidRPr="0048141B">
              <w:rPr>
                <w:rFonts w:cs="Times New Roman"/>
                <w:sz w:val="18"/>
                <w:szCs w:val="18"/>
              </w:rPr>
              <w:t>Overview of important seizures in the EU Jan - Dec 2016</w:t>
            </w:r>
          </w:p>
        </w:tc>
        <w:tc>
          <w:tcPr>
            <w:tcW w:w="1064" w:type="dxa"/>
            <w:vMerge w:val="restart"/>
            <w:tcBorders>
              <w:right w:val="single" w:sz="6" w:space="0" w:color="000000"/>
            </w:tcBorders>
            <w:tcMar>
              <w:top w:w="40" w:type="dxa"/>
              <w:left w:w="40" w:type="dxa"/>
              <w:bottom w:w="40" w:type="dxa"/>
              <w:right w:w="40" w:type="dxa"/>
            </w:tcMar>
          </w:tcPr>
          <w:p w14:paraId="5DEB772D"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2017</w:t>
            </w:r>
          </w:p>
        </w:tc>
        <w:tc>
          <w:tcPr>
            <w:tcW w:w="1063" w:type="dxa"/>
            <w:vMerge w:val="restart"/>
            <w:tcBorders>
              <w:right w:val="single" w:sz="6" w:space="0" w:color="000000"/>
            </w:tcBorders>
            <w:tcMar>
              <w:top w:w="40" w:type="dxa"/>
              <w:left w:w="40" w:type="dxa"/>
              <w:bottom w:w="40" w:type="dxa"/>
              <w:right w:w="40" w:type="dxa"/>
            </w:tcMar>
          </w:tcPr>
          <w:p w14:paraId="2D47D031"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24 (data from 18 used)</w:t>
            </w:r>
          </w:p>
        </w:tc>
        <w:tc>
          <w:tcPr>
            <w:tcW w:w="1064" w:type="dxa"/>
            <w:vMerge w:val="restart"/>
            <w:tcBorders>
              <w:right w:val="single" w:sz="6" w:space="0" w:color="000000"/>
            </w:tcBorders>
            <w:tcMar>
              <w:top w:w="40" w:type="dxa"/>
              <w:left w:w="40" w:type="dxa"/>
              <w:bottom w:w="40" w:type="dxa"/>
              <w:right w:w="40" w:type="dxa"/>
            </w:tcMar>
          </w:tcPr>
          <w:p w14:paraId="370AAF49"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16</w:t>
            </w:r>
          </w:p>
        </w:tc>
        <w:tc>
          <w:tcPr>
            <w:tcW w:w="567" w:type="dxa"/>
            <w:tcBorders>
              <w:bottom w:val="single" w:sz="6" w:space="0" w:color="000000"/>
              <w:right w:val="single" w:sz="6" w:space="0" w:color="000000"/>
            </w:tcBorders>
            <w:tcMar>
              <w:top w:w="40" w:type="dxa"/>
              <w:left w:w="40" w:type="dxa"/>
              <w:bottom w:w="40" w:type="dxa"/>
              <w:right w:w="40" w:type="dxa"/>
            </w:tcMar>
          </w:tcPr>
          <w:p w14:paraId="2FF341F0"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109,072</w:t>
            </w:r>
          </w:p>
        </w:tc>
        <w:tc>
          <w:tcPr>
            <w:tcW w:w="567" w:type="dxa"/>
          </w:tcPr>
          <w:p w14:paraId="2235536E"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specimens</w:t>
            </w:r>
          </w:p>
        </w:tc>
        <w:tc>
          <w:tcPr>
            <w:tcW w:w="1063" w:type="dxa"/>
            <w:vMerge w:val="restart"/>
            <w:tcBorders>
              <w:right w:val="single" w:sz="6" w:space="0" w:color="000000"/>
            </w:tcBorders>
            <w:tcMar>
              <w:top w:w="40" w:type="dxa"/>
              <w:left w:w="40" w:type="dxa"/>
              <w:bottom w:w="40" w:type="dxa"/>
              <w:right w:w="40" w:type="dxa"/>
            </w:tcMar>
          </w:tcPr>
          <w:p w14:paraId="72CE621F"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4%</w:t>
            </w:r>
          </w:p>
        </w:tc>
      </w:tr>
      <w:tr w:rsidR="008016C0" w:rsidRPr="00DB60AD" w14:paraId="2625BDAE" w14:textId="77777777" w:rsidTr="00C24D36">
        <w:trPr>
          <w:trHeight w:hRule="exact" w:val="454"/>
          <w:jc w:val="center"/>
        </w:trPr>
        <w:tc>
          <w:tcPr>
            <w:tcW w:w="3110" w:type="dxa"/>
            <w:vMerge/>
            <w:tcBorders>
              <w:left w:val="single" w:sz="6" w:space="0" w:color="000000"/>
              <w:bottom w:val="single" w:sz="6" w:space="0" w:color="000000"/>
              <w:right w:val="single" w:sz="6" w:space="0" w:color="000000"/>
            </w:tcBorders>
            <w:tcMar>
              <w:top w:w="40" w:type="dxa"/>
              <w:left w:w="40" w:type="dxa"/>
              <w:bottom w:w="40" w:type="dxa"/>
              <w:right w:w="40" w:type="dxa"/>
            </w:tcMar>
          </w:tcPr>
          <w:p w14:paraId="301FA1E8" w14:textId="77777777" w:rsidR="008016C0" w:rsidRPr="0048141B" w:rsidRDefault="008016C0" w:rsidP="00C24D36">
            <w:pPr>
              <w:widowControl w:val="0"/>
              <w:rPr>
                <w:rFonts w:cs="Times New Roman"/>
                <w:sz w:val="18"/>
                <w:szCs w:val="18"/>
              </w:rPr>
            </w:pPr>
          </w:p>
        </w:tc>
        <w:tc>
          <w:tcPr>
            <w:tcW w:w="1064" w:type="dxa"/>
            <w:vMerge/>
            <w:tcBorders>
              <w:bottom w:val="single" w:sz="6" w:space="0" w:color="000000"/>
              <w:right w:val="single" w:sz="6" w:space="0" w:color="000000"/>
            </w:tcBorders>
            <w:tcMar>
              <w:top w:w="40" w:type="dxa"/>
              <w:left w:w="40" w:type="dxa"/>
              <w:bottom w:w="40" w:type="dxa"/>
              <w:right w:w="40" w:type="dxa"/>
            </w:tcMar>
          </w:tcPr>
          <w:p w14:paraId="48930B3C" w14:textId="77777777" w:rsidR="008016C0" w:rsidRPr="0048141B" w:rsidRDefault="008016C0" w:rsidP="00C24D36">
            <w:pPr>
              <w:widowControl w:val="0"/>
              <w:spacing w:line="276" w:lineRule="auto"/>
              <w:jc w:val="center"/>
              <w:rPr>
                <w:rFonts w:cs="Times New Roman"/>
                <w:sz w:val="18"/>
                <w:szCs w:val="18"/>
              </w:rPr>
            </w:pPr>
          </w:p>
        </w:tc>
        <w:tc>
          <w:tcPr>
            <w:tcW w:w="1063" w:type="dxa"/>
            <w:vMerge/>
            <w:tcBorders>
              <w:bottom w:val="single" w:sz="6" w:space="0" w:color="000000"/>
              <w:right w:val="single" w:sz="6" w:space="0" w:color="000000"/>
            </w:tcBorders>
            <w:tcMar>
              <w:top w:w="40" w:type="dxa"/>
              <w:left w:w="40" w:type="dxa"/>
              <w:bottom w:w="40" w:type="dxa"/>
              <w:right w:w="40" w:type="dxa"/>
            </w:tcMar>
          </w:tcPr>
          <w:p w14:paraId="4C22E15A" w14:textId="77777777" w:rsidR="008016C0" w:rsidRPr="0048141B" w:rsidRDefault="008016C0" w:rsidP="00C24D36">
            <w:pPr>
              <w:widowControl w:val="0"/>
              <w:spacing w:line="276" w:lineRule="auto"/>
              <w:jc w:val="center"/>
              <w:rPr>
                <w:rFonts w:cs="Times New Roman"/>
                <w:sz w:val="18"/>
                <w:szCs w:val="18"/>
              </w:rPr>
            </w:pPr>
          </w:p>
        </w:tc>
        <w:tc>
          <w:tcPr>
            <w:tcW w:w="1064" w:type="dxa"/>
            <w:vMerge/>
            <w:tcBorders>
              <w:bottom w:val="single" w:sz="6" w:space="0" w:color="000000"/>
              <w:right w:val="single" w:sz="6" w:space="0" w:color="000000"/>
            </w:tcBorders>
            <w:tcMar>
              <w:top w:w="40" w:type="dxa"/>
              <w:left w:w="40" w:type="dxa"/>
              <w:bottom w:w="40" w:type="dxa"/>
              <w:right w:w="40" w:type="dxa"/>
            </w:tcMar>
          </w:tcPr>
          <w:p w14:paraId="712C0A64" w14:textId="77777777" w:rsidR="008016C0" w:rsidRPr="0048141B" w:rsidRDefault="008016C0" w:rsidP="00C24D36">
            <w:pPr>
              <w:widowControl w:val="0"/>
              <w:spacing w:line="276" w:lineRule="auto"/>
              <w:jc w:val="center"/>
              <w:rPr>
                <w:rFonts w:cs="Times New Roman"/>
                <w:sz w:val="18"/>
                <w:szCs w:val="18"/>
              </w:rPr>
            </w:pPr>
          </w:p>
        </w:tc>
        <w:tc>
          <w:tcPr>
            <w:tcW w:w="567" w:type="dxa"/>
            <w:tcBorders>
              <w:bottom w:val="single" w:sz="6" w:space="0" w:color="000000"/>
              <w:right w:val="single" w:sz="6" w:space="0" w:color="000000"/>
            </w:tcBorders>
            <w:tcMar>
              <w:top w:w="40" w:type="dxa"/>
              <w:left w:w="40" w:type="dxa"/>
              <w:bottom w:w="40" w:type="dxa"/>
              <w:right w:w="40" w:type="dxa"/>
            </w:tcMar>
          </w:tcPr>
          <w:p w14:paraId="41979038"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43</w:t>
            </w:r>
          </w:p>
        </w:tc>
        <w:tc>
          <w:tcPr>
            <w:tcW w:w="567" w:type="dxa"/>
            <w:tcBorders>
              <w:bottom w:val="single" w:sz="6" w:space="0" w:color="000000"/>
            </w:tcBorders>
          </w:tcPr>
          <w:p w14:paraId="6E8491C7"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KG</w:t>
            </w:r>
          </w:p>
        </w:tc>
        <w:tc>
          <w:tcPr>
            <w:tcW w:w="1063" w:type="dxa"/>
            <w:vMerge/>
            <w:tcBorders>
              <w:bottom w:val="single" w:sz="6" w:space="0" w:color="000000"/>
              <w:right w:val="single" w:sz="6" w:space="0" w:color="000000"/>
            </w:tcBorders>
            <w:tcMar>
              <w:top w:w="40" w:type="dxa"/>
              <w:left w:w="40" w:type="dxa"/>
              <w:bottom w:w="40" w:type="dxa"/>
              <w:right w:w="40" w:type="dxa"/>
            </w:tcMar>
          </w:tcPr>
          <w:p w14:paraId="6ED96C89" w14:textId="77777777" w:rsidR="008016C0" w:rsidRPr="0048141B" w:rsidRDefault="008016C0" w:rsidP="00C24D36">
            <w:pPr>
              <w:widowControl w:val="0"/>
              <w:spacing w:line="276" w:lineRule="auto"/>
              <w:jc w:val="center"/>
              <w:rPr>
                <w:rFonts w:cs="Times New Roman"/>
                <w:sz w:val="18"/>
                <w:szCs w:val="18"/>
              </w:rPr>
            </w:pPr>
          </w:p>
        </w:tc>
      </w:tr>
      <w:tr w:rsidR="008016C0" w:rsidRPr="00DB60AD" w14:paraId="5E4A61ED" w14:textId="77777777" w:rsidTr="00C24D36">
        <w:trPr>
          <w:trHeight w:hRule="exact" w:val="851"/>
          <w:jc w:val="center"/>
        </w:trPr>
        <w:tc>
          <w:tcPr>
            <w:tcW w:w="3110" w:type="dxa"/>
            <w:tcBorders>
              <w:left w:val="single" w:sz="6" w:space="0" w:color="000000"/>
              <w:bottom w:val="single" w:sz="6" w:space="0" w:color="000000"/>
              <w:right w:val="single" w:sz="6" w:space="0" w:color="000000"/>
            </w:tcBorders>
            <w:tcMar>
              <w:top w:w="40" w:type="dxa"/>
              <w:left w:w="40" w:type="dxa"/>
              <w:bottom w:w="40" w:type="dxa"/>
              <w:right w:w="40" w:type="dxa"/>
            </w:tcMar>
          </w:tcPr>
          <w:p w14:paraId="10EA8412" w14:textId="77777777" w:rsidR="008016C0" w:rsidRPr="0048141B" w:rsidRDefault="008016C0" w:rsidP="00C24D36">
            <w:pPr>
              <w:widowControl w:val="0"/>
              <w:rPr>
                <w:rFonts w:cs="Times New Roman"/>
                <w:sz w:val="18"/>
                <w:szCs w:val="18"/>
              </w:rPr>
            </w:pPr>
            <w:r w:rsidRPr="0048141B">
              <w:rPr>
                <w:rFonts w:cs="Times New Roman"/>
                <w:sz w:val="18"/>
                <w:szCs w:val="18"/>
              </w:rPr>
              <w:t>Overview of seizures of CITES listed wildlife in the EU Jan - Dec 2017</w:t>
            </w:r>
          </w:p>
        </w:tc>
        <w:tc>
          <w:tcPr>
            <w:tcW w:w="1064" w:type="dxa"/>
            <w:tcBorders>
              <w:bottom w:val="single" w:sz="6" w:space="0" w:color="000000"/>
              <w:right w:val="single" w:sz="6" w:space="0" w:color="000000"/>
            </w:tcBorders>
            <w:tcMar>
              <w:top w:w="40" w:type="dxa"/>
              <w:left w:w="40" w:type="dxa"/>
              <w:bottom w:w="40" w:type="dxa"/>
              <w:right w:w="40" w:type="dxa"/>
            </w:tcMar>
          </w:tcPr>
          <w:p w14:paraId="0FD96170"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2019</w:t>
            </w:r>
          </w:p>
        </w:tc>
        <w:tc>
          <w:tcPr>
            <w:tcW w:w="1063" w:type="dxa"/>
            <w:tcBorders>
              <w:bottom w:val="single" w:sz="6" w:space="0" w:color="000000"/>
              <w:right w:val="single" w:sz="6" w:space="0" w:color="000000"/>
            </w:tcBorders>
            <w:tcMar>
              <w:top w:w="40" w:type="dxa"/>
              <w:left w:w="40" w:type="dxa"/>
              <w:bottom w:w="40" w:type="dxa"/>
              <w:right w:w="40" w:type="dxa"/>
            </w:tcMar>
          </w:tcPr>
          <w:p w14:paraId="217BB053"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28</w:t>
            </w:r>
          </w:p>
        </w:tc>
        <w:tc>
          <w:tcPr>
            <w:tcW w:w="1064" w:type="dxa"/>
            <w:tcBorders>
              <w:bottom w:val="single" w:sz="6" w:space="0" w:color="000000"/>
              <w:right w:val="single" w:sz="6" w:space="0" w:color="000000"/>
            </w:tcBorders>
            <w:tcMar>
              <w:top w:w="40" w:type="dxa"/>
              <w:left w:w="40" w:type="dxa"/>
              <w:bottom w:w="40" w:type="dxa"/>
              <w:right w:w="40" w:type="dxa"/>
            </w:tcMar>
          </w:tcPr>
          <w:p w14:paraId="21282131"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13</w:t>
            </w:r>
          </w:p>
        </w:tc>
        <w:tc>
          <w:tcPr>
            <w:tcW w:w="567" w:type="dxa"/>
            <w:tcBorders>
              <w:bottom w:val="single" w:sz="6" w:space="0" w:color="000000"/>
              <w:right w:val="single" w:sz="6" w:space="0" w:color="000000"/>
            </w:tcBorders>
            <w:tcMar>
              <w:top w:w="40" w:type="dxa"/>
              <w:left w:w="40" w:type="dxa"/>
              <w:bottom w:w="40" w:type="dxa"/>
              <w:right w:w="40" w:type="dxa"/>
            </w:tcMar>
          </w:tcPr>
          <w:p w14:paraId="1B8E21C1"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171</w:t>
            </w:r>
          </w:p>
        </w:tc>
        <w:tc>
          <w:tcPr>
            <w:tcW w:w="567" w:type="dxa"/>
            <w:tcBorders>
              <w:bottom w:val="single" w:sz="6" w:space="0" w:color="000000"/>
            </w:tcBorders>
          </w:tcPr>
          <w:p w14:paraId="36B1B17F" w14:textId="77777777" w:rsidR="008016C0" w:rsidRPr="0048141B" w:rsidRDefault="008016C0" w:rsidP="00C24D36">
            <w:pPr>
              <w:widowControl w:val="0"/>
              <w:spacing w:line="276" w:lineRule="auto"/>
              <w:rPr>
                <w:rFonts w:cs="Times New Roman"/>
                <w:sz w:val="18"/>
                <w:szCs w:val="18"/>
              </w:rPr>
            </w:pPr>
            <w:r w:rsidRPr="0048141B">
              <w:rPr>
                <w:rFonts w:cs="Times New Roman"/>
                <w:sz w:val="18"/>
                <w:szCs w:val="18"/>
              </w:rPr>
              <w:t>Seizure records</w:t>
            </w:r>
          </w:p>
        </w:tc>
        <w:tc>
          <w:tcPr>
            <w:tcW w:w="1063" w:type="dxa"/>
            <w:tcBorders>
              <w:bottom w:val="single" w:sz="6" w:space="0" w:color="000000"/>
              <w:right w:val="single" w:sz="6" w:space="0" w:color="000000"/>
            </w:tcBorders>
            <w:tcMar>
              <w:top w:w="40" w:type="dxa"/>
              <w:left w:w="40" w:type="dxa"/>
              <w:bottom w:w="40" w:type="dxa"/>
              <w:right w:w="40" w:type="dxa"/>
            </w:tcMar>
          </w:tcPr>
          <w:p w14:paraId="59F31A72" w14:textId="77777777" w:rsidR="008016C0" w:rsidRPr="0048141B" w:rsidRDefault="008016C0" w:rsidP="00C24D36">
            <w:pPr>
              <w:widowControl w:val="0"/>
              <w:spacing w:line="276" w:lineRule="auto"/>
              <w:jc w:val="center"/>
              <w:rPr>
                <w:rFonts w:cs="Times New Roman"/>
                <w:sz w:val="18"/>
                <w:szCs w:val="18"/>
              </w:rPr>
            </w:pPr>
            <w:r w:rsidRPr="0048141B">
              <w:rPr>
                <w:rFonts w:cs="Times New Roman"/>
                <w:sz w:val="18"/>
                <w:szCs w:val="18"/>
              </w:rPr>
              <w:t>3%</w:t>
            </w:r>
          </w:p>
        </w:tc>
      </w:tr>
    </w:tbl>
    <w:p w14:paraId="691C7548" w14:textId="5607F08C" w:rsidR="007C5DDB" w:rsidRDefault="00E14942" w:rsidP="00324502">
      <w:pPr>
        <w:pStyle w:val="Heading6"/>
      </w:pPr>
      <w:bookmarkStart w:id="56" w:name="_Toc453224287"/>
      <w:r>
        <w:t>Table 4.2</w:t>
      </w:r>
      <w:r w:rsidR="00AC10E7" w:rsidRPr="00DB60AD">
        <w:t xml:space="preserve"> </w:t>
      </w:r>
      <w:r w:rsidR="007C5DDB">
        <w:t>Significant international seizures of caviar in the EU (2012- 2017)</w:t>
      </w:r>
      <w:bookmarkEnd w:id="56"/>
    </w:p>
    <w:p w14:paraId="5B793EBA" w14:textId="54D98E74" w:rsidR="00AC10E7" w:rsidRPr="007C5DDB" w:rsidRDefault="007C5DDB" w:rsidP="00AC10E7">
      <w:pPr>
        <w:pStyle w:val="Normal1"/>
        <w:spacing w:line="360" w:lineRule="auto"/>
        <w:jc w:val="both"/>
        <w:rPr>
          <w:rFonts w:ascii="Times New Roman" w:eastAsia="Times New Roman" w:hAnsi="Times New Roman" w:cs="Times New Roman"/>
          <w:bCs/>
          <w:i/>
          <w:sz w:val="20"/>
          <w:szCs w:val="20"/>
          <w:lang w:val="en-GB"/>
        </w:rPr>
      </w:pPr>
      <w:r>
        <w:rPr>
          <w:rFonts w:ascii="Times New Roman" w:eastAsia="Times New Roman" w:hAnsi="Times New Roman" w:cs="Times New Roman"/>
          <w:bCs/>
          <w:i/>
          <w:sz w:val="20"/>
          <w:szCs w:val="20"/>
          <w:lang w:val="en-GB"/>
        </w:rPr>
        <w:t>D</w:t>
      </w:r>
      <w:r w:rsidR="00AC10E7" w:rsidRPr="007C5DDB">
        <w:rPr>
          <w:rFonts w:ascii="Times New Roman" w:eastAsia="Times New Roman" w:hAnsi="Times New Roman" w:cs="Times New Roman"/>
          <w:bCs/>
          <w:i/>
          <w:sz w:val="20"/>
          <w:szCs w:val="20"/>
          <w:lang w:val="en-GB"/>
        </w:rPr>
        <w:t>ata taken from European Commission annual reports (2012 - 2017) on significant international seizures in the EU. The table includes data specific to caviar seizures, and shows the annual variation in number of EU Member States reporting seizures, as well as the variation in how seizures are reported.</w:t>
      </w:r>
    </w:p>
    <w:p w14:paraId="55685A4F" w14:textId="77777777" w:rsidR="00AC10E7" w:rsidRDefault="00AC10E7" w:rsidP="00FC70E0">
      <w:pPr>
        <w:pStyle w:val="Normal1"/>
        <w:spacing w:after="160" w:line="360" w:lineRule="auto"/>
        <w:jc w:val="both"/>
        <w:rPr>
          <w:rFonts w:ascii="Times New Roman" w:eastAsia="Times New Roman" w:hAnsi="Times New Roman" w:cs="Times New Roman"/>
        </w:rPr>
      </w:pPr>
    </w:p>
    <w:p w14:paraId="5C945A10" w14:textId="7018BCAF" w:rsidR="00AC10E7" w:rsidRDefault="00AC10E7" w:rsidP="00FC70E0">
      <w:pPr>
        <w:pStyle w:val="Normal1"/>
        <w:spacing w:after="160" w:line="360" w:lineRule="auto"/>
        <w:jc w:val="both"/>
        <w:rPr>
          <w:rFonts w:ascii="Times New Roman" w:eastAsia="Times New Roman" w:hAnsi="Times New Roman" w:cs="Times New Roman"/>
        </w:rPr>
      </w:pPr>
      <w:r>
        <w:rPr>
          <w:rFonts w:ascii="Times New Roman" w:eastAsia="Times New Roman" w:hAnsi="Times New Roman" w:cs="Times New Roman"/>
        </w:rPr>
        <w:tab/>
        <w:t>Moreover, there are also discrepancies in reported seizure data within sources. For example, in reporting total EU caviar seizures between 1999 and 2007, Engler and Knapp</w:t>
      </w:r>
      <w:r w:rsidR="00E519EA">
        <w:rPr>
          <w:rFonts w:ascii="Times New Roman" w:eastAsia="Times New Roman" w:hAnsi="Times New Roman" w:cs="Times New Roman"/>
        </w:rPr>
        <w:t xml:space="preserve"> (2008)</w:t>
      </w:r>
      <w:r>
        <w:rPr>
          <w:rFonts w:ascii="Times New Roman" w:eastAsia="Times New Roman" w:hAnsi="Times New Roman" w:cs="Times New Roman"/>
        </w:rPr>
        <w:t xml:space="preserve"> use data from the EU-TWIX database</w:t>
      </w:r>
      <w:r w:rsidRPr="005B292F">
        <w:rPr>
          <w:rStyle w:val="FootnoteReference"/>
        </w:rPr>
        <w:footnoteReference w:id="71"/>
      </w:r>
      <w:r>
        <w:rPr>
          <w:rFonts w:ascii="Times New Roman" w:eastAsia="Times New Roman" w:hAnsi="Times New Roman" w:cs="Times New Roman"/>
        </w:rPr>
        <w:t xml:space="preserve"> and  report that 4325kg of caviar was seized in 2000, and 1373kg was seized in 2003 (Engler &amp; K</w:t>
      </w:r>
      <w:r w:rsidR="00BE67D2">
        <w:rPr>
          <w:rFonts w:ascii="Times New Roman" w:eastAsia="Times New Roman" w:hAnsi="Times New Roman" w:cs="Times New Roman"/>
        </w:rPr>
        <w:t>napp, 2008:29; also see table</w:t>
      </w:r>
      <w:r w:rsidR="00E519EA">
        <w:rPr>
          <w:rFonts w:ascii="Times New Roman" w:eastAsia="Times New Roman" w:hAnsi="Times New Roman" w:cs="Times New Roman"/>
        </w:rPr>
        <w:t xml:space="preserve"> 4.1</w:t>
      </w:r>
      <w:r>
        <w:rPr>
          <w:rFonts w:ascii="Times New Roman" w:eastAsia="Times New Roman" w:hAnsi="Times New Roman" w:cs="Times New Roman"/>
        </w:rPr>
        <w:t>). However, in the conclusions made in the report, Engler and Knapp</w:t>
      </w:r>
      <w:r w:rsidR="00E519EA">
        <w:rPr>
          <w:rFonts w:ascii="Times New Roman" w:eastAsia="Times New Roman" w:hAnsi="Times New Roman" w:cs="Times New Roman"/>
        </w:rPr>
        <w:t xml:space="preserve"> (2008)</w:t>
      </w:r>
      <w:r>
        <w:rPr>
          <w:rFonts w:ascii="Times New Roman" w:eastAsia="Times New Roman" w:hAnsi="Times New Roman" w:cs="Times New Roman"/>
        </w:rPr>
        <w:t xml:space="preserve"> state that caviar seizures in the EU peaked in 2000, and report an elevated figure of 5359kg, and for 2003 also report a higher figure of 2054kg (Engler &amp; Knapp, 2008:38). For a product generally sold to consumers in 100g tins, this discrepancy in reported figures </w:t>
      </w:r>
      <w:r>
        <w:rPr>
          <w:rFonts w:ascii="Times New Roman" w:eastAsia="Times New Roman" w:hAnsi="Times New Roman" w:cs="Times New Roman"/>
        </w:rPr>
        <w:lastRenderedPageBreak/>
        <w:t xml:space="preserve">is significant. </w:t>
      </w:r>
      <w:r w:rsidRPr="00DA25F0">
        <w:rPr>
          <w:rFonts w:ascii="Times New Roman" w:eastAsia="Times New Roman" w:hAnsi="Times New Roman" w:cs="Times New Roman"/>
        </w:rPr>
        <w:t>Engler &amp; Knapp</w:t>
      </w:r>
      <w:r w:rsidR="00A67673">
        <w:rPr>
          <w:rFonts w:ascii="Times New Roman" w:eastAsia="Times New Roman" w:hAnsi="Times New Roman" w:cs="Times New Roman"/>
        </w:rPr>
        <w:t xml:space="preserve"> (2008)</w:t>
      </w:r>
      <w:r w:rsidRPr="00DA25F0">
        <w:rPr>
          <w:rFonts w:ascii="Times New Roman" w:eastAsia="Times New Roman" w:hAnsi="Times New Roman" w:cs="Times New Roman"/>
        </w:rPr>
        <w:t xml:space="preserve"> state that all reported figures are taken from the EU-TWIX database, and so it is unclear where the discrepancy in this report comes from, or which figures are correct</w:t>
      </w:r>
      <w:r w:rsidRPr="005B292F">
        <w:rPr>
          <w:rStyle w:val="FootnoteReference"/>
        </w:rPr>
        <w:footnoteReference w:id="72"/>
      </w:r>
      <w:r w:rsidRPr="00DA25F0">
        <w:rPr>
          <w:rFonts w:ascii="Times New Roman" w:eastAsia="Times New Roman" w:hAnsi="Times New Roman" w:cs="Times New Roman"/>
        </w:rPr>
        <w:t xml:space="preserve">. </w:t>
      </w:r>
    </w:p>
    <w:p w14:paraId="424FF972" w14:textId="1188220F" w:rsidR="00AC10E7" w:rsidRDefault="00AC10E7" w:rsidP="00FC70E0">
      <w:pPr>
        <w:pStyle w:val="Normal1"/>
        <w:spacing w:after="16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In relation to more recent seizure data, Harris &amp; Shiraishi (2018) also use data from the EU-TWIX database and report that in 2016 there were 77 seizure records in the EU totalling 60kg of seized caviar (see figure </w:t>
      </w:r>
      <w:r w:rsidR="00BE67D2">
        <w:rPr>
          <w:rFonts w:ascii="Times New Roman" w:eastAsia="Times New Roman" w:hAnsi="Times New Roman" w:cs="Times New Roman"/>
          <w:lang w:val="en-GB"/>
        </w:rPr>
        <w:t>4.4</w:t>
      </w:r>
      <w:r>
        <w:rPr>
          <w:rFonts w:ascii="Times New Roman" w:eastAsia="Times New Roman" w:hAnsi="Times New Roman" w:cs="Times New Roman"/>
        </w:rPr>
        <w:t xml:space="preserve">). On the other hand, the previously aforementioned European Commission report on </w:t>
      </w:r>
      <w:r w:rsidR="00A67673">
        <w:rPr>
          <w:rFonts w:ascii="Times New Roman" w:eastAsia="Times New Roman" w:hAnsi="Times New Roman" w:cs="Times New Roman"/>
        </w:rPr>
        <w:t>‘</w:t>
      </w:r>
      <w:r w:rsidRPr="00A67673">
        <w:rPr>
          <w:rFonts w:ascii="Times New Roman" w:eastAsia="Times New Roman" w:hAnsi="Times New Roman" w:cs="Times New Roman"/>
          <w:i/>
        </w:rPr>
        <w:t>significant wildlife seizures in the EU between January and December 2016</w:t>
      </w:r>
      <w:r w:rsidR="00A67673" w:rsidRPr="00A67673">
        <w:rPr>
          <w:rFonts w:ascii="Times New Roman" w:eastAsia="Times New Roman" w:hAnsi="Times New Roman" w:cs="Times New Roman"/>
          <w:i/>
        </w:rPr>
        <w:t>’</w:t>
      </w:r>
      <w:r>
        <w:rPr>
          <w:rFonts w:ascii="Times New Roman" w:eastAsia="Times New Roman" w:hAnsi="Times New Roman" w:cs="Times New Roman"/>
        </w:rPr>
        <w:t xml:space="preserve"> does not provide information on the total number of seizure records, but details caviar seizures for 2016 as 109,072 specimens and an additional 43kg of cavia</w:t>
      </w:r>
      <w:r w:rsidR="00BE67D2">
        <w:rPr>
          <w:rFonts w:ascii="Times New Roman" w:eastAsia="Times New Roman" w:hAnsi="Times New Roman" w:cs="Times New Roman"/>
          <w:lang w:val="en-GB"/>
        </w:rPr>
        <w:t>r (see table 4.2</w:t>
      </w:r>
      <w:r>
        <w:rPr>
          <w:rFonts w:ascii="Times New Roman" w:eastAsia="Times New Roman" w:hAnsi="Times New Roman" w:cs="Times New Roman"/>
          <w:lang w:val="en-GB"/>
        </w:rPr>
        <w:t>)</w:t>
      </w:r>
      <w:r>
        <w:rPr>
          <w:rFonts w:ascii="Times New Roman" w:eastAsia="Times New Roman" w:hAnsi="Times New Roman" w:cs="Times New Roman"/>
        </w:rPr>
        <w:t>. The d</w:t>
      </w:r>
      <w:r w:rsidR="00A67673">
        <w:rPr>
          <w:rFonts w:ascii="Times New Roman" w:eastAsia="Times New Roman" w:hAnsi="Times New Roman" w:cs="Times New Roman"/>
        </w:rPr>
        <w:t>ata presented in this report were</w:t>
      </w:r>
      <w:r>
        <w:rPr>
          <w:rFonts w:ascii="Times New Roman" w:eastAsia="Times New Roman" w:hAnsi="Times New Roman" w:cs="Times New Roman"/>
        </w:rPr>
        <w:t xml:space="preserve"> gathered from the reports of significant seizures</w:t>
      </w:r>
      <w:r w:rsidR="00BE67D2">
        <w:rPr>
          <w:rFonts w:ascii="Times New Roman" w:eastAsia="Times New Roman" w:hAnsi="Times New Roman" w:cs="Times New Roman"/>
        </w:rPr>
        <w:t xml:space="preserve"> delivered by</w:t>
      </w:r>
      <w:r>
        <w:rPr>
          <w:rFonts w:ascii="Times New Roman" w:eastAsia="Times New Roman" w:hAnsi="Times New Roman" w:cs="Times New Roman"/>
        </w:rPr>
        <w:t xml:space="preserve"> EU Member States to the European Commission. Th</w:t>
      </w:r>
      <w:r w:rsidR="00BE67D2">
        <w:rPr>
          <w:rFonts w:ascii="Times New Roman" w:eastAsia="Times New Roman" w:hAnsi="Times New Roman" w:cs="Times New Roman"/>
        </w:rPr>
        <w:t>is report notes that there was “</w:t>
      </w:r>
      <w:r>
        <w:rPr>
          <w:rFonts w:ascii="Times New Roman" w:eastAsia="Times New Roman" w:hAnsi="Times New Roman" w:cs="Times New Roman"/>
        </w:rPr>
        <w:t xml:space="preserve">a significant increase in the number of items containing caviar seized in 2016, mainly due to France reporting the seizure of a total of 107,625 cosmetic products </w:t>
      </w:r>
      <w:r w:rsidR="00BE67D2">
        <w:rPr>
          <w:rFonts w:ascii="Times New Roman" w:eastAsia="Times New Roman" w:hAnsi="Times New Roman" w:cs="Times New Roman"/>
        </w:rPr>
        <w:t>containing sturgeon caviar”</w:t>
      </w:r>
      <w:r w:rsidR="00125098" w:rsidRPr="005B292F">
        <w:rPr>
          <w:rStyle w:val="FootnoteReference"/>
        </w:rPr>
        <w:footnoteReference w:id="73"/>
      </w:r>
      <w:r w:rsidR="00125098">
        <w:rPr>
          <w:rFonts w:ascii="Times New Roman" w:eastAsia="Times New Roman" w:hAnsi="Times New Roman" w:cs="Times New Roman"/>
        </w:rPr>
        <w:t xml:space="preserve">. </w:t>
      </w:r>
      <w:r w:rsidR="00A67673">
        <w:rPr>
          <w:rFonts w:ascii="Times New Roman" w:eastAsia="Times New Roman" w:hAnsi="Times New Roman" w:cs="Times New Roman"/>
        </w:rPr>
        <w:t>The use of caviar extract in anti-aging cosmetic producs such as skin-creams and face-masks (see image 4.3) is a growing trend. E</w:t>
      </w:r>
      <w:r w:rsidRPr="00DA25F0">
        <w:rPr>
          <w:rFonts w:ascii="Times New Roman" w:eastAsia="Times New Roman" w:hAnsi="Times New Roman" w:cs="Times New Roman"/>
        </w:rPr>
        <w:t xml:space="preserve">nforcement officer Vince explained that </w:t>
      </w:r>
      <w:r w:rsidR="00125098">
        <w:rPr>
          <w:rFonts w:ascii="Times New Roman" w:eastAsia="Times New Roman" w:hAnsi="Times New Roman" w:cs="Times New Roman"/>
        </w:rPr>
        <w:t xml:space="preserve">UK </w:t>
      </w:r>
      <w:r w:rsidRPr="00DA25F0">
        <w:rPr>
          <w:rFonts w:ascii="Times New Roman" w:eastAsia="Times New Roman" w:hAnsi="Times New Roman" w:cs="Times New Roman"/>
        </w:rPr>
        <w:t>Customs had been anecdotally informed by the UK Government Animal a</w:t>
      </w:r>
      <w:r w:rsidR="00125098">
        <w:rPr>
          <w:rFonts w:ascii="Times New Roman" w:eastAsia="Times New Roman" w:hAnsi="Times New Roman" w:cs="Times New Roman"/>
        </w:rPr>
        <w:t>nd Plant Health Agency (APHA), “</w:t>
      </w:r>
      <w:r w:rsidRPr="00DA25F0">
        <w:rPr>
          <w:rFonts w:ascii="Times New Roman" w:eastAsia="Times New Roman" w:hAnsi="Times New Roman" w:cs="Times New Roman"/>
        </w:rPr>
        <w:t xml:space="preserve">that more caviar comes into the UK for use in </w:t>
      </w:r>
      <w:r>
        <w:rPr>
          <w:rFonts w:ascii="Times New Roman" w:eastAsia="Times New Roman" w:hAnsi="Times New Roman" w:cs="Times New Roman"/>
        </w:rPr>
        <w:t>cosmetics than there is to eat</w:t>
      </w:r>
      <w:r w:rsidR="00125098">
        <w:rPr>
          <w:rFonts w:ascii="Times New Roman" w:eastAsia="Times New Roman" w:hAnsi="Times New Roman" w:cs="Times New Roman"/>
        </w:rPr>
        <w:t>”</w:t>
      </w:r>
      <w:r w:rsidRPr="005B292F">
        <w:rPr>
          <w:rStyle w:val="FootnoteReference"/>
        </w:rPr>
        <w:footnoteReference w:id="74"/>
      </w:r>
      <w:r w:rsidRPr="00DA25F0">
        <w:rPr>
          <w:rFonts w:ascii="Times New Roman" w:eastAsia="Times New Roman" w:hAnsi="Times New Roman" w:cs="Times New Roman"/>
        </w:rPr>
        <w:t xml:space="preserve">. Thus, it is notable that Harris &amp; Shiraishi (2018) choose to exclude cosmetics from their analysis, and focus on seizures of caviar in terms of weight (kg) and number of seizure records, rather than including number of ‘specimens’ seized. As a result, Harris &amp; Shiraishi </w:t>
      </w:r>
      <w:r w:rsidR="00A67673">
        <w:rPr>
          <w:rFonts w:ascii="Times New Roman" w:eastAsia="Times New Roman" w:hAnsi="Times New Roman" w:cs="Times New Roman"/>
        </w:rPr>
        <w:t xml:space="preserve">report </w:t>
      </w:r>
      <w:r w:rsidRPr="00DA25F0">
        <w:rPr>
          <w:rFonts w:ascii="Times New Roman" w:eastAsia="Times New Roman" w:hAnsi="Times New Roman" w:cs="Times New Roman"/>
        </w:rPr>
        <w:t>that in 2016 there was an overall decrease in</w:t>
      </w:r>
      <w:r w:rsidR="00A67673">
        <w:rPr>
          <w:rFonts w:ascii="Times New Roman" w:eastAsia="Times New Roman" w:hAnsi="Times New Roman" w:cs="Times New Roman"/>
        </w:rPr>
        <w:t xml:space="preserve"> illegal caviar trade in the EU;</w:t>
      </w:r>
      <w:r w:rsidRPr="00DA25F0">
        <w:rPr>
          <w:rFonts w:ascii="Times New Roman" w:eastAsia="Times New Roman" w:hAnsi="Times New Roman" w:cs="Times New Roman"/>
        </w:rPr>
        <w:t xml:space="preserve"> whereas the European Commission report </w:t>
      </w:r>
      <w:r w:rsidR="00A67673">
        <w:rPr>
          <w:rFonts w:ascii="Times New Roman" w:eastAsia="Times New Roman" w:hAnsi="Times New Roman" w:cs="Times New Roman"/>
        </w:rPr>
        <w:t xml:space="preserve">from the same year, </w:t>
      </w:r>
      <w:r w:rsidRPr="00DA25F0">
        <w:rPr>
          <w:rFonts w:ascii="Times New Roman" w:eastAsia="Times New Roman" w:hAnsi="Times New Roman" w:cs="Times New Roman"/>
        </w:rPr>
        <w:t xml:space="preserve">states there was a significant increase in the number of </w:t>
      </w:r>
      <w:r w:rsidR="00A67673">
        <w:rPr>
          <w:rFonts w:ascii="Times New Roman" w:eastAsia="Times New Roman" w:hAnsi="Times New Roman" w:cs="Times New Roman"/>
        </w:rPr>
        <w:t xml:space="preserve">seized </w:t>
      </w:r>
      <w:r w:rsidRPr="00DA25F0">
        <w:rPr>
          <w:rFonts w:ascii="Times New Roman" w:eastAsia="Times New Roman" w:hAnsi="Times New Roman" w:cs="Times New Roman"/>
        </w:rPr>
        <w:t>items containing caviar in 2016.</w:t>
      </w:r>
    </w:p>
    <w:p w14:paraId="6BA1326E" w14:textId="70615913" w:rsidR="00A67673" w:rsidRPr="00256808" w:rsidRDefault="00A67673" w:rsidP="00FC70E0">
      <w:pPr>
        <w:pStyle w:val="Normal1"/>
        <w:spacing w:after="160" w:line="360" w:lineRule="auto"/>
        <w:ind w:firstLine="720"/>
        <w:jc w:val="both"/>
        <w:rPr>
          <w:rFonts w:ascii="Times New Roman" w:eastAsia="Times New Roman" w:hAnsi="Times New Roman" w:cs="Times New Roman"/>
          <w:lang w:val="en-GB"/>
        </w:rPr>
      </w:pPr>
      <w:r w:rsidRPr="00DA25F0">
        <w:rPr>
          <w:rFonts w:ascii="Times New Roman" w:eastAsia="Times New Roman" w:hAnsi="Times New Roman" w:cs="Times New Roman"/>
        </w:rPr>
        <w:t>This discrepancy points to a wider problem wit</w:t>
      </w:r>
      <w:r w:rsidR="008E4952">
        <w:rPr>
          <w:rFonts w:ascii="Times New Roman" w:eastAsia="Times New Roman" w:hAnsi="Times New Roman" w:cs="Times New Roman"/>
        </w:rPr>
        <w:t xml:space="preserve">h using seizure data to frame narratives </w:t>
      </w:r>
      <w:r w:rsidRPr="00DA25F0">
        <w:rPr>
          <w:rFonts w:ascii="Times New Roman" w:eastAsia="Times New Roman" w:hAnsi="Times New Roman" w:cs="Times New Roman"/>
        </w:rPr>
        <w:t>about the impact of regulations on illegal caviar trade. Seizure data can be easily manipulated or moulded just by changing the unit or frame of reference used in the report - i.e number of seizure records, number of specimens seized, total weight of caviar seized, or even excluding products such as cosmetics from analysis. For example, Harris &amp; Shiraishi’s (2018) report shows that in 2016 there were 77 records of caviar seizures in the EU - which is actually an increase on the 63 records in 2015; and based on this some may conclude that this shows an increase rather than decrease in illegal caviar trade. However, they choose to emphasise that seizu</w:t>
      </w:r>
      <w:r>
        <w:rPr>
          <w:rFonts w:ascii="Times New Roman" w:eastAsia="Times New Roman" w:hAnsi="Times New Roman" w:cs="Times New Roman"/>
        </w:rPr>
        <w:t>res by weight in 2016 were 60kg</w:t>
      </w:r>
      <w:r w:rsidRPr="00DA25F0">
        <w:rPr>
          <w:rFonts w:ascii="Times New Roman" w:eastAsia="Times New Roman" w:hAnsi="Times New Roman" w:cs="Times New Roman"/>
        </w:rPr>
        <w:t>, which is a decrease on the 83kg of caviar seized in 2015.</w:t>
      </w:r>
      <w:r>
        <w:rPr>
          <w:lang w:val="en-GB"/>
        </w:rPr>
        <w:t xml:space="preserve"> </w:t>
      </w:r>
      <w:r w:rsidRPr="00DA25F0">
        <w:rPr>
          <w:rFonts w:ascii="Times New Roman" w:eastAsia="Times New Roman" w:hAnsi="Times New Roman" w:cs="Times New Roman"/>
        </w:rPr>
        <w:t xml:space="preserve">If Harris and Shiraishi (2018) had included </w:t>
      </w:r>
      <w:r>
        <w:rPr>
          <w:rFonts w:ascii="Times New Roman" w:eastAsia="Times New Roman" w:hAnsi="Times New Roman" w:cs="Times New Roman"/>
          <w:lang w:val="en-GB"/>
        </w:rPr>
        <w:t xml:space="preserve">seizures of </w:t>
      </w:r>
      <w:r w:rsidRPr="00DA25F0">
        <w:rPr>
          <w:rFonts w:ascii="Times New Roman" w:eastAsia="Times New Roman" w:hAnsi="Times New Roman" w:cs="Times New Roman"/>
        </w:rPr>
        <w:t>cosmetics</w:t>
      </w:r>
      <w:r>
        <w:rPr>
          <w:rFonts w:ascii="Times New Roman" w:eastAsia="Times New Roman" w:hAnsi="Times New Roman" w:cs="Times New Roman"/>
          <w:lang w:val="en-GB"/>
        </w:rPr>
        <w:t xml:space="preserve"> in their analyses</w:t>
      </w:r>
      <w:r w:rsidRPr="00DA25F0">
        <w:rPr>
          <w:rFonts w:ascii="Times New Roman" w:eastAsia="Times New Roman" w:hAnsi="Times New Roman" w:cs="Times New Roman"/>
        </w:rPr>
        <w:t xml:space="preserve">, then the 107,625 cosmetic products seized in France in 2016 could have dramatically influenced their conclusions. Thus, depending on which variable is reported - and which </w:t>
      </w:r>
      <w:r w:rsidRPr="00DA25F0">
        <w:rPr>
          <w:rFonts w:ascii="Times New Roman" w:eastAsia="Times New Roman" w:hAnsi="Times New Roman" w:cs="Times New Roman"/>
        </w:rPr>
        <w:lastRenderedPageBreak/>
        <w:t>are omitted - seizure data can be skewed, thereby leading to different interpretations and conclusions about the impact of caviar trade regulations on the levels and trends in illegal caviar trade in the EU.</w:t>
      </w:r>
    </w:p>
    <w:p w14:paraId="55C46D47" w14:textId="77777777" w:rsidR="00A67673" w:rsidRPr="00DA25F0" w:rsidRDefault="00A67673" w:rsidP="00AC10E7">
      <w:pPr>
        <w:pStyle w:val="Normal1"/>
        <w:spacing w:line="360" w:lineRule="auto"/>
        <w:ind w:firstLine="720"/>
        <w:jc w:val="both"/>
        <w:rPr>
          <w:rFonts w:ascii="Times New Roman" w:eastAsia="Times New Roman" w:hAnsi="Times New Roman" w:cs="Times New Roman"/>
        </w:rPr>
      </w:pPr>
    </w:p>
    <w:p w14:paraId="112157E5" w14:textId="77777777" w:rsidR="00AC10E7" w:rsidRDefault="00AC10E7" w:rsidP="00AC10E7">
      <w:pPr>
        <w:pStyle w:val="Normal1"/>
        <w:spacing w:line="360" w:lineRule="auto"/>
        <w:ind w:firstLine="720"/>
        <w:jc w:val="both"/>
        <w:rPr>
          <w:rFonts w:ascii="Times New Roman" w:eastAsia="Times New Roman" w:hAnsi="Times New Roman" w:cs="Times New Roman"/>
        </w:rPr>
      </w:pPr>
    </w:p>
    <w:p w14:paraId="473598A0" w14:textId="77777777" w:rsidR="00AC10E7" w:rsidRDefault="00AC10E7" w:rsidP="00AC10E7">
      <w:pPr>
        <w:pStyle w:val="Normal1"/>
        <w:spacing w:line="360" w:lineRule="auto"/>
        <w:ind w:firstLine="720"/>
        <w:jc w:val="center"/>
        <w:rPr>
          <w:rFonts w:ascii="Times New Roman" w:eastAsia="Times New Roman" w:hAnsi="Times New Roman" w:cs="Times New Roman"/>
        </w:rPr>
      </w:pPr>
      <w:r>
        <w:rPr>
          <w:rFonts w:ascii="Times New Roman" w:eastAsia="Times New Roman" w:hAnsi="Times New Roman" w:cs="Times New Roman"/>
          <w:noProof/>
          <w:lang w:val="en-US"/>
        </w:rPr>
        <w:drawing>
          <wp:inline distT="0" distB="0" distL="0" distR="0" wp14:anchorId="22833DB1" wp14:editId="1FE26BFF">
            <wp:extent cx="4054475" cy="5407660"/>
            <wp:effectExtent l="0" t="0" r="3175"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54475" cy="5407660"/>
                    </a:xfrm>
                    <a:prstGeom prst="rect">
                      <a:avLst/>
                    </a:prstGeom>
                    <a:noFill/>
                  </pic:spPr>
                </pic:pic>
              </a:graphicData>
            </a:graphic>
          </wp:inline>
        </w:drawing>
      </w:r>
    </w:p>
    <w:p w14:paraId="13794C7E" w14:textId="58A07E39" w:rsidR="007C5DDB" w:rsidRDefault="00E14942" w:rsidP="00324502">
      <w:pPr>
        <w:pStyle w:val="Heading5"/>
      </w:pPr>
      <w:bookmarkStart w:id="57" w:name="_Toc453224276"/>
      <w:r>
        <w:t>Image 4.3</w:t>
      </w:r>
      <w:r w:rsidR="00AC10E7" w:rsidRPr="00DA25F0">
        <w:t xml:space="preserve">: An example of a </w:t>
      </w:r>
      <w:r w:rsidR="007C5DDB">
        <w:t xml:space="preserve">cosmetic </w:t>
      </w:r>
      <w:r w:rsidR="00AC10E7" w:rsidRPr="00DA25F0">
        <w:t xml:space="preserve">face </w:t>
      </w:r>
      <w:r w:rsidR="007C5DDB">
        <w:t>mask containing caviar extract</w:t>
      </w:r>
      <w:bookmarkEnd w:id="57"/>
    </w:p>
    <w:p w14:paraId="6E2D00F2" w14:textId="2F784B8D" w:rsidR="00AC10E7" w:rsidRPr="007C5DDB" w:rsidRDefault="00AC10E7" w:rsidP="00125098">
      <w:pPr>
        <w:pStyle w:val="Normal1"/>
        <w:spacing w:line="360" w:lineRule="auto"/>
        <w:rPr>
          <w:rFonts w:ascii="Times New Roman" w:eastAsia="Times New Roman" w:hAnsi="Times New Roman" w:cs="Times New Roman"/>
          <w:bCs/>
          <w:i/>
          <w:sz w:val="20"/>
          <w:szCs w:val="20"/>
        </w:rPr>
      </w:pPr>
      <w:r w:rsidRPr="007C5DDB">
        <w:rPr>
          <w:rFonts w:ascii="Times New Roman" w:eastAsia="Times New Roman" w:hAnsi="Times New Roman" w:cs="Times New Roman"/>
          <w:bCs/>
          <w:i/>
          <w:sz w:val="20"/>
          <w:szCs w:val="20"/>
        </w:rPr>
        <w:t>For sale in a UK Department store. (Photo: Author’s Own)</w:t>
      </w:r>
    </w:p>
    <w:p w14:paraId="06E27EF5" w14:textId="23F98A0B" w:rsidR="00AC10E7" w:rsidRPr="00256808" w:rsidRDefault="00AC10E7" w:rsidP="00A67673">
      <w:pPr>
        <w:pStyle w:val="Normal1"/>
        <w:spacing w:line="360" w:lineRule="auto"/>
        <w:jc w:val="both"/>
        <w:rPr>
          <w:rFonts w:ascii="Times New Roman" w:eastAsia="Times New Roman" w:hAnsi="Times New Roman" w:cs="Times New Roman"/>
          <w:lang w:val="en-GB"/>
        </w:rPr>
      </w:pPr>
    </w:p>
    <w:p w14:paraId="06B203D2" w14:textId="30B09B63" w:rsidR="00125098" w:rsidRPr="00125098" w:rsidRDefault="00AC10E7" w:rsidP="00FC70E0">
      <w:pPr>
        <w:pStyle w:val="Normal1"/>
        <w:spacing w:after="160" w:line="360" w:lineRule="auto"/>
        <w:jc w:val="both"/>
        <w:rPr>
          <w:rFonts w:ascii="Times New Roman" w:eastAsia="Times New Roman" w:hAnsi="Times New Roman" w:cs="Times New Roman"/>
          <w:lang w:val="en-GB"/>
        </w:rPr>
      </w:pPr>
      <w:r>
        <w:rPr>
          <w:rFonts w:ascii="Times New Roman" w:eastAsia="Times New Roman" w:hAnsi="Times New Roman" w:cs="Times New Roman"/>
        </w:rPr>
        <w:tab/>
        <w:t xml:space="preserve">A final point to be made when deconstructing the seizure data, is that the confiscations </w:t>
      </w:r>
      <w:r w:rsidR="00125098">
        <w:rPr>
          <w:rFonts w:ascii="Times New Roman" w:eastAsia="Times New Roman" w:hAnsi="Times New Roman" w:cs="Times New Roman"/>
          <w:lang w:val="en-GB"/>
        </w:rPr>
        <w:t>“</w:t>
      </w:r>
      <w:r>
        <w:rPr>
          <w:rFonts w:ascii="Times New Roman" w:eastAsia="Times New Roman" w:hAnsi="Times New Roman" w:cs="Times New Roman"/>
        </w:rPr>
        <w:t>only reflect a part of the illegal trade because most of the trade is unreported or undiscovered</w:t>
      </w:r>
      <w:r w:rsidR="00125098">
        <w:rPr>
          <w:rFonts w:ascii="Times New Roman" w:eastAsia="Times New Roman" w:hAnsi="Times New Roman" w:cs="Times New Roman"/>
          <w:lang w:val="en-GB"/>
        </w:rPr>
        <w:t>”</w:t>
      </w:r>
      <w:r>
        <w:rPr>
          <w:rFonts w:ascii="Times New Roman" w:eastAsia="Times New Roman" w:hAnsi="Times New Roman" w:cs="Times New Roman"/>
        </w:rPr>
        <w:t xml:space="preserve"> </w:t>
      </w:r>
      <w:r>
        <w:rPr>
          <w:rFonts w:ascii="Times New Roman" w:eastAsia="Times New Roman" w:hAnsi="Times New Roman" w:cs="Times New Roman"/>
        </w:rPr>
        <w:fldChar w:fldCharType="begin" w:fldLock="1"/>
      </w:r>
      <w:r w:rsidR="00EC7F7E">
        <w:rPr>
          <w:rFonts w:ascii="Times New Roman" w:eastAsia="Times New Roman" w:hAnsi="Times New Roman" w:cs="Times New Roman"/>
        </w:rPr>
        <w:instrText>ADDIN CSL_CITATION {"citationItems":[{"id":"ITEM-1","itemData":{"DOI":"10.1007/s12117-016-9264-5","ISBN":"0165-1684","ISSN":"19364830","abstract":"The trade in caviar has a rich and colorful history, influenced over thousands of years by many cultures, societies and in the last decades by regulation. The value of caviar is historically discovered in the context of social change, political relationships and environmental change. The role of organized crime is described, as the scarcity of caviar has offered the unique opportunity to fish illegally, smuggle and trade contraband to mainly European countries with millions in profits. This study highlights that these criminal networks manifest themselves at all levels of the trade: from the poaching areas where organized criminal groups cooperate with law enforcers and possess top-notch equipment to major smuggling operations in the hands of sophisticated criminal networks. Although due to overexploitation ‘wild caviar’ is increasingly difficult to obtain, the demand in the context of exclusivity and scarcity remains intact by the upper class society desire for edible gold.","author":[{"dropping-particle":"","family":"Uhm","given":"Daan","non-dropping-particle":"van","parse-names":false,"suffix":""},{"dropping-particle":"","family":"Siegel","given":"Dina","non-dropping-particle":"","parse-names":false,"suffix":""}],"container-title":"Trends in Organized Crime","id":"ITEM-1","issue":"1","issued":{"date-parts":[["2016"]]},"page":"67-87","title":"The illegal trade in black caviar","type":"article-journal","volume":"19"},"uris":["http://www.mendeley.com/documents/?uuid=34c9ccf8-422d-4c42-a907-21a3eb6a28ad"]}],"mendeley":{"formattedCitation":"(van Uhm and Siegel, 2016)","manualFormatting":"(van Uhm &amp; Siegel, 2016:73)","plainTextFormattedCitation":"(van Uhm and Siegel, 2016)","previouslyFormattedCitation":"(van Uhm and Siegel, 2016)"},"properties":{"noteIndex":0},"schema":"https://github.com/citation-style-language/schema/raw/master/csl-citation.json"}</w:instrText>
      </w:r>
      <w:r>
        <w:rPr>
          <w:rFonts w:ascii="Times New Roman" w:eastAsia="Times New Roman" w:hAnsi="Times New Roman" w:cs="Times New Roman"/>
        </w:rPr>
        <w:fldChar w:fldCharType="separate"/>
      </w:r>
      <w:r w:rsidRPr="004249FE">
        <w:rPr>
          <w:rFonts w:ascii="Times New Roman" w:eastAsia="Times New Roman" w:hAnsi="Times New Roman" w:cs="Times New Roman"/>
          <w:noProof/>
        </w:rPr>
        <w:t>(van Uhm &amp; Siegel, 2016</w:t>
      </w:r>
      <w:r>
        <w:rPr>
          <w:rFonts w:ascii="Times New Roman" w:eastAsia="Times New Roman" w:hAnsi="Times New Roman" w:cs="Times New Roman"/>
          <w:noProof/>
        </w:rPr>
        <w:t>:73</w:t>
      </w:r>
      <w:r w:rsidRPr="004249FE">
        <w:rPr>
          <w:rFonts w:ascii="Times New Roman" w:eastAsia="Times New Roman" w:hAnsi="Times New Roman" w:cs="Times New Roman"/>
          <w:noProof/>
        </w:rPr>
        <w:t>)</w:t>
      </w:r>
      <w:r>
        <w:rPr>
          <w:rFonts w:ascii="Times New Roman" w:eastAsia="Times New Roman" w:hAnsi="Times New Roman" w:cs="Times New Roman"/>
        </w:rPr>
        <w:fldChar w:fldCharType="end"/>
      </w:r>
      <w:r>
        <w:rPr>
          <w:rFonts w:ascii="Times New Roman" w:eastAsia="Times New Roman" w:hAnsi="Times New Roman" w:cs="Times New Roman"/>
        </w:rPr>
        <w:t>. This is particularly pertinent when considering that trade within the European Union is classed as domestic and is therefore less regulated. This in theory means that ill</w:t>
      </w:r>
      <w:r w:rsidR="00124478">
        <w:rPr>
          <w:rFonts w:ascii="Times New Roman" w:eastAsia="Times New Roman" w:hAnsi="Times New Roman" w:cs="Times New Roman"/>
        </w:rPr>
        <w:t xml:space="preserve">egal caviar products </w:t>
      </w:r>
      <w:r w:rsidR="008E4952">
        <w:rPr>
          <w:rFonts w:ascii="Times New Roman" w:eastAsia="Times New Roman" w:hAnsi="Times New Roman" w:cs="Times New Roman"/>
        </w:rPr>
        <w:t xml:space="preserve">can circulate on </w:t>
      </w:r>
      <w:r w:rsidR="00124478">
        <w:rPr>
          <w:rFonts w:ascii="Times New Roman" w:eastAsia="Times New Roman" w:hAnsi="Times New Roman" w:cs="Times New Roman"/>
        </w:rPr>
        <w:t xml:space="preserve">EU </w:t>
      </w:r>
      <w:r>
        <w:rPr>
          <w:rFonts w:ascii="Times New Roman" w:eastAsia="Times New Roman" w:hAnsi="Times New Roman" w:cs="Times New Roman"/>
        </w:rPr>
        <w:t>domestic markets without detection. This</w:t>
      </w:r>
      <w:r>
        <w:rPr>
          <w:rFonts w:ascii="Times New Roman" w:eastAsia="Times New Roman" w:hAnsi="Times New Roman" w:cs="Times New Roman"/>
          <w:lang w:val="en-GB"/>
        </w:rPr>
        <w:t xml:space="preserve"> issue</w:t>
      </w:r>
      <w:r>
        <w:rPr>
          <w:rFonts w:ascii="Times New Roman" w:eastAsia="Times New Roman" w:hAnsi="Times New Roman" w:cs="Times New Roman"/>
        </w:rPr>
        <w:t xml:space="preserve"> was summed up by </w:t>
      </w:r>
      <w:r>
        <w:rPr>
          <w:rFonts w:ascii="Times New Roman" w:eastAsia="Times New Roman" w:hAnsi="Times New Roman" w:cs="Times New Roman"/>
          <w:lang w:val="en-GB"/>
        </w:rPr>
        <w:t>Irini who is a national project coordinator for a Romanian NGO:</w:t>
      </w:r>
    </w:p>
    <w:p w14:paraId="0245FBA9" w14:textId="7A687509" w:rsidR="008E4952" w:rsidRPr="008E4952" w:rsidRDefault="00AC10E7" w:rsidP="00FC70E0">
      <w:pPr>
        <w:pStyle w:val="Quote"/>
      </w:pPr>
      <w:r w:rsidRPr="00810504">
        <w:lastRenderedPageBreak/>
        <w:t xml:space="preserve">Now the problem is with this European level, is that we have the common market. Before 2007 we had more controls on the borders and so on. But now it’s an internal market, so it’s not really </w:t>
      </w:r>
      <w:r w:rsidR="00125098">
        <w:t>easy to control [illegal trade]</w:t>
      </w:r>
      <w:r w:rsidRPr="005B292F">
        <w:rPr>
          <w:rStyle w:val="FootnoteReference"/>
        </w:rPr>
        <w:footnoteReference w:id="75"/>
      </w:r>
      <w:r w:rsidRPr="00810504">
        <w:t>.</w:t>
      </w:r>
    </w:p>
    <w:p w14:paraId="6CFB6407" w14:textId="1F900B41" w:rsidR="00AC10E7" w:rsidRDefault="00AC10E7" w:rsidP="00FC70E0">
      <w:pPr>
        <w:pStyle w:val="Normal1"/>
        <w:spacing w:after="160" w:line="360" w:lineRule="auto"/>
        <w:jc w:val="both"/>
        <w:rPr>
          <w:rFonts w:ascii="Times New Roman" w:eastAsia="Times New Roman" w:hAnsi="Times New Roman" w:cs="Times New Roman"/>
        </w:rPr>
      </w:pPr>
      <w:r w:rsidRPr="009D3DA0">
        <w:rPr>
          <w:rFonts w:ascii="Times New Roman" w:eastAsia="Times New Roman" w:hAnsi="Times New Roman" w:cs="Times New Roman"/>
        </w:rPr>
        <w:t>Furthermore, when seizures of caviar originating from within the EU do take place, they are less likely to be reported beyond the Member State, as they are not examples of significant ‘international’ trade</w:t>
      </w:r>
      <w:r>
        <w:rPr>
          <w:rFonts w:ascii="Times New Roman" w:eastAsia="Times New Roman" w:hAnsi="Times New Roman" w:cs="Times New Roman"/>
          <w:lang w:val="en-GB"/>
        </w:rPr>
        <w:t xml:space="preserve"> that the EU institutions compile reports on</w:t>
      </w:r>
      <w:r w:rsidRPr="009D3DA0">
        <w:rPr>
          <w:rFonts w:ascii="Times New Roman" w:eastAsia="Times New Roman" w:hAnsi="Times New Roman" w:cs="Times New Roman"/>
        </w:rPr>
        <w:t>. For example</w:t>
      </w:r>
      <w:r w:rsidR="008E4952">
        <w:rPr>
          <w:rFonts w:ascii="Times New Roman" w:eastAsia="Times New Roman" w:hAnsi="Times New Roman" w:cs="Times New Roman"/>
        </w:rPr>
        <w:t>,</w:t>
      </w:r>
      <w:r w:rsidRPr="009D3DA0">
        <w:rPr>
          <w:rFonts w:ascii="Times New Roman" w:eastAsia="Times New Roman" w:hAnsi="Times New Roman" w:cs="Times New Roman"/>
        </w:rPr>
        <w:t xml:space="preserve"> one</w:t>
      </w:r>
      <w:r>
        <w:rPr>
          <w:rFonts w:ascii="Times New Roman" w:eastAsia="Times New Roman" w:hAnsi="Times New Roman" w:cs="Times New Roman"/>
          <w:lang w:val="en-GB"/>
        </w:rPr>
        <w:t xml:space="preserve"> journalistic</w:t>
      </w:r>
      <w:r w:rsidRPr="009D3DA0">
        <w:rPr>
          <w:rFonts w:ascii="Times New Roman" w:eastAsia="Times New Roman" w:hAnsi="Times New Roman" w:cs="Times New Roman"/>
        </w:rPr>
        <w:t xml:space="preserve"> report </w:t>
      </w:r>
      <w:r w:rsidR="008E4952">
        <w:rPr>
          <w:rFonts w:ascii="Times New Roman" w:eastAsia="Times New Roman" w:hAnsi="Times New Roman" w:cs="Times New Roman"/>
        </w:rPr>
        <w:t xml:space="preserve">suggests that in Romania alone </w:t>
      </w:r>
      <w:r w:rsidRPr="009D3DA0">
        <w:rPr>
          <w:rFonts w:ascii="Times New Roman" w:eastAsia="Times New Roman" w:hAnsi="Times New Roman" w:cs="Times New Roman"/>
        </w:rPr>
        <w:t>between 2015 and 2019 520kg of sturgeon and 450kg of caviar was seized by Border Police (Daea, 2019)</w:t>
      </w:r>
      <w:r w:rsidR="00124478" w:rsidRPr="005B292F">
        <w:rPr>
          <w:rStyle w:val="FootnoteReference"/>
        </w:rPr>
        <w:footnoteReference w:id="76"/>
      </w:r>
      <w:r w:rsidRPr="009D3DA0">
        <w:rPr>
          <w:rFonts w:ascii="Times New Roman" w:eastAsia="Times New Roman" w:hAnsi="Times New Roman" w:cs="Times New Roman"/>
        </w:rPr>
        <w:t xml:space="preserve">. </w:t>
      </w:r>
      <w:r>
        <w:rPr>
          <w:rFonts w:ascii="Times New Roman" w:eastAsia="Times New Roman" w:hAnsi="Times New Roman" w:cs="Times New Roman"/>
          <w:lang w:val="en-GB"/>
        </w:rPr>
        <w:t>However I did not find these data reported a</w:t>
      </w:r>
      <w:r w:rsidR="008E4952">
        <w:rPr>
          <w:rFonts w:ascii="Times New Roman" w:eastAsia="Times New Roman" w:hAnsi="Times New Roman" w:cs="Times New Roman"/>
          <w:lang w:val="en-GB"/>
        </w:rPr>
        <w:t xml:space="preserve">t the </w:t>
      </w:r>
      <w:r>
        <w:rPr>
          <w:rFonts w:ascii="Times New Roman" w:eastAsia="Times New Roman" w:hAnsi="Times New Roman" w:cs="Times New Roman"/>
          <w:lang w:val="en-GB"/>
        </w:rPr>
        <w:t xml:space="preserve">EU level, and </w:t>
      </w:r>
      <w:r w:rsidRPr="009D3DA0">
        <w:rPr>
          <w:rFonts w:ascii="Times New Roman" w:eastAsia="Times New Roman" w:hAnsi="Times New Roman" w:cs="Times New Roman"/>
        </w:rPr>
        <w:t>I</w:t>
      </w:r>
      <w:r w:rsidR="008E4952">
        <w:rPr>
          <w:rFonts w:ascii="Times New Roman" w:eastAsia="Times New Roman" w:hAnsi="Times New Roman" w:cs="Times New Roman"/>
        </w:rPr>
        <w:t xml:space="preserve"> was unable to corroborate these </w:t>
      </w:r>
      <w:r w:rsidRPr="009D3DA0">
        <w:rPr>
          <w:rFonts w:ascii="Times New Roman" w:eastAsia="Times New Roman" w:hAnsi="Times New Roman" w:cs="Times New Roman"/>
        </w:rPr>
        <w:t xml:space="preserve">data with any official reports or statistics. </w:t>
      </w:r>
      <w:r>
        <w:rPr>
          <w:rFonts w:ascii="Times New Roman" w:eastAsia="Times New Roman" w:hAnsi="Times New Roman" w:cs="Times New Roman"/>
          <w:lang w:val="en-GB"/>
        </w:rPr>
        <w:t xml:space="preserve">Despite this, this example </w:t>
      </w:r>
      <w:r>
        <w:rPr>
          <w:rFonts w:ascii="Times New Roman" w:eastAsia="Times New Roman" w:hAnsi="Times New Roman" w:cs="Times New Roman"/>
        </w:rPr>
        <w:t xml:space="preserve">adds further credence to Sigrid’s assertion that </w:t>
      </w:r>
      <w:r>
        <w:rPr>
          <w:rFonts w:ascii="Times New Roman" w:eastAsia="Times New Roman" w:hAnsi="Times New Roman" w:cs="Times New Roman"/>
          <w:lang w:val="en-GB"/>
        </w:rPr>
        <w:t>EU-TWIX</w:t>
      </w:r>
      <w:r w:rsidR="00124478">
        <w:rPr>
          <w:rFonts w:ascii="Times New Roman" w:eastAsia="Times New Roman" w:hAnsi="Times New Roman" w:cs="Times New Roman"/>
        </w:rPr>
        <w:t xml:space="preserve"> seizure data “</w:t>
      </w:r>
      <w:r>
        <w:rPr>
          <w:rFonts w:ascii="Times New Roman" w:eastAsia="Times New Roman" w:hAnsi="Times New Roman" w:cs="Times New Roman"/>
        </w:rPr>
        <w:t>doesn’t say enough of the actual pict</w:t>
      </w:r>
      <w:r w:rsidR="00124478">
        <w:rPr>
          <w:rFonts w:ascii="Times New Roman" w:eastAsia="Times New Roman" w:hAnsi="Times New Roman" w:cs="Times New Roman"/>
        </w:rPr>
        <w:t>ure”</w:t>
      </w:r>
      <w:r>
        <w:rPr>
          <w:rFonts w:ascii="Times New Roman" w:eastAsia="Times New Roman" w:hAnsi="Times New Roman" w:cs="Times New Roman"/>
        </w:rPr>
        <w:t>, about the impacts of caviar trade regulations on illegal caviar trade</w:t>
      </w:r>
      <w:r w:rsidR="008E4952">
        <w:rPr>
          <w:rFonts w:ascii="Times New Roman" w:eastAsia="Times New Roman" w:hAnsi="Times New Roman" w:cs="Times New Roman"/>
        </w:rPr>
        <w:t xml:space="preserve"> dynamics - </w:t>
      </w:r>
      <w:r>
        <w:rPr>
          <w:rFonts w:ascii="Times New Roman" w:eastAsia="Times New Roman" w:hAnsi="Times New Roman" w:cs="Times New Roman"/>
        </w:rPr>
        <w:t>particularly in the EU where the domestic market further complicates the situation and acts as a</w:t>
      </w:r>
      <w:r w:rsidR="00124478">
        <w:rPr>
          <w:rFonts w:ascii="Times New Roman" w:eastAsia="Times New Roman" w:hAnsi="Times New Roman" w:cs="Times New Roman"/>
        </w:rPr>
        <w:t xml:space="preserve"> proverbial</w:t>
      </w:r>
      <w:r>
        <w:rPr>
          <w:rFonts w:ascii="Times New Roman" w:eastAsia="Times New Roman" w:hAnsi="Times New Roman" w:cs="Times New Roman"/>
        </w:rPr>
        <w:t xml:space="preserve"> black-hole of information.</w:t>
      </w:r>
      <w:r w:rsidR="00124478">
        <w:rPr>
          <w:rFonts w:ascii="Times New Roman" w:eastAsia="Times New Roman" w:hAnsi="Times New Roman" w:cs="Times New Roman"/>
        </w:rPr>
        <w:t xml:space="preserve"> As a result, Yvar argues that “</w:t>
      </w:r>
      <w:r>
        <w:rPr>
          <w:rFonts w:ascii="Times New Roman" w:eastAsia="Times New Roman" w:hAnsi="Times New Roman" w:cs="Times New Roman"/>
        </w:rPr>
        <w:t>we do not have a good image of criminal networks involved in wildlife trafficking based upon statistics</w:t>
      </w:r>
      <w:r w:rsidR="00124478">
        <w:rPr>
          <w:rFonts w:ascii="Times New Roman" w:eastAsia="Times New Roman" w:hAnsi="Times New Roman" w:cs="Times New Roman"/>
        </w:rPr>
        <w:t>”</w:t>
      </w:r>
      <w:r w:rsidRPr="005B292F">
        <w:rPr>
          <w:rStyle w:val="FootnoteReference"/>
        </w:rPr>
        <w:footnoteReference w:id="77"/>
      </w:r>
      <w:r>
        <w:rPr>
          <w:rFonts w:ascii="Times New Roman" w:eastAsia="Times New Roman" w:hAnsi="Times New Roman" w:cs="Times New Roman"/>
        </w:rPr>
        <w:t xml:space="preserve">. </w:t>
      </w:r>
    </w:p>
    <w:p w14:paraId="3A669B53" w14:textId="145EC7AB" w:rsidR="008016C0" w:rsidRDefault="00AC10E7" w:rsidP="00FC70E0">
      <w:pPr>
        <w:pStyle w:val="Normal1"/>
        <w:spacing w:after="160" w:line="360" w:lineRule="auto"/>
        <w:jc w:val="both"/>
        <w:rPr>
          <w:rFonts w:ascii="Times New Roman" w:eastAsia="Times New Roman" w:hAnsi="Times New Roman" w:cs="Times New Roman"/>
        </w:rPr>
      </w:pPr>
      <w:r>
        <w:rPr>
          <w:rFonts w:ascii="Times New Roman" w:eastAsia="Times New Roman" w:hAnsi="Times New Roman" w:cs="Times New Roman"/>
        </w:rPr>
        <w:tab/>
      </w:r>
      <w:r w:rsidRPr="009D3DA0">
        <w:rPr>
          <w:rFonts w:ascii="Times New Roman" w:eastAsia="Times New Roman" w:hAnsi="Times New Roman" w:cs="Times New Roman"/>
        </w:rPr>
        <w:t xml:space="preserve">As such, I fervently critique the use of seizure data to justify CITES priority setting and enforcement strategies in the European Union. Not only is the seizure data flawed, but it also does not tell </w:t>
      </w:r>
      <w:r w:rsidR="004D6BF9">
        <w:rPr>
          <w:rFonts w:ascii="Times New Roman" w:eastAsia="Times New Roman" w:hAnsi="Times New Roman" w:cs="Times New Roman"/>
        </w:rPr>
        <w:t xml:space="preserve">us </w:t>
      </w:r>
      <w:r w:rsidRPr="009D3DA0">
        <w:rPr>
          <w:rFonts w:ascii="Times New Roman" w:eastAsia="Times New Roman" w:hAnsi="Times New Roman" w:cs="Times New Roman"/>
        </w:rPr>
        <w:t xml:space="preserve">enough about the impact of the regulations on </w:t>
      </w:r>
      <w:r w:rsidR="004D6BF9">
        <w:rPr>
          <w:rFonts w:ascii="Times New Roman" w:eastAsia="Times New Roman" w:hAnsi="Times New Roman" w:cs="Times New Roman"/>
        </w:rPr>
        <w:t xml:space="preserve">dynamics of </w:t>
      </w:r>
      <w:r w:rsidRPr="009D3DA0">
        <w:rPr>
          <w:rFonts w:ascii="Times New Roman" w:eastAsia="Times New Roman" w:hAnsi="Times New Roman" w:cs="Times New Roman"/>
        </w:rPr>
        <w:t>illegal trade and criminal networks</w:t>
      </w:r>
      <w:r w:rsidR="004B3480">
        <w:rPr>
          <w:rFonts w:ascii="Times New Roman" w:eastAsia="Times New Roman" w:hAnsi="Times New Roman" w:cs="Times New Roman"/>
        </w:rPr>
        <w:t xml:space="preserve"> in the EU</w:t>
      </w:r>
      <w:r w:rsidRPr="009D3DA0">
        <w:rPr>
          <w:rFonts w:ascii="Times New Roman" w:eastAsia="Times New Roman" w:hAnsi="Times New Roman" w:cs="Times New Roman"/>
        </w:rPr>
        <w:t>. Moreover, the fixation upon seizure data gives a nar</w:t>
      </w:r>
      <w:r w:rsidR="004D6BF9">
        <w:rPr>
          <w:rFonts w:ascii="Times New Roman" w:eastAsia="Times New Roman" w:hAnsi="Times New Roman" w:cs="Times New Roman"/>
        </w:rPr>
        <w:t>row view about the wider implications</w:t>
      </w:r>
      <w:r w:rsidRPr="009D3DA0">
        <w:rPr>
          <w:rFonts w:ascii="Times New Roman" w:eastAsia="Times New Roman" w:hAnsi="Times New Roman" w:cs="Times New Roman"/>
        </w:rPr>
        <w:t xml:space="preserve"> of the regulations in the EU. Thus, in the following section I </w:t>
      </w:r>
      <w:r w:rsidR="004D6BF9">
        <w:rPr>
          <w:rFonts w:ascii="Times New Roman" w:eastAsia="Times New Roman" w:hAnsi="Times New Roman" w:cs="Times New Roman"/>
        </w:rPr>
        <w:t xml:space="preserve">shed </w:t>
      </w:r>
      <w:r w:rsidRPr="009D3DA0">
        <w:rPr>
          <w:rFonts w:ascii="Times New Roman" w:eastAsia="Times New Roman" w:hAnsi="Times New Roman" w:cs="Times New Roman"/>
        </w:rPr>
        <w:t>light</w:t>
      </w:r>
      <w:r w:rsidR="004D6BF9">
        <w:rPr>
          <w:rFonts w:ascii="Times New Roman" w:eastAsia="Times New Roman" w:hAnsi="Times New Roman" w:cs="Times New Roman"/>
        </w:rPr>
        <w:t xml:space="preserve"> on</w:t>
      </w:r>
      <w:r w:rsidRPr="009D3DA0">
        <w:rPr>
          <w:rFonts w:ascii="Times New Roman" w:eastAsia="Times New Roman" w:hAnsi="Times New Roman" w:cs="Times New Roman"/>
        </w:rPr>
        <w:t xml:space="preserve"> political-ecological impacts that are </w:t>
      </w:r>
      <w:r w:rsidR="008E4952">
        <w:rPr>
          <w:rFonts w:ascii="Times New Roman" w:eastAsia="Times New Roman" w:hAnsi="Times New Roman" w:cs="Times New Roman"/>
        </w:rPr>
        <w:t xml:space="preserve">overlooked </w:t>
      </w:r>
      <w:r w:rsidRPr="009D3DA0">
        <w:rPr>
          <w:rFonts w:ascii="Times New Roman" w:eastAsia="Times New Roman" w:hAnsi="Times New Roman" w:cs="Times New Roman"/>
        </w:rPr>
        <w:t>by the do</w:t>
      </w:r>
      <w:r w:rsidR="008E4952">
        <w:rPr>
          <w:rFonts w:ascii="Times New Roman" w:eastAsia="Times New Roman" w:hAnsi="Times New Roman" w:cs="Times New Roman"/>
        </w:rPr>
        <w:t>minant political narratives which</w:t>
      </w:r>
      <w:r w:rsidRPr="009D3DA0">
        <w:rPr>
          <w:rFonts w:ascii="Times New Roman" w:eastAsia="Times New Roman" w:hAnsi="Times New Roman" w:cs="Times New Roman"/>
        </w:rPr>
        <w:t xml:space="preserve"> overwhelmingly and narrowly define the impacts of the regulations in terms of declining caviar seizures.</w:t>
      </w:r>
    </w:p>
    <w:p w14:paraId="131EA618" w14:textId="77777777" w:rsidR="00FC70E0" w:rsidRDefault="00FC70E0" w:rsidP="00FC70E0">
      <w:pPr>
        <w:pStyle w:val="Normal1"/>
        <w:spacing w:after="160" w:line="360" w:lineRule="auto"/>
        <w:jc w:val="both"/>
        <w:rPr>
          <w:rFonts w:ascii="Times New Roman" w:eastAsia="Times New Roman" w:hAnsi="Times New Roman" w:cs="Times New Roman"/>
        </w:rPr>
      </w:pPr>
    </w:p>
    <w:p w14:paraId="19D69853" w14:textId="77777777" w:rsidR="00FC70E0" w:rsidRPr="008E4952" w:rsidRDefault="00FC70E0" w:rsidP="00FC70E0">
      <w:pPr>
        <w:pStyle w:val="Normal1"/>
        <w:spacing w:after="160" w:line="360" w:lineRule="auto"/>
        <w:jc w:val="both"/>
        <w:rPr>
          <w:rFonts w:ascii="Times New Roman" w:eastAsia="Times New Roman" w:hAnsi="Times New Roman" w:cs="Times New Roman"/>
        </w:rPr>
      </w:pPr>
    </w:p>
    <w:p w14:paraId="68F3D710" w14:textId="2DC3B2CD" w:rsidR="00AC10E7" w:rsidRDefault="00810504" w:rsidP="00810504">
      <w:pPr>
        <w:pStyle w:val="Heading2"/>
      </w:pPr>
      <w:bookmarkStart w:id="58" w:name="_Toc453224218"/>
      <w:r>
        <w:lastRenderedPageBreak/>
        <w:t>4</w:t>
      </w:r>
      <w:r w:rsidR="00AC10E7">
        <w:t>.4. Revealing hidden political-ecological impacts of the caviar trade regulations in the EU</w:t>
      </w:r>
      <w:bookmarkEnd w:id="58"/>
      <w:r w:rsidR="00AC10E7">
        <w:t xml:space="preserve"> </w:t>
      </w:r>
    </w:p>
    <w:p w14:paraId="6D8E5CD2" w14:textId="0AF9DF46" w:rsidR="00AC10E7" w:rsidRDefault="00AC10E7" w:rsidP="00FC70E0">
      <w:pPr>
        <w:pStyle w:val="Normal1"/>
        <w:spacing w:after="160" w:line="360" w:lineRule="auto"/>
        <w:jc w:val="both"/>
        <w:rPr>
          <w:rFonts w:ascii="Times New Roman" w:eastAsia="Times New Roman" w:hAnsi="Times New Roman" w:cs="Times New Roman"/>
        </w:rPr>
      </w:pPr>
      <w:r>
        <w:rPr>
          <w:rFonts w:ascii="Times New Roman" w:eastAsia="Times New Roman" w:hAnsi="Times New Roman" w:cs="Times New Roman"/>
        </w:rPr>
        <w:t>When asking Oliya what the impacts of the caviar trade regulations had been for the operations of her caviar company, she explained that the export quotas and concomitant shift to aquaculture had been posi</w:t>
      </w:r>
      <w:r w:rsidR="009E454F">
        <w:rPr>
          <w:rFonts w:ascii="Times New Roman" w:eastAsia="Times New Roman" w:hAnsi="Times New Roman" w:cs="Times New Roman"/>
        </w:rPr>
        <w:t>tive for her company, and that “</w:t>
      </w:r>
      <w:r>
        <w:rPr>
          <w:rFonts w:ascii="Times New Roman" w:eastAsia="Times New Roman" w:hAnsi="Times New Roman" w:cs="Times New Roman"/>
        </w:rPr>
        <w:t>we are a lot more free</w:t>
      </w:r>
      <w:r w:rsidR="009E454F">
        <w:rPr>
          <w:rFonts w:ascii="Times New Roman" w:eastAsia="Times New Roman" w:hAnsi="Times New Roman" w:cs="Times New Roman"/>
        </w:rPr>
        <w:t>”</w:t>
      </w:r>
      <w:r w:rsidRPr="005B292F">
        <w:rPr>
          <w:rStyle w:val="FootnoteReference"/>
        </w:rPr>
        <w:footnoteReference w:id="78"/>
      </w:r>
      <w:r>
        <w:rPr>
          <w:rFonts w:ascii="Times New Roman" w:eastAsia="Times New Roman" w:hAnsi="Times New Roman" w:cs="Times New Roman"/>
        </w:rPr>
        <w:t>, than when the company was reliant on sourcing wild-sturgeon from the Caspian Sea. In fact, Oliya v</w:t>
      </w:r>
      <w:r w:rsidR="009E454F">
        <w:rPr>
          <w:rFonts w:ascii="Times New Roman" w:eastAsia="Times New Roman" w:hAnsi="Times New Roman" w:cs="Times New Roman"/>
        </w:rPr>
        <w:t>ehemently declared that she is “</w:t>
      </w:r>
      <w:r>
        <w:rPr>
          <w:rFonts w:ascii="Times New Roman" w:eastAsia="Times New Roman" w:hAnsi="Times New Roman" w:cs="Times New Roman"/>
        </w:rPr>
        <w:t>so happy that the wild caviar is finished</w:t>
      </w:r>
      <w:r w:rsidR="009E454F">
        <w:rPr>
          <w:rFonts w:ascii="Times New Roman" w:eastAsia="Times New Roman" w:hAnsi="Times New Roman" w:cs="Times New Roman"/>
        </w:rPr>
        <w:t>”</w:t>
      </w:r>
      <w:r w:rsidRPr="005B292F">
        <w:rPr>
          <w:rStyle w:val="FootnoteReference"/>
        </w:rPr>
        <w:footnoteReference w:id="79"/>
      </w:r>
      <w:r>
        <w:rPr>
          <w:rFonts w:ascii="Times New Roman" w:eastAsia="Times New Roman" w:hAnsi="Times New Roman" w:cs="Times New Roman"/>
        </w:rPr>
        <w:t>. So, although CITES Resolution Conf 12.7 created more stringent bureaucratic hurdles for the caviar industry, it also catalysed the emergence and growth of caviar aquaculture; and it seems that the expanded caviar market and the competition this has produced, has benefited many caviar companies. For caviar producers, the impacts of the regulations are felt most greatly in terms of the shift to aquaculture, which is seen in overwhelmingly positive terms.</w:t>
      </w:r>
    </w:p>
    <w:p w14:paraId="571A03E6" w14:textId="0E949A04" w:rsidR="00AC10E7" w:rsidRDefault="00AC10E7" w:rsidP="00FC70E0">
      <w:pPr>
        <w:pStyle w:val="Normal1"/>
        <w:spacing w:after="160" w:line="360" w:lineRule="auto"/>
        <w:ind w:firstLine="720"/>
        <w:jc w:val="both"/>
        <w:rPr>
          <w:rFonts w:ascii="Times New Roman" w:eastAsia="Times New Roman" w:hAnsi="Times New Roman" w:cs="Times New Roman"/>
          <w:lang w:val="en-GB"/>
        </w:rPr>
      </w:pPr>
      <w:r>
        <w:rPr>
          <w:rFonts w:ascii="Times New Roman" w:eastAsia="Times New Roman" w:hAnsi="Times New Roman" w:cs="Times New Roman"/>
        </w:rPr>
        <w:t xml:space="preserve"> However, a recent article from the LA Times has pushed back on the narratives that portray the impact of the regulations in a pred</w:t>
      </w:r>
      <w:r w:rsidR="009E454F">
        <w:rPr>
          <w:rFonts w:ascii="Times New Roman" w:eastAsia="Times New Roman" w:hAnsi="Times New Roman" w:cs="Times New Roman"/>
        </w:rPr>
        <w:t>ominantly positive light by selectively</w:t>
      </w:r>
      <w:r>
        <w:rPr>
          <w:rFonts w:ascii="Times New Roman" w:eastAsia="Times New Roman" w:hAnsi="Times New Roman" w:cs="Times New Roman"/>
        </w:rPr>
        <w:t xml:space="preserve"> focusing on declining seizures and the shift to </w:t>
      </w:r>
      <w:r w:rsidR="00E74997">
        <w:rPr>
          <w:rFonts w:ascii="Times New Roman" w:eastAsia="Times New Roman" w:hAnsi="Times New Roman" w:cs="Times New Roman"/>
        </w:rPr>
        <w:t xml:space="preserve">sturgeon </w:t>
      </w:r>
      <w:r>
        <w:rPr>
          <w:rFonts w:ascii="Times New Roman" w:eastAsia="Times New Roman" w:hAnsi="Times New Roman" w:cs="Times New Roman"/>
        </w:rPr>
        <w:t>aquaculture. Instead</w:t>
      </w:r>
      <w:r w:rsidR="00E74997">
        <w:rPr>
          <w:rFonts w:ascii="Times New Roman" w:eastAsia="Times New Roman" w:hAnsi="Times New Roman" w:cs="Times New Roman"/>
        </w:rPr>
        <w:t>,</w:t>
      </w:r>
      <w:r>
        <w:rPr>
          <w:rFonts w:ascii="Times New Roman" w:eastAsia="Times New Roman" w:hAnsi="Times New Roman" w:cs="Times New Roman"/>
        </w:rPr>
        <w:t xml:space="preserve"> the articl</w:t>
      </w:r>
      <w:r w:rsidR="00E74997">
        <w:rPr>
          <w:rFonts w:ascii="Times New Roman" w:eastAsia="Times New Roman" w:hAnsi="Times New Roman" w:cs="Times New Roman"/>
        </w:rPr>
        <w:t xml:space="preserve">e quotes Bulgarian fisherman </w:t>
      </w:r>
      <w:r>
        <w:rPr>
          <w:rFonts w:ascii="Times New Roman" w:eastAsia="Times New Roman" w:hAnsi="Times New Roman" w:cs="Times New Roman"/>
        </w:rPr>
        <w:t>Ivanov, who remonst</w:t>
      </w:r>
      <w:r w:rsidR="009E454F">
        <w:rPr>
          <w:rFonts w:ascii="Times New Roman" w:eastAsia="Times New Roman" w:hAnsi="Times New Roman" w:cs="Times New Roman"/>
        </w:rPr>
        <w:t>rates that “</w:t>
      </w:r>
      <w:r>
        <w:rPr>
          <w:rFonts w:ascii="Times New Roman" w:eastAsia="Times New Roman" w:hAnsi="Times New Roman" w:cs="Times New Roman"/>
        </w:rPr>
        <w:t>the law was made without considering those most affected by it</w:t>
      </w:r>
      <w:r w:rsidR="009E454F">
        <w:rPr>
          <w:rFonts w:ascii="Times New Roman" w:eastAsia="Times New Roman" w:hAnsi="Times New Roman" w:cs="Times New Roman"/>
        </w:rPr>
        <w:t>”</w:t>
      </w:r>
      <w:r w:rsidR="00E74997">
        <w:rPr>
          <w:rFonts w:ascii="Times New Roman" w:eastAsia="Times New Roman" w:hAnsi="Times New Roman" w:cs="Times New Roman"/>
        </w:rPr>
        <w:t xml:space="preserve"> </w:t>
      </w:r>
      <w:r w:rsidR="00E74997">
        <w:rPr>
          <w:rFonts w:ascii="Times New Roman" w:eastAsia="Times New Roman" w:hAnsi="Times New Roman" w:cs="Times New Roman"/>
        </w:rPr>
        <w:fldChar w:fldCharType="begin" w:fldLock="1"/>
      </w:r>
      <w:r w:rsidR="00926CB6">
        <w:rPr>
          <w:rFonts w:ascii="Times New Roman" w:eastAsia="Times New Roman" w:hAnsi="Times New Roman" w:cs="Times New Roman"/>
        </w:rPr>
        <w:instrText>ADDIN CSL_CITATION {"citationItems":[{"id":"ITEM-1","itemData":{"author":[{"dropping-particle":"","family":"Hruby","given":"Denise","non-dropping-particle":"","parse-names":false,"suffix":""}],"container-title":"Los Angeles Times","id":"ITEM-1","issued":{"date-parts":[["2020"]]},"title":"Craving for caviar is driving the Danube River's sturgeon to extinction","type":"article-newspaper"},"uris":["http://www.mendeley.com/documents/?uuid=44542893-e24c-424b-a9b2-fcfe9977e2a6"]}],"mendeley":{"formattedCitation":"(Hruby, 2020)","manualFormatting":"(quoted in Hruby, 2020)","plainTextFormattedCitation":"(Hruby, 2020)","previouslyFormattedCitation":"(Hruby, 2020)"},"properties":{"noteIndex":0},"schema":"https://github.com/citation-style-language/schema/raw/master/csl-citation.json"}</w:instrText>
      </w:r>
      <w:r w:rsidR="00E74997">
        <w:rPr>
          <w:rFonts w:ascii="Times New Roman" w:eastAsia="Times New Roman" w:hAnsi="Times New Roman" w:cs="Times New Roman"/>
        </w:rPr>
        <w:fldChar w:fldCharType="separate"/>
      </w:r>
      <w:r w:rsidR="00E74997" w:rsidRPr="00E74997">
        <w:rPr>
          <w:rFonts w:ascii="Times New Roman" w:eastAsia="Times New Roman" w:hAnsi="Times New Roman" w:cs="Times New Roman"/>
          <w:noProof/>
        </w:rPr>
        <w:t>(</w:t>
      </w:r>
      <w:r w:rsidR="00E74997">
        <w:rPr>
          <w:rFonts w:ascii="Times New Roman" w:eastAsia="Times New Roman" w:hAnsi="Times New Roman" w:cs="Times New Roman"/>
          <w:noProof/>
        </w:rPr>
        <w:t xml:space="preserve">quoted in </w:t>
      </w:r>
      <w:r w:rsidR="00E74997" w:rsidRPr="00E74997">
        <w:rPr>
          <w:rFonts w:ascii="Times New Roman" w:eastAsia="Times New Roman" w:hAnsi="Times New Roman" w:cs="Times New Roman"/>
          <w:noProof/>
        </w:rPr>
        <w:t>Hruby, 2020)</w:t>
      </w:r>
      <w:r w:rsidR="00E74997">
        <w:rPr>
          <w:rFonts w:ascii="Times New Roman" w:eastAsia="Times New Roman" w:hAnsi="Times New Roman" w:cs="Times New Roman"/>
        </w:rPr>
        <w:fldChar w:fldCharType="end"/>
      </w:r>
      <w:r w:rsidR="00E74997">
        <w:rPr>
          <w:rFonts w:ascii="Times New Roman" w:eastAsia="Times New Roman" w:hAnsi="Times New Roman" w:cs="Times New Roman"/>
        </w:rPr>
        <w:t xml:space="preserve">. </w:t>
      </w:r>
      <w:r>
        <w:rPr>
          <w:rFonts w:ascii="Times New Roman" w:eastAsia="Times New Roman" w:hAnsi="Times New Roman" w:cs="Times New Roman"/>
          <w:lang w:val="en-GB"/>
        </w:rPr>
        <w:t>The situation in Romania is presented similarly, where sturg</w:t>
      </w:r>
      <w:r w:rsidR="009E454F">
        <w:rPr>
          <w:rFonts w:ascii="Times New Roman" w:eastAsia="Times New Roman" w:hAnsi="Times New Roman" w:cs="Times New Roman"/>
          <w:lang w:val="en-GB"/>
        </w:rPr>
        <w:t>eon fishermen are described as “</w:t>
      </w:r>
      <w:r>
        <w:rPr>
          <w:rFonts w:ascii="Times New Roman" w:eastAsia="Times New Roman" w:hAnsi="Times New Roman" w:cs="Times New Roman"/>
          <w:lang w:val="en-GB"/>
        </w:rPr>
        <w:t>a prou</w:t>
      </w:r>
      <w:r w:rsidR="009E454F">
        <w:rPr>
          <w:rFonts w:ascii="Times New Roman" w:eastAsia="Times New Roman" w:hAnsi="Times New Roman" w:cs="Times New Roman"/>
          <w:lang w:val="en-GB"/>
        </w:rPr>
        <w:t>d people laid low by regulation”</w:t>
      </w:r>
      <w:r>
        <w:rPr>
          <w:rFonts w:ascii="Times New Roman" w:eastAsia="Times New Roman" w:hAnsi="Times New Roman" w:cs="Times New Roman"/>
          <w:lang w:val="en-GB"/>
        </w:rPr>
        <w:t xml:space="preserve"> (Daea, 2019)</w:t>
      </w:r>
      <w:r w:rsidR="00E74997" w:rsidRPr="005B292F">
        <w:rPr>
          <w:rStyle w:val="FootnoteReference"/>
        </w:rPr>
        <w:footnoteReference w:id="80"/>
      </w:r>
      <w:r>
        <w:rPr>
          <w:rFonts w:ascii="Times New Roman" w:eastAsia="Times New Roman" w:hAnsi="Times New Roman" w:cs="Times New Roman"/>
          <w:lang w:val="en-GB"/>
        </w:rPr>
        <w:t xml:space="preserve">. </w:t>
      </w:r>
      <w:r w:rsidR="004860E3">
        <w:rPr>
          <w:rFonts w:ascii="Times New Roman" w:eastAsia="Times New Roman" w:hAnsi="Times New Roman" w:cs="Times New Roman"/>
        </w:rPr>
        <w:t xml:space="preserve">Buidling on this, </w:t>
      </w:r>
      <w:r w:rsidR="009A2676">
        <w:rPr>
          <w:rFonts w:ascii="Times New Roman" w:eastAsia="Times New Roman" w:hAnsi="Times New Roman" w:cs="Times New Roman"/>
        </w:rPr>
        <w:t>the following</w:t>
      </w:r>
      <w:r>
        <w:rPr>
          <w:rFonts w:ascii="Times New Roman" w:eastAsia="Times New Roman" w:hAnsi="Times New Roman" w:cs="Times New Roman"/>
        </w:rPr>
        <w:t xml:space="preserve"> </w:t>
      </w:r>
      <w:r w:rsidR="009A2676">
        <w:rPr>
          <w:rFonts w:ascii="Times New Roman" w:eastAsia="Times New Roman" w:hAnsi="Times New Roman" w:cs="Times New Roman"/>
        </w:rPr>
        <w:t xml:space="preserve">analysis </w:t>
      </w:r>
      <w:r w:rsidR="001E3F5C">
        <w:rPr>
          <w:rFonts w:ascii="Times New Roman" w:eastAsia="Times New Roman" w:hAnsi="Times New Roman" w:cs="Times New Roman"/>
          <w:lang w:val="en-GB"/>
        </w:rPr>
        <w:t>begins to outline</w:t>
      </w:r>
      <w:r>
        <w:rPr>
          <w:rFonts w:ascii="Times New Roman" w:eastAsia="Times New Roman" w:hAnsi="Times New Roman" w:cs="Times New Roman"/>
        </w:rPr>
        <w:t xml:space="preserve"> some of the impacts of the </w:t>
      </w:r>
      <w:r w:rsidR="004860E3">
        <w:rPr>
          <w:rFonts w:ascii="Times New Roman" w:eastAsia="Times New Roman" w:hAnsi="Times New Roman" w:cs="Times New Roman"/>
        </w:rPr>
        <w:t xml:space="preserve">EU caviar trade </w:t>
      </w:r>
      <w:r>
        <w:rPr>
          <w:rFonts w:ascii="Times New Roman" w:eastAsia="Times New Roman" w:hAnsi="Times New Roman" w:cs="Times New Roman"/>
        </w:rPr>
        <w:t>regulations beyond declining seizures</w:t>
      </w:r>
      <w:r>
        <w:rPr>
          <w:rFonts w:ascii="Times New Roman" w:eastAsia="Times New Roman" w:hAnsi="Times New Roman" w:cs="Times New Roman"/>
          <w:lang w:val="en-GB"/>
        </w:rPr>
        <w:t xml:space="preserve">. </w:t>
      </w:r>
      <w:r w:rsidR="009A2676">
        <w:rPr>
          <w:rFonts w:ascii="Times New Roman" w:eastAsia="Times New Roman" w:hAnsi="Times New Roman" w:cs="Times New Roman"/>
          <w:lang w:val="en-GB"/>
        </w:rPr>
        <w:t xml:space="preserve">The discussion </w:t>
      </w:r>
      <w:r w:rsidR="00CC309C">
        <w:rPr>
          <w:rFonts w:ascii="Times New Roman" w:eastAsia="Times New Roman" w:hAnsi="Times New Roman" w:cs="Times New Roman"/>
          <w:lang w:val="en-GB"/>
        </w:rPr>
        <w:t xml:space="preserve">deploys my theoretical framework for more-than-human geopolitical ecology, by examining the unequal more-than-human implications of the EU caviar trade regulations. I argue that gaps in the content of these macro-level regulatory frameworks have exacerbated localised inequalities, and disproportionately affected </w:t>
      </w:r>
      <w:r w:rsidR="004D5E31">
        <w:rPr>
          <w:rFonts w:ascii="Times New Roman" w:eastAsia="Times New Roman" w:hAnsi="Times New Roman" w:cs="Times New Roman"/>
          <w:lang w:val="en-GB"/>
        </w:rPr>
        <w:t xml:space="preserve">both </w:t>
      </w:r>
      <w:r w:rsidR="00CC309C">
        <w:rPr>
          <w:rFonts w:ascii="Times New Roman" w:eastAsia="Times New Roman" w:hAnsi="Times New Roman" w:cs="Times New Roman"/>
          <w:lang w:val="en-GB"/>
        </w:rPr>
        <w:t>fishing commun</w:t>
      </w:r>
      <w:r w:rsidR="004D5E31">
        <w:rPr>
          <w:rFonts w:ascii="Times New Roman" w:eastAsia="Times New Roman" w:hAnsi="Times New Roman" w:cs="Times New Roman"/>
          <w:lang w:val="en-GB"/>
        </w:rPr>
        <w:t>ities in sturgeon range states, and wild sturgeon populations.</w:t>
      </w:r>
      <w:r w:rsidR="004860E3">
        <w:rPr>
          <w:rFonts w:ascii="Times New Roman" w:eastAsia="Times New Roman" w:hAnsi="Times New Roman" w:cs="Times New Roman"/>
          <w:lang w:val="en-GB"/>
        </w:rPr>
        <w:t xml:space="preserve"> In doing so I unsettle the dominant geopolitical narratives explored previously, which overlook </w:t>
      </w:r>
      <w:r w:rsidR="009A2676">
        <w:rPr>
          <w:rFonts w:ascii="Times New Roman" w:eastAsia="Times New Roman" w:hAnsi="Times New Roman" w:cs="Times New Roman"/>
          <w:lang w:val="en-GB"/>
        </w:rPr>
        <w:t>and side-line sturgeon fishermen and wild sturgeon. The analysis also highlights hidden dynamics of illegal caviar trade</w:t>
      </w:r>
      <w:r w:rsidR="00DA5FCF">
        <w:rPr>
          <w:rFonts w:ascii="Times New Roman" w:eastAsia="Times New Roman" w:hAnsi="Times New Roman" w:cs="Times New Roman"/>
          <w:lang w:val="en-GB"/>
        </w:rPr>
        <w:t xml:space="preserve"> in the EU</w:t>
      </w:r>
      <w:r w:rsidR="009A2676">
        <w:rPr>
          <w:rFonts w:ascii="Times New Roman" w:eastAsia="Times New Roman" w:hAnsi="Times New Roman" w:cs="Times New Roman"/>
          <w:lang w:val="en-GB"/>
        </w:rPr>
        <w:t xml:space="preserve">; thereby adding nuance to existing accounts on the effects of CITES regulations as an environmental-geopolitical intervention. </w:t>
      </w:r>
    </w:p>
    <w:p w14:paraId="5B67CF6A" w14:textId="77777777" w:rsidR="00E63405" w:rsidRPr="009A2676" w:rsidRDefault="00E63405" w:rsidP="009A2676">
      <w:pPr>
        <w:pStyle w:val="Normal1"/>
        <w:spacing w:line="360" w:lineRule="auto"/>
        <w:ind w:firstLine="720"/>
        <w:jc w:val="both"/>
        <w:rPr>
          <w:rFonts w:ascii="Times New Roman" w:eastAsia="Times New Roman" w:hAnsi="Times New Roman" w:cs="Times New Roman"/>
          <w:lang w:val="en-GB"/>
        </w:rPr>
      </w:pPr>
    </w:p>
    <w:p w14:paraId="1C146E9E" w14:textId="6678469F" w:rsidR="00AC10E7" w:rsidRDefault="00810504" w:rsidP="00810504">
      <w:pPr>
        <w:pStyle w:val="Heading3"/>
      </w:pPr>
      <w:bookmarkStart w:id="59" w:name="_Toc453224219"/>
      <w:r>
        <w:t>4</w:t>
      </w:r>
      <w:r w:rsidR="00AC10E7">
        <w:t>.4.1 Sturgeon fishing communities</w:t>
      </w:r>
      <w:bookmarkEnd w:id="59"/>
      <w:r w:rsidR="00AC10E7">
        <w:t xml:space="preserve"> </w:t>
      </w:r>
    </w:p>
    <w:p w14:paraId="56E451A1" w14:textId="34B28A7A" w:rsidR="00AC10E7" w:rsidRPr="00EA7A3A" w:rsidRDefault="00DA5FCF" w:rsidP="00FC70E0">
      <w:pPr>
        <w:pStyle w:val="Normal1"/>
        <w:spacing w:after="160" w:line="360" w:lineRule="auto"/>
        <w:jc w:val="both"/>
        <w:rPr>
          <w:rFonts w:ascii="Times New Roman" w:eastAsia="Times New Roman" w:hAnsi="Times New Roman" w:cs="Times New Roman"/>
          <w:lang w:val="en-GB"/>
        </w:rPr>
      </w:pPr>
      <w:r>
        <w:rPr>
          <w:rFonts w:ascii="Times New Roman" w:eastAsia="Times New Roman" w:hAnsi="Times New Roman" w:cs="Times New Roman"/>
          <w:lang w:val="en-GB"/>
        </w:rPr>
        <w:t>An identified gap in the content of</w:t>
      </w:r>
      <w:r w:rsidR="00AC10E7">
        <w:rPr>
          <w:rFonts w:ascii="Times New Roman" w:eastAsia="Times New Roman" w:hAnsi="Times New Roman" w:cs="Times New Roman"/>
          <w:lang w:val="en-GB"/>
        </w:rPr>
        <w:t xml:space="preserve"> t</w:t>
      </w:r>
      <w:r w:rsidR="00AC10E7">
        <w:rPr>
          <w:rFonts w:ascii="Times New Roman" w:eastAsia="Times New Roman" w:hAnsi="Times New Roman" w:cs="Times New Roman"/>
        </w:rPr>
        <w:t xml:space="preserve">he </w:t>
      </w:r>
      <w:r>
        <w:rPr>
          <w:rFonts w:ascii="Times New Roman" w:eastAsia="Times New Roman" w:hAnsi="Times New Roman" w:cs="Times New Roman"/>
        </w:rPr>
        <w:t xml:space="preserve">EU </w:t>
      </w:r>
      <w:r w:rsidR="00AC10E7">
        <w:rPr>
          <w:rFonts w:ascii="Times New Roman" w:eastAsia="Times New Roman" w:hAnsi="Times New Roman" w:cs="Times New Roman"/>
        </w:rPr>
        <w:t>caviar trade regulations</w:t>
      </w:r>
      <w:r w:rsidR="00AC10E7">
        <w:rPr>
          <w:rFonts w:ascii="Times New Roman" w:eastAsia="Times New Roman" w:hAnsi="Times New Roman" w:cs="Times New Roman"/>
          <w:lang w:val="en-GB"/>
        </w:rPr>
        <w:t>,</w:t>
      </w:r>
      <w:r w:rsidR="00AC10E7">
        <w:rPr>
          <w:rFonts w:ascii="Times New Roman" w:eastAsia="Times New Roman" w:hAnsi="Times New Roman" w:cs="Times New Roman"/>
        </w:rPr>
        <w:t xml:space="preserve"> </w:t>
      </w:r>
      <w:r w:rsidR="00AC10E7">
        <w:rPr>
          <w:rFonts w:ascii="Times New Roman" w:eastAsia="Times New Roman" w:hAnsi="Times New Roman" w:cs="Times New Roman"/>
          <w:lang w:val="en-GB"/>
        </w:rPr>
        <w:t xml:space="preserve">is that they </w:t>
      </w:r>
      <w:r w:rsidR="00AC10E7">
        <w:rPr>
          <w:rFonts w:ascii="Times New Roman" w:eastAsia="Times New Roman" w:hAnsi="Times New Roman" w:cs="Times New Roman"/>
        </w:rPr>
        <w:t xml:space="preserve">do not include any mechanisms designed to deal with the socio-economic impact of the regulations upon the livelihoods of range state fishing communities. As such, the impact of </w:t>
      </w:r>
      <w:r w:rsidR="00812821">
        <w:rPr>
          <w:rFonts w:ascii="Times New Roman" w:eastAsia="Times New Roman" w:hAnsi="Times New Roman" w:cs="Times New Roman"/>
        </w:rPr>
        <w:t xml:space="preserve">implementing </w:t>
      </w:r>
      <w:r w:rsidR="00AC10E7">
        <w:rPr>
          <w:rFonts w:ascii="Times New Roman" w:eastAsia="Times New Roman" w:hAnsi="Times New Roman" w:cs="Times New Roman"/>
        </w:rPr>
        <w:t>CITES Resolution Conf 12.7 has been felt part</w:t>
      </w:r>
      <w:r w:rsidR="00812821">
        <w:rPr>
          <w:rFonts w:ascii="Times New Roman" w:eastAsia="Times New Roman" w:hAnsi="Times New Roman" w:cs="Times New Roman"/>
        </w:rPr>
        <w:t>icularly forcefully by fishing communities in EU sturgeon range states</w:t>
      </w:r>
      <w:r w:rsidR="00AC10E7">
        <w:rPr>
          <w:rFonts w:ascii="Times New Roman" w:eastAsia="Times New Roman" w:hAnsi="Times New Roman" w:cs="Times New Roman"/>
        </w:rPr>
        <w:t xml:space="preserve">. The zero </w:t>
      </w:r>
      <w:r w:rsidR="00AC10E7">
        <w:rPr>
          <w:rFonts w:ascii="Times New Roman" w:eastAsia="Times New Roman" w:hAnsi="Times New Roman" w:cs="Times New Roman"/>
        </w:rPr>
        <w:lastRenderedPageBreak/>
        <w:t xml:space="preserve">export quotas and the emergence of farmed caviar has culminated in a ‘delocalization’ of the caviar industry </w:t>
      </w:r>
      <w:r w:rsidR="00AC10E7">
        <w:rPr>
          <w:rFonts w:ascii="Times New Roman" w:eastAsia="Times New Roman" w:hAnsi="Times New Roman" w:cs="Times New Roman"/>
        </w:rPr>
        <w:fldChar w:fldCharType="begin" w:fldLock="1"/>
      </w:r>
      <w:r w:rsidR="00AC10E7">
        <w:rPr>
          <w:rFonts w:ascii="Times New Roman" w:eastAsia="Times New Roman" w:hAnsi="Times New Roman" w:cs="Times New Roman"/>
        </w:rPr>
        <w:instrText>ADDIN CSL_CITATION {"citationItems":[{"id":"ITEM-1","itemData":{"DOI":"10.1111/raq.12235","ISSN":"17535123","author":[{"dropping-particle":"","family":"Sicuro","given":"Benedetto","non-dropping-particle":"","parse-names":false,"suffix":""}],"container-title":"Reviews in Aquaculture","id":"ITEM-1","issue":"January","issued":{"date-parts":[["2018"]]},"title":"The future of caviar production on the light of social changes: a new dawn for caviar?","type":"article-journal"},"uris":["http://www.mendeley.com/documents/?uuid=20d044f7-7aa0-4c92-b0d6-044f1cb59820"]}],"mendeley":{"formattedCitation":"(Sicuro, 2018)","plainTextFormattedCitation":"(Sicuro, 2018)","previouslyFormattedCitation":"(Sicuro, 2018)"},"properties":{"noteIndex":0},"schema":"https://github.com/citation-style-language/schema/raw/master/csl-citation.json"}</w:instrText>
      </w:r>
      <w:r w:rsidR="00AC10E7">
        <w:rPr>
          <w:rFonts w:ascii="Times New Roman" w:eastAsia="Times New Roman" w:hAnsi="Times New Roman" w:cs="Times New Roman"/>
        </w:rPr>
        <w:fldChar w:fldCharType="separate"/>
      </w:r>
      <w:r w:rsidR="00AC10E7" w:rsidRPr="004249FE">
        <w:rPr>
          <w:rFonts w:ascii="Times New Roman" w:eastAsia="Times New Roman" w:hAnsi="Times New Roman" w:cs="Times New Roman"/>
          <w:noProof/>
        </w:rPr>
        <w:t>(Sicuro, 2018)</w:t>
      </w:r>
      <w:r w:rsidR="00AC10E7">
        <w:rPr>
          <w:rFonts w:ascii="Times New Roman" w:eastAsia="Times New Roman" w:hAnsi="Times New Roman" w:cs="Times New Roman"/>
        </w:rPr>
        <w:fldChar w:fldCharType="end"/>
      </w:r>
      <w:r w:rsidR="00AC10E7">
        <w:rPr>
          <w:rFonts w:ascii="Times New Roman" w:eastAsia="Times New Roman" w:hAnsi="Times New Roman" w:cs="Times New Roman"/>
        </w:rPr>
        <w:t>, whereby caviar production has proliferated in places that are geographically distant from natural sturgeon habitats, and where it is economically competitive for caviar producers to locate their operations. Irini explained that the possibility of caviar aquaculture emerging and benefitting the range state fishing c</w:t>
      </w:r>
      <w:r w:rsidR="00812821">
        <w:rPr>
          <w:rFonts w:ascii="Times New Roman" w:eastAsia="Times New Roman" w:hAnsi="Times New Roman" w:cs="Times New Roman"/>
        </w:rPr>
        <w:t>ommunities is limited, because “</w:t>
      </w:r>
      <w:r w:rsidR="00AC10E7">
        <w:rPr>
          <w:rFonts w:ascii="Times New Roman" w:eastAsia="Times New Roman" w:hAnsi="Times New Roman" w:cs="Times New Roman"/>
        </w:rPr>
        <w:t>if you want to produce caviar from sturgeons you need money; it takes so long; and it’s not quite an easy technology</w:t>
      </w:r>
      <w:r w:rsidR="00812821">
        <w:rPr>
          <w:rFonts w:ascii="Times New Roman" w:eastAsia="Times New Roman" w:hAnsi="Times New Roman" w:cs="Times New Roman"/>
        </w:rPr>
        <w:t>”</w:t>
      </w:r>
      <w:r w:rsidR="00AC10E7" w:rsidRPr="005B292F">
        <w:rPr>
          <w:rStyle w:val="FootnoteReference"/>
        </w:rPr>
        <w:footnoteReference w:id="81"/>
      </w:r>
      <w:r w:rsidR="00AC10E7">
        <w:rPr>
          <w:rFonts w:ascii="Times New Roman" w:eastAsia="Times New Roman" w:hAnsi="Times New Roman" w:cs="Times New Roman"/>
        </w:rPr>
        <w:t>. Unfortunately, these communities are poor</w:t>
      </w:r>
      <w:r w:rsidR="00AC10E7">
        <w:rPr>
          <w:rFonts w:ascii="Times New Roman" w:eastAsia="Times New Roman" w:hAnsi="Times New Roman" w:cs="Times New Roman"/>
          <w:lang w:val="en-GB"/>
        </w:rPr>
        <w:t>, w</w:t>
      </w:r>
      <w:r w:rsidR="00812821">
        <w:rPr>
          <w:rFonts w:ascii="Times New Roman" w:eastAsia="Times New Roman" w:hAnsi="Times New Roman" w:cs="Times New Roman"/>
          <w:lang w:val="en-GB"/>
        </w:rPr>
        <w:t>ith over 90% of the fishermen in</w:t>
      </w:r>
      <w:r w:rsidR="00AC10E7">
        <w:rPr>
          <w:rFonts w:ascii="Times New Roman" w:eastAsia="Times New Roman" w:hAnsi="Times New Roman" w:cs="Times New Roman"/>
          <w:lang w:val="en-GB"/>
        </w:rPr>
        <w:t xml:space="preserve"> the Danube delta living in near-poverty (Daea, 2019).</w:t>
      </w:r>
      <w:r w:rsidR="00AC10E7">
        <w:rPr>
          <w:rFonts w:ascii="Times New Roman" w:eastAsia="Times New Roman" w:hAnsi="Times New Roman" w:cs="Times New Roman"/>
        </w:rPr>
        <w:t xml:space="preserve"> </w:t>
      </w:r>
      <w:r w:rsidR="00AC10E7">
        <w:rPr>
          <w:rFonts w:ascii="Times New Roman" w:eastAsia="Times New Roman" w:hAnsi="Times New Roman" w:cs="Times New Roman"/>
          <w:lang w:val="en-GB"/>
        </w:rPr>
        <w:t xml:space="preserve">Although </w:t>
      </w:r>
      <w:r w:rsidR="00AC10E7">
        <w:rPr>
          <w:rFonts w:ascii="Times New Roman" w:eastAsia="Times New Roman" w:hAnsi="Times New Roman" w:cs="Times New Roman"/>
        </w:rPr>
        <w:t>th</w:t>
      </w:r>
      <w:r w:rsidR="008E51A2">
        <w:rPr>
          <w:rFonts w:ascii="Times New Roman" w:eastAsia="Times New Roman" w:hAnsi="Times New Roman" w:cs="Times New Roman"/>
          <w:lang w:val="en-GB"/>
        </w:rPr>
        <w:t>e</w:t>
      </w:r>
      <w:r w:rsidR="00AC10E7">
        <w:rPr>
          <w:rFonts w:ascii="Times New Roman" w:eastAsia="Times New Roman" w:hAnsi="Times New Roman" w:cs="Times New Roman"/>
          <w:lang w:val="en-GB"/>
        </w:rPr>
        <w:t xml:space="preserve"> fishermen</w:t>
      </w:r>
      <w:r w:rsidR="00AC10E7">
        <w:rPr>
          <w:rFonts w:ascii="Times New Roman" w:eastAsia="Times New Roman" w:hAnsi="Times New Roman" w:cs="Times New Roman"/>
        </w:rPr>
        <w:t xml:space="preserve"> have specialised skills in catching sturgeon, these are not transferable to raising sturgeon in captivity for caviar production.</w:t>
      </w:r>
      <w:r w:rsidR="00AC10E7">
        <w:rPr>
          <w:rFonts w:ascii="Times New Roman" w:eastAsia="Times New Roman" w:hAnsi="Times New Roman" w:cs="Times New Roman"/>
          <w:lang w:val="en-GB"/>
        </w:rPr>
        <w:t xml:space="preserve"> Moreover, tightened government restrictions on fishing Black Sea shad</w:t>
      </w:r>
      <w:r w:rsidR="00E63405">
        <w:rPr>
          <w:rFonts w:ascii="Times New Roman" w:eastAsia="Times New Roman" w:hAnsi="Times New Roman" w:cs="Times New Roman"/>
          <w:lang w:val="en-GB"/>
        </w:rPr>
        <w:t xml:space="preserve"> (Daea, 2019), </w:t>
      </w:r>
      <w:r w:rsidR="00AC10E7">
        <w:rPr>
          <w:rFonts w:ascii="Times New Roman" w:eastAsia="Times New Roman" w:hAnsi="Times New Roman" w:cs="Times New Roman"/>
          <w:lang w:val="en-GB"/>
        </w:rPr>
        <w:t xml:space="preserve">has further limited opportunities for sturgeon fishermen to diversify their fishing practices. As a result, many </w:t>
      </w:r>
      <w:r w:rsidR="00AC10E7">
        <w:rPr>
          <w:rFonts w:ascii="Times New Roman" w:eastAsia="Times New Roman" w:hAnsi="Times New Roman" w:cs="Times New Roman"/>
        </w:rPr>
        <w:t>sturgeon fishermen</w:t>
      </w:r>
      <w:r w:rsidR="00AC10E7">
        <w:rPr>
          <w:rFonts w:ascii="Times New Roman" w:eastAsia="Times New Roman" w:hAnsi="Times New Roman" w:cs="Times New Roman"/>
          <w:lang w:val="en-GB"/>
        </w:rPr>
        <w:t xml:space="preserve"> in the EU</w:t>
      </w:r>
      <w:r w:rsidR="00AC10E7">
        <w:rPr>
          <w:rFonts w:ascii="Times New Roman" w:eastAsia="Times New Roman" w:hAnsi="Times New Roman" w:cs="Times New Roman"/>
        </w:rPr>
        <w:t xml:space="preserve"> have lost their livelihoods</w:t>
      </w:r>
      <w:r w:rsidR="00AC10E7">
        <w:rPr>
          <w:rFonts w:ascii="Times New Roman" w:eastAsia="Times New Roman" w:hAnsi="Times New Roman" w:cs="Times New Roman"/>
          <w:lang w:val="en-GB"/>
        </w:rPr>
        <w:t xml:space="preserve"> and struggled to find alternative employment</w:t>
      </w:r>
      <w:r w:rsidR="000016DB">
        <w:rPr>
          <w:rFonts w:ascii="Times New Roman" w:eastAsia="Times New Roman" w:hAnsi="Times New Roman" w:cs="Times New Roman"/>
        </w:rPr>
        <w:t xml:space="preserve">, causing many to choose to work abroad </w:t>
      </w:r>
      <w:r w:rsidR="000016DB">
        <w:rPr>
          <w:rFonts w:ascii="Times New Roman" w:eastAsia="Times New Roman" w:hAnsi="Times New Roman" w:cs="Times New Roman"/>
        </w:rPr>
        <w:fldChar w:fldCharType="begin" w:fldLock="1"/>
      </w:r>
      <w:r w:rsidR="00370A19">
        <w:rPr>
          <w:rFonts w:ascii="Times New Roman" w:eastAsia="Times New Roman" w:hAnsi="Times New Roman" w:cs="Times New Roman"/>
        </w:rPr>
        <w:instrText>ADDIN CSL_CITATION {"citationItems":[{"id":"ITEM-1","itemData":{"author":[{"dropping-particle":"","family":"Luca","given":"Ana Maria","non-dropping-particle":"","parse-names":false,"suffix":""},{"dropping-particle":"","family":"Holdis","given":"Dumitrita","non-dropping-particle":"","parse-names":false,"suffix":""},{"dropping-particle":"","family":"Balan","given":"Mira","non-dropping-particle":"","parse-names":false,"suffix":""},{"dropping-particle":"","family":"Gascón Barberá","given":"Marcel","non-dropping-particle":"","parse-names":false,"suffix":""}],"container-title":"Balkan Insight","id":"ITEM-1","issued":{"date-parts":[["2020"]]},"title":"Decimated Danube: Sturgeon Revival Efforts Neglect Roots of Poaching","type":"article-newspaper"},"uris":["http://www.mendeley.com/documents/?uuid=71f1f378-8ef7-4a3c-abf5-c10be716ecc0"]}],"mendeley":{"formattedCitation":"(Luca &lt;i&gt;et al.&lt;/i&gt;, 2020)","plainTextFormattedCitation":"(Luca et al., 2020)","previouslyFormattedCitation":"(Luca &lt;i&gt;et al.&lt;/i&gt;, 2020)"},"properties":{"noteIndex":0},"schema":"https://github.com/citation-style-language/schema/raw/master/csl-citation.json"}</w:instrText>
      </w:r>
      <w:r w:rsidR="000016DB">
        <w:rPr>
          <w:rFonts w:ascii="Times New Roman" w:eastAsia="Times New Roman" w:hAnsi="Times New Roman" w:cs="Times New Roman"/>
        </w:rPr>
        <w:fldChar w:fldCharType="separate"/>
      </w:r>
      <w:r w:rsidR="000016DB" w:rsidRPr="000016DB">
        <w:rPr>
          <w:rFonts w:ascii="Times New Roman" w:eastAsia="Times New Roman" w:hAnsi="Times New Roman" w:cs="Times New Roman"/>
          <w:noProof/>
        </w:rPr>
        <w:t xml:space="preserve">(Luca </w:t>
      </w:r>
      <w:r w:rsidR="000016DB" w:rsidRPr="000016DB">
        <w:rPr>
          <w:rFonts w:ascii="Times New Roman" w:eastAsia="Times New Roman" w:hAnsi="Times New Roman" w:cs="Times New Roman"/>
          <w:i/>
          <w:noProof/>
        </w:rPr>
        <w:t>et al.</w:t>
      </w:r>
      <w:r w:rsidR="000016DB" w:rsidRPr="000016DB">
        <w:rPr>
          <w:rFonts w:ascii="Times New Roman" w:eastAsia="Times New Roman" w:hAnsi="Times New Roman" w:cs="Times New Roman"/>
          <w:noProof/>
        </w:rPr>
        <w:t>, 2020)</w:t>
      </w:r>
      <w:r w:rsidR="000016DB">
        <w:rPr>
          <w:rFonts w:ascii="Times New Roman" w:eastAsia="Times New Roman" w:hAnsi="Times New Roman" w:cs="Times New Roman"/>
        </w:rPr>
        <w:fldChar w:fldCharType="end"/>
      </w:r>
      <w:r w:rsidR="000016DB">
        <w:rPr>
          <w:rFonts w:ascii="Times New Roman" w:eastAsia="Times New Roman" w:hAnsi="Times New Roman" w:cs="Times New Roman"/>
        </w:rPr>
        <w:t xml:space="preserve">. </w:t>
      </w:r>
      <w:r w:rsidR="00AC10E7">
        <w:rPr>
          <w:rFonts w:ascii="Times New Roman" w:eastAsia="Times New Roman" w:hAnsi="Times New Roman" w:cs="Times New Roman"/>
        </w:rPr>
        <w:t xml:space="preserve"> </w:t>
      </w:r>
    </w:p>
    <w:p w14:paraId="101C6A1A" w14:textId="0CDA341A" w:rsidR="00AC10E7" w:rsidRDefault="00AC10E7" w:rsidP="00FC70E0">
      <w:pPr>
        <w:pStyle w:val="Normal1"/>
        <w:spacing w:after="16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More specifically, in Romania the zero export quotas have been compounded by a total sturgeon fishing ban. </w:t>
      </w:r>
      <w:r w:rsidR="000016DB">
        <w:rPr>
          <w:rFonts w:ascii="Times New Roman" w:eastAsia="Times New Roman" w:hAnsi="Times New Roman" w:cs="Times New Roman"/>
        </w:rPr>
        <w:t>NGO co-ordinator Juliani, explained that “</w:t>
      </w:r>
      <w:r>
        <w:rPr>
          <w:rFonts w:ascii="Times New Roman" w:eastAsia="Times New Roman" w:hAnsi="Times New Roman" w:cs="Times New Roman"/>
        </w:rPr>
        <w:t xml:space="preserve">in 2006 when the ban was imposed there were no complementary </w:t>
      </w:r>
      <w:r w:rsidR="000016DB">
        <w:rPr>
          <w:rFonts w:ascii="Times New Roman" w:eastAsia="Times New Roman" w:hAnsi="Times New Roman" w:cs="Times New Roman"/>
        </w:rPr>
        <w:t>measures for sturgeon fishermen”, and “</w:t>
      </w:r>
      <w:r>
        <w:rPr>
          <w:rFonts w:ascii="Times New Roman" w:eastAsia="Times New Roman" w:hAnsi="Times New Roman" w:cs="Times New Roman"/>
        </w:rPr>
        <w:t>now it’s 2018 and we are still not able to find social programmes to have these compensatory measures for them</w:t>
      </w:r>
      <w:r w:rsidR="000016DB">
        <w:rPr>
          <w:rFonts w:ascii="Times New Roman" w:eastAsia="Times New Roman" w:hAnsi="Times New Roman" w:cs="Times New Roman"/>
        </w:rPr>
        <w:t>”</w:t>
      </w:r>
      <w:r w:rsidRPr="005B292F">
        <w:rPr>
          <w:rStyle w:val="FootnoteReference"/>
        </w:rPr>
        <w:footnoteReference w:id="82"/>
      </w:r>
      <w:r>
        <w:rPr>
          <w:rFonts w:ascii="Times New Roman" w:eastAsia="Times New Roman" w:hAnsi="Times New Roman" w:cs="Times New Roman"/>
        </w:rPr>
        <w:t>. Naturally, she explained that the Romanian fishery associations representing th</w:t>
      </w:r>
      <w:r w:rsidR="000016DB">
        <w:rPr>
          <w:rFonts w:ascii="Times New Roman" w:eastAsia="Times New Roman" w:hAnsi="Times New Roman" w:cs="Times New Roman"/>
        </w:rPr>
        <w:t>e sturgeon fishermen have been “</w:t>
      </w:r>
      <w:r>
        <w:rPr>
          <w:rFonts w:ascii="Times New Roman" w:eastAsia="Times New Roman" w:hAnsi="Times New Roman" w:cs="Times New Roman"/>
        </w:rPr>
        <w:t>so angry!</w:t>
      </w:r>
      <w:r w:rsidR="000016DB">
        <w:rPr>
          <w:rFonts w:ascii="Times New Roman" w:eastAsia="Times New Roman" w:hAnsi="Times New Roman" w:cs="Times New Roman"/>
        </w:rPr>
        <w:t>”</w:t>
      </w:r>
      <w:r w:rsidRPr="005B292F">
        <w:rPr>
          <w:rStyle w:val="FootnoteReference"/>
        </w:rPr>
        <w:footnoteReference w:id="83"/>
      </w:r>
      <w:r>
        <w:rPr>
          <w:rFonts w:ascii="Times New Roman" w:eastAsia="Times New Roman" w:hAnsi="Times New Roman" w:cs="Times New Roman"/>
        </w:rPr>
        <w:t xml:space="preserve"> with the impact of the caviar trade regulations, and have tended to direct their anger at the NGOs who are now attempting to support the fishermen. Thus far, discussions on alternative livelihoods have considered eco-tourism</w:t>
      </w:r>
      <w:r w:rsidR="000016DB">
        <w:rPr>
          <w:rFonts w:ascii="Times New Roman" w:eastAsia="Times New Roman" w:hAnsi="Times New Roman" w:cs="Times New Roman"/>
        </w:rPr>
        <w:t xml:space="preserve"> and agro-tourism</w:t>
      </w:r>
      <w:r>
        <w:rPr>
          <w:rFonts w:ascii="Times New Roman" w:eastAsia="Times New Roman" w:hAnsi="Times New Roman" w:cs="Times New Roman"/>
        </w:rPr>
        <w:t xml:space="preserve"> in the Danube Delta via events such as fish festivals,</w:t>
      </w:r>
      <w:r w:rsidR="000016DB">
        <w:rPr>
          <w:rFonts w:ascii="Times New Roman" w:eastAsia="Times New Roman" w:hAnsi="Times New Roman" w:cs="Times New Roman"/>
        </w:rPr>
        <w:t xml:space="preserve"> touri</w:t>
      </w:r>
      <w:r w:rsidR="00906873">
        <w:rPr>
          <w:rFonts w:ascii="Times New Roman" w:eastAsia="Times New Roman" w:hAnsi="Times New Roman" w:cs="Times New Roman"/>
        </w:rPr>
        <w:t>st homestays, and fishing trips</w:t>
      </w:r>
      <w:r w:rsidR="00906873" w:rsidRPr="005B292F">
        <w:rPr>
          <w:rStyle w:val="FootnoteReference"/>
        </w:rPr>
        <w:footnoteReference w:id="84"/>
      </w:r>
      <w:r w:rsidR="00A62CCB">
        <w:rPr>
          <w:rFonts w:ascii="Times New Roman" w:eastAsia="Times New Roman" w:hAnsi="Times New Roman" w:cs="Times New Roman"/>
        </w:rPr>
        <w:t xml:space="preserve">; although these ideas have been met with hostility from </w:t>
      </w:r>
      <w:r w:rsidR="00906873">
        <w:rPr>
          <w:rFonts w:ascii="Times New Roman" w:eastAsia="Times New Roman" w:hAnsi="Times New Roman" w:cs="Times New Roman"/>
        </w:rPr>
        <w:t>some fishermen</w:t>
      </w:r>
      <w:r w:rsidR="00906873" w:rsidRPr="005B292F">
        <w:rPr>
          <w:rStyle w:val="FootnoteReference"/>
        </w:rPr>
        <w:footnoteReference w:id="85"/>
      </w:r>
      <w:r w:rsidR="00906873">
        <w:rPr>
          <w:rFonts w:ascii="Times New Roman" w:eastAsia="Times New Roman" w:hAnsi="Times New Roman" w:cs="Times New Roman"/>
        </w:rPr>
        <w:t xml:space="preserve">. Other ideas have included </w:t>
      </w:r>
      <w:r>
        <w:rPr>
          <w:rFonts w:ascii="Times New Roman" w:eastAsia="Times New Roman" w:hAnsi="Times New Roman" w:cs="Times New Roman"/>
        </w:rPr>
        <w:t>building a cannery business to package and sell locally-caught fish species, or even</w:t>
      </w:r>
      <w:r w:rsidR="00A62CCB">
        <w:rPr>
          <w:rFonts w:ascii="Times New Roman" w:eastAsia="Times New Roman" w:hAnsi="Times New Roman" w:cs="Times New Roman"/>
        </w:rPr>
        <w:t xml:space="preserve"> a sturgeon aquaculture enterprise</w:t>
      </w:r>
      <w:r>
        <w:rPr>
          <w:rFonts w:ascii="Times New Roman" w:eastAsia="Times New Roman" w:hAnsi="Times New Roman" w:cs="Times New Roman"/>
        </w:rPr>
        <w:t>. However, Irini admitted that the sturgeon aquaculture facility lo</w:t>
      </w:r>
      <w:r w:rsidR="00906873">
        <w:rPr>
          <w:rFonts w:ascii="Times New Roman" w:eastAsia="Times New Roman" w:hAnsi="Times New Roman" w:cs="Times New Roman"/>
        </w:rPr>
        <w:t>oked increasingly unlikely, as “</w:t>
      </w:r>
      <w:r>
        <w:rPr>
          <w:rFonts w:ascii="Times New Roman" w:eastAsia="Times New Roman" w:hAnsi="Times New Roman" w:cs="Times New Roman"/>
        </w:rPr>
        <w:t>the land was good, but it’s in a place where they cannot control it… if someone came to steal the fish, they cannot make sure this will not happen</w:t>
      </w:r>
      <w:r w:rsidR="00906873">
        <w:rPr>
          <w:rFonts w:ascii="Times New Roman" w:eastAsia="Times New Roman" w:hAnsi="Times New Roman" w:cs="Times New Roman"/>
        </w:rPr>
        <w:t>”</w:t>
      </w:r>
      <w:r w:rsidRPr="005B292F">
        <w:rPr>
          <w:rStyle w:val="FootnoteReference"/>
        </w:rPr>
        <w:footnoteReference w:id="86"/>
      </w:r>
      <w:r w:rsidR="00906873">
        <w:rPr>
          <w:rFonts w:ascii="Times New Roman" w:eastAsia="Times New Roman" w:hAnsi="Times New Roman" w:cs="Times New Roman"/>
        </w:rPr>
        <w:t>. Moreover, Irini</w:t>
      </w:r>
      <w:r>
        <w:rPr>
          <w:rFonts w:ascii="Times New Roman" w:eastAsia="Times New Roman" w:hAnsi="Times New Roman" w:cs="Times New Roman"/>
        </w:rPr>
        <w:t xml:space="preserve"> recognised that such enterprises would only provide employment for a limited number of fishermen out of the many affected fishing communities the NGOs were working </w:t>
      </w:r>
      <w:r>
        <w:rPr>
          <w:rFonts w:ascii="Times New Roman" w:eastAsia="Times New Roman" w:hAnsi="Times New Roman" w:cs="Times New Roman"/>
        </w:rPr>
        <w:lastRenderedPageBreak/>
        <w:t>in. Thus, whilst NGOs are now be</w:t>
      </w:r>
      <w:r w:rsidR="00906873">
        <w:rPr>
          <w:rFonts w:ascii="Times New Roman" w:eastAsia="Times New Roman" w:hAnsi="Times New Roman" w:cs="Times New Roman"/>
        </w:rPr>
        <w:t>ginning to engage with fishing communities</w:t>
      </w:r>
      <w:r>
        <w:rPr>
          <w:rFonts w:ascii="Times New Roman" w:eastAsia="Times New Roman" w:hAnsi="Times New Roman" w:cs="Times New Roman"/>
        </w:rPr>
        <w:t xml:space="preserve"> to find alternative livelihood opportunities, for over a decade the fishermen have been overlooked, with limited socio-economic alternatives to sturgeon fishing. As a result, representatives of NGOs working on the ground in Romania explained how the criminalisation of livelihoods via CITES Resolution Conf 12.7 and its implementation in the EU, has contributed to the further economic margi</w:t>
      </w:r>
      <w:r w:rsidR="00906873">
        <w:rPr>
          <w:rFonts w:ascii="Times New Roman" w:eastAsia="Times New Roman" w:hAnsi="Times New Roman" w:cs="Times New Roman"/>
        </w:rPr>
        <w:t>nalisation of sturgeon fishing communities</w:t>
      </w:r>
      <w:r>
        <w:rPr>
          <w:rFonts w:ascii="Times New Roman" w:eastAsia="Times New Roman" w:hAnsi="Times New Roman" w:cs="Times New Roman"/>
        </w:rPr>
        <w:t xml:space="preserve">. </w:t>
      </w:r>
    </w:p>
    <w:p w14:paraId="2D1F2E67" w14:textId="1B6FA19E" w:rsidR="00AC10E7" w:rsidRDefault="00AC10E7" w:rsidP="00FC70E0">
      <w:pPr>
        <w:pStyle w:val="Normal1"/>
        <w:spacing w:after="16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Moreover, it was noted that due to the imposed economic insecurity brought about by the caviar trade regulations and fishing bans, </w:t>
      </w:r>
      <w:r>
        <w:rPr>
          <w:rFonts w:ascii="Times New Roman" w:eastAsia="Times New Roman" w:hAnsi="Times New Roman" w:cs="Times New Roman"/>
          <w:lang w:val="en-GB"/>
        </w:rPr>
        <w:t xml:space="preserve">some </w:t>
      </w:r>
      <w:r>
        <w:rPr>
          <w:rFonts w:ascii="Times New Roman" w:eastAsia="Times New Roman" w:hAnsi="Times New Roman" w:cs="Times New Roman"/>
        </w:rPr>
        <w:t xml:space="preserve">fishermen have felt compelled to continue to catch sturgeon. </w:t>
      </w:r>
      <w:r w:rsidR="00370A19">
        <w:rPr>
          <w:rFonts w:ascii="Times New Roman" w:eastAsia="Times New Roman" w:hAnsi="Times New Roman" w:cs="Times New Roman"/>
        </w:rPr>
        <w:t xml:space="preserve">Some have gone as far as to say that the fishing ban was “a recipe for poaching to flourish” </w:t>
      </w:r>
      <w:r w:rsidR="00370A19">
        <w:rPr>
          <w:rFonts w:ascii="Times New Roman" w:eastAsia="Times New Roman" w:hAnsi="Times New Roman" w:cs="Times New Roman"/>
        </w:rPr>
        <w:fldChar w:fldCharType="begin" w:fldLock="1"/>
      </w:r>
      <w:r w:rsidR="003C0F32">
        <w:rPr>
          <w:rFonts w:ascii="Times New Roman" w:eastAsia="Times New Roman" w:hAnsi="Times New Roman" w:cs="Times New Roman"/>
        </w:rPr>
        <w:instrText>ADDIN CSL_CITATION {"citationItems":[{"id":"ITEM-1","itemData":{"author":[{"dropping-particle":"","family":"Luca","given":"Ana Maria","non-dropping-particle":"","parse-names":false,"suffix":""},{"dropping-particle":"","family":"Holdis","given":"Dumitrita","non-dropping-particle":"","parse-names":false,"suffix":""},{"dropping-particle":"","family":"Balan","given":"Mira","non-dropping-particle":"","parse-names":false,"suffix":""},{"dropping-particle":"","family":"Gascón Barberá","given":"Marcel","non-dropping-particle":"","parse-names":false,"suffix":""}],"container-title":"Balkan Insight","id":"ITEM-1","issued":{"date-parts":[["2020"]]},"title":"Decimated Danube: Sturgeon Revival Efforts Neglect Roots of Poaching","type":"article-newspaper"},"uris":["http://www.mendeley.com/documents/?uuid=71f1f378-8ef7-4a3c-abf5-c10be716ecc0"]}],"mendeley":{"formattedCitation":"(Luca &lt;i&gt;et al.&lt;/i&gt;, 2020)","plainTextFormattedCitation":"(Luca et al., 2020)","previouslyFormattedCitation":"(Luca &lt;i&gt;et al.&lt;/i&gt;, 2020)"},"properties":{"noteIndex":0},"schema":"https://github.com/citation-style-language/schema/raw/master/csl-citation.json"}</w:instrText>
      </w:r>
      <w:r w:rsidR="00370A19">
        <w:rPr>
          <w:rFonts w:ascii="Times New Roman" w:eastAsia="Times New Roman" w:hAnsi="Times New Roman" w:cs="Times New Roman"/>
        </w:rPr>
        <w:fldChar w:fldCharType="separate"/>
      </w:r>
      <w:r w:rsidR="00370A19" w:rsidRPr="00370A19">
        <w:rPr>
          <w:rFonts w:ascii="Times New Roman" w:eastAsia="Times New Roman" w:hAnsi="Times New Roman" w:cs="Times New Roman"/>
          <w:noProof/>
        </w:rPr>
        <w:t xml:space="preserve">(Luca </w:t>
      </w:r>
      <w:r w:rsidR="00370A19" w:rsidRPr="00370A19">
        <w:rPr>
          <w:rFonts w:ascii="Times New Roman" w:eastAsia="Times New Roman" w:hAnsi="Times New Roman" w:cs="Times New Roman"/>
          <w:i/>
          <w:noProof/>
        </w:rPr>
        <w:t>et al.</w:t>
      </w:r>
      <w:r w:rsidR="00370A19" w:rsidRPr="00370A19">
        <w:rPr>
          <w:rFonts w:ascii="Times New Roman" w:eastAsia="Times New Roman" w:hAnsi="Times New Roman" w:cs="Times New Roman"/>
          <w:noProof/>
        </w:rPr>
        <w:t>, 2020)</w:t>
      </w:r>
      <w:r w:rsidR="00370A19">
        <w:rPr>
          <w:rFonts w:ascii="Times New Roman" w:eastAsia="Times New Roman" w:hAnsi="Times New Roman" w:cs="Times New Roman"/>
        </w:rPr>
        <w:fldChar w:fldCharType="end"/>
      </w:r>
      <w:r w:rsidR="00370A19">
        <w:rPr>
          <w:rFonts w:ascii="Times New Roman" w:eastAsia="Times New Roman" w:hAnsi="Times New Roman" w:cs="Times New Roman"/>
        </w:rPr>
        <w:t xml:space="preserve"> in the Romanian Danube Delta. </w:t>
      </w:r>
      <w:r>
        <w:rPr>
          <w:rFonts w:ascii="Times New Roman" w:eastAsia="Times New Roman" w:hAnsi="Times New Roman" w:cs="Times New Roman"/>
        </w:rPr>
        <w:t xml:space="preserve">Irini explained that those fishermen </w:t>
      </w:r>
      <w:r w:rsidR="004D0F03">
        <w:rPr>
          <w:rFonts w:ascii="Times New Roman" w:eastAsia="Times New Roman" w:hAnsi="Times New Roman" w:cs="Times New Roman"/>
        </w:rPr>
        <w:t>who have engaged with the NGOs “</w:t>
      </w:r>
      <w:r>
        <w:rPr>
          <w:rFonts w:ascii="Times New Roman" w:eastAsia="Times New Roman" w:hAnsi="Times New Roman" w:cs="Times New Roman"/>
        </w:rPr>
        <w:t>say they are poaching because they need money, they have to survive</w:t>
      </w:r>
      <w:r w:rsidR="004D0F03">
        <w:rPr>
          <w:rFonts w:ascii="Times New Roman" w:eastAsia="Times New Roman" w:hAnsi="Times New Roman" w:cs="Times New Roman"/>
        </w:rPr>
        <w:t>”</w:t>
      </w:r>
      <w:r w:rsidRPr="005B292F">
        <w:rPr>
          <w:rStyle w:val="FootnoteReference"/>
        </w:rPr>
        <w:footnoteReference w:id="87"/>
      </w:r>
      <w:r>
        <w:rPr>
          <w:rFonts w:ascii="Times New Roman" w:eastAsia="Times New Roman" w:hAnsi="Times New Roman" w:cs="Times New Roman"/>
        </w:rPr>
        <w:t xml:space="preserve">. For some, the continued sturgeon fishing has been opportunistic. </w:t>
      </w:r>
      <w:r w:rsidR="00A62CCB">
        <w:rPr>
          <w:rFonts w:ascii="Times New Roman" w:eastAsia="Times New Roman" w:hAnsi="Times New Roman" w:cs="Times New Roman"/>
        </w:rPr>
        <w:t>Romanian</w:t>
      </w:r>
      <w:r>
        <w:rPr>
          <w:rFonts w:ascii="Times New Roman" w:eastAsia="Times New Roman" w:hAnsi="Times New Roman" w:cs="Times New Roman"/>
        </w:rPr>
        <w:t xml:space="preserve"> caviar producer, Danut, explained that when fishing for stur</w:t>
      </w:r>
      <w:r w:rsidR="00370A19">
        <w:rPr>
          <w:rFonts w:ascii="Times New Roman" w:eastAsia="Times New Roman" w:hAnsi="Times New Roman" w:cs="Times New Roman"/>
        </w:rPr>
        <w:t>geon “</w:t>
      </w:r>
      <w:r>
        <w:rPr>
          <w:rFonts w:ascii="Times New Roman" w:eastAsia="Times New Roman" w:hAnsi="Times New Roman" w:cs="Times New Roman"/>
        </w:rPr>
        <w:t>it’s a lottery. You catch a Beluga weighing 200kilos, with 30kilos of caviar,  and you don’t have to work for a whole year. For those 90% of fishermen that are poor, they’re still looking for that lottery ticket</w:t>
      </w:r>
      <w:r w:rsidR="00370A19">
        <w:rPr>
          <w:rFonts w:ascii="Times New Roman" w:eastAsia="Times New Roman" w:hAnsi="Times New Roman" w:cs="Times New Roman"/>
        </w:rPr>
        <w:t>”</w:t>
      </w:r>
      <w:r w:rsidRPr="005B292F">
        <w:rPr>
          <w:rStyle w:val="FootnoteReference"/>
        </w:rPr>
        <w:footnoteReference w:id="88"/>
      </w:r>
      <w:r>
        <w:rPr>
          <w:rFonts w:ascii="Times New Roman" w:eastAsia="Times New Roman" w:hAnsi="Times New Roman" w:cs="Times New Roman"/>
        </w:rPr>
        <w:t>.Therefore, when fishermen catch sturgeon as accidental by-catch, this is seen as their ‘lottery ticket’ and more often than not, they do not release the sturgeon, despite the legal mandate to do so</w:t>
      </w:r>
      <w:r w:rsidR="00AA6921">
        <w:rPr>
          <w:rFonts w:ascii="Times New Roman" w:eastAsia="Times New Roman" w:hAnsi="Times New Roman" w:cs="Times New Roman"/>
        </w:rPr>
        <w:t xml:space="preserve"> </w:t>
      </w:r>
      <w:r w:rsidR="00AA6921">
        <w:rPr>
          <w:rFonts w:ascii="Times New Roman" w:eastAsia="Times New Roman" w:hAnsi="Times New Roman" w:cs="Times New Roman"/>
        </w:rPr>
        <w:fldChar w:fldCharType="begin" w:fldLock="1"/>
      </w:r>
      <w:r w:rsidR="00F6237A">
        <w:rPr>
          <w:rFonts w:ascii="Times New Roman" w:eastAsia="Times New Roman" w:hAnsi="Times New Roman" w:cs="Times New Roman"/>
        </w:rPr>
        <w:instrText>ADDIN CSL_CITATION {"citationItems":[{"id":"ITEM-1","itemData":{"URL":"https://oxpeckers.org/2019/10/caviar-crime-and-corruption/","accessed":{"date-parts":[["2020","5","20"]]},"author":[{"dropping-particle":"","family":"Daea","given":"Marius","non-dropping-particle":"","parse-names":false,"suffix":""}],"container-title":"Oxpeckers","id":"ITEM-1","issued":{"date-parts":[["2019"]]},"title":"Caviar, crime and corruption","type":"webpage"},"uris":["http://www.mendeley.com/documents/?uuid=0e9fd15f-5704-37a0-80cc-9e4ae3d5c0b3"]}],"mendeley":{"formattedCitation":"(Daea, 2019)","plainTextFormattedCitation":"(Daea, 2019)","previouslyFormattedCitation":"(Daea, 2019)"},"properties":{"noteIndex":0},"schema":"https://github.com/citation-style-language/schema/raw/master/csl-citation.json"}</w:instrText>
      </w:r>
      <w:r w:rsidR="00AA6921">
        <w:rPr>
          <w:rFonts w:ascii="Times New Roman" w:eastAsia="Times New Roman" w:hAnsi="Times New Roman" w:cs="Times New Roman"/>
        </w:rPr>
        <w:fldChar w:fldCharType="separate"/>
      </w:r>
      <w:r w:rsidR="00AA6921" w:rsidRPr="00AA6921">
        <w:rPr>
          <w:rFonts w:ascii="Times New Roman" w:eastAsia="Times New Roman" w:hAnsi="Times New Roman" w:cs="Times New Roman"/>
          <w:noProof/>
        </w:rPr>
        <w:t>(Daea, 2019)</w:t>
      </w:r>
      <w:r w:rsidR="00AA6921">
        <w:rPr>
          <w:rFonts w:ascii="Times New Roman" w:eastAsia="Times New Roman" w:hAnsi="Times New Roman" w:cs="Times New Roman"/>
        </w:rPr>
        <w:fldChar w:fldCharType="end"/>
      </w:r>
      <w:r>
        <w:rPr>
          <w:rFonts w:ascii="Times New Roman" w:eastAsia="Times New Roman" w:hAnsi="Times New Roman" w:cs="Times New Roman"/>
        </w:rPr>
        <w:t xml:space="preserve">. It was also said that for others, the continuation of poaching represents a deliberate act of resistance: of making a stand against the criminalisation of their livelihoods and </w:t>
      </w:r>
      <w:r>
        <w:rPr>
          <w:rFonts w:ascii="Times New Roman" w:eastAsia="Times New Roman" w:hAnsi="Times New Roman" w:cs="Times New Roman"/>
          <w:lang w:val="en-GB"/>
        </w:rPr>
        <w:t xml:space="preserve">the lack of </w:t>
      </w:r>
      <w:r>
        <w:rPr>
          <w:rFonts w:ascii="Times New Roman" w:eastAsia="Times New Roman" w:hAnsi="Times New Roman" w:cs="Times New Roman"/>
        </w:rPr>
        <w:t>compensa</w:t>
      </w:r>
      <w:r w:rsidR="00370A19">
        <w:rPr>
          <w:rFonts w:ascii="Times New Roman" w:eastAsia="Times New Roman" w:hAnsi="Times New Roman" w:cs="Times New Roman"/>
          <w:lang w:val="en-GB"/>
        </w:rPr>
        <w:t>tion for their communities</w:t>
      </w:r>
      <w:r w:rsidR="00370A19" w:rsidRPr="005B292F">
        <w:rPr>
          <w:rStyle w:val="FootnoteReference"/>
        </w:rPr>
        <w:footnoteReference w:id="89"/>
      </w:r>
      <w:r w:rsidR="00370A19">
        <w:rPr>
          <w:rFonts w:ascii="Times New Roman" w:eastAsia="Times New Roman" w:hAnsi="Times New Roman" w:cs="Times New Roman"/>
        </w:rPr>
        <w:t>. Rose explained that “</w:t>
      </w:r>
      <w:r>
        <w:rPr>
          <w:rFonts w:ascii="Times New Roman" w:eastAsia="Times New Roman" w:hAnsi="Times New Roman" w:cs="Times New Roman"/>
        </w:rPr>
        <w:t>what shows from the work we have done is that we know those people who know how to catch the sturgeon - and it’s not simple, it requires knowledge and tools - they continue to apply this knowledge. The temptation is big, and these are poor people, and there is still a market for it</w:t>
      </w:r>
      <w:r w:rsidR="00370A19">
        <w:rPr>
          <w:rFonts w:ascii="Times New Roman" w:eastAsia="Times New Roman" w:hAnsi="Times New Roman" w:cs="Times New Roman"/>
        </w:rPr>
        <w:t>”</w:t>
      </w:r>
      <w:r w:rsidRPr="005B292F">
        <w:rPr>
          <w:rStyle w:val="FootnoteReference"/>
        </w:rPr>
        <w:footnoteReference w:id="90"/>
      </w:r>
      <w:r>
        <w:rPr>
          <w:rFonts w:ascii="Times New Roman" w:eastAsia="Times New Roman" w:hAnsi="Times New Roman" w:cs="Times New Roman"/>
        </w:rPr>
        <w:t>.</w:t>
      </w:r>
    </w:p>
    <w:p w14:paraId="2043FFC9" w14:textId="4FC947EF" w:rsidR="00AC10E7" w:rsidRDefault="00AC10E7" w:rsidP="00FC70E0">
      <w:pPr>
        <w:pStyle w:val="Normal1"/>
        <w:spacing w:after="160" w:line="360" w:lineRule="auto"/>
        <w:ind w:firstLine="720"/>
        <w:jc w:val="both"/>
        <w:rPr>
          <w:rFonts w:ascii="Times New Roman" w:eastAsia="Times New Roman" w:hAnsi="Times New Roman" w:cs="Times New Roman"/>
        </w:rPr>
      </w:pPr>
      <w:r>
        <w:rPr>
          <w:rFonts w:ascii="Times New Roman" w:eastAsia="Times New Roman" w:hAnsi="Times New Roman" w:cs="Times New Roman"/>
        </w:rPr>
        <w:lastRenderedPageBreak/>
        <w:t>Furthermore, another overlooked impact of the regulations on fishing communities, has been the</w:t>
      </w:r>
      <w:r>
        <w:rPr>
          <w:rFonts w:ascii="Times New Roman" w:eastAsia="Times New Roman" w:hAnsi="Times New Roman" w:cs="Times New Roman"/>
          <w:lang w:val="en-GB"/>
        </w:rPr>
        <w:t xml:space="preserve"> unequal</w:t>
      </w:r>
      <w:r>
        <w:rPr>
          <w:rFonts w:ascii="Times New Roman" w:eastAsia="Times New Roman" w:hAnsi="Times New Roman" w:cs="Times New Roman"/>
        </w:rPr>
        <w:t xml:space="preserve"> impact</w:t>
      </w:r>
      <w:r w:rsidR="00A62CCB">
        <w:rPr>
          <w:rFonts w:ascii="Times New Roman" w:eastAsia="Times New Roman" w:hAnsi="Times New Roman" w:cs="Times New Roman"/>
        </w:rPr>
        <w:t>s</w:t>
      </w:r>
      <w:r>
        <w:rPr>
          <w:rFonts w:ascii="Times New Roman" w:eastAsia="Times New Roman" w:hAnsi="Times New Roman" w:cs="Times New Roman"/>
        </w:rPr>
        <w:t xml:space="preserve"> of enforcing CITES Resolution Conf 12.7 and the related regulations. </w:t>
      </w:r>
      <w:r w:rsidR="00A62CCB">
        <w:rPr>
          <w:rFonts w:ascii="Times New Roman" w:eastAsia="Times New Roman" w:hAnsi="Times New Roman" w:cs="Times New Roman"/>
        </w:rPr>
        <w:t>E</w:t>
      </w:r>
      <w:r>
        <w:rPr>
          <w:rFonts w:ascii="Times New Roman" w:eastAsia="Times New Roman" w:hAnsi="Times New Roman" w:cs="Times New Roman"/>
        </w:rPr>
        <w:t xml:space="preserve">nforcement </w:t>
      </w:r>
      <w:r w:rsidR="00A62CCB">
        <w:rPr>
          <w:rFonts w:ascii="Times New Roman" w:eastAsia="Times New Roman" w:hAnsi="Times New Roman" w:cs="Times New Roman"/>
        </w:rPr>
        <w:t>operations have</w:t>
      </w:r>
      <w:r>
        <w:rPr>
          <w:rFonts w:ascii="Times New Roman" w:eastAsia="Times New Roman" w:hAnsi="Times New Roman" w:cs="Times New Roman"/>
        </w:rPr>
        <w:t xml:space="preserve"> placed fishing communities at the mercy of enforcement authorities that can be overly heavy-handed and/or corrupt. Irini explained that in Romania there are up to 7 enforcement bodies who can undertake fisheries controls and inspections including ANPA (the national agency </w:t>
      </w:r>
      <w:r w:rsidR="00FF6003">
        <w:rPr>
          <w:rFonts w:ascii="Times New Roman" w:eastAsia="Times New Roman" w:hAnsi="Times New Roman" w:cs="Times New Roman"/>
        </w:rPr>
        <w:t>for fisheries and aquaculture),</w:t>
      </w:r>
      <w:r>
        <w:rPr>
          <w:rFonts w:ascii="Times New Roman" w:eastAsia="Times New Roman" w:hAnsi="Times New Roman" w:cs="Times New Roman"/>
        </w:rPr>
        <w:t xml:space="preserve"> the Danube Delta Police, </w:t>
      </w:r>
      <w:r w:rsidR="00A62CCB">
        <w:rPr>
          <w:rFonts w:ascii="Times New Roman" w:eastAsia="Times New Roman" w:hAnsi="Times New Roman" w:cs="Times New Roman"/>
        </w:rPr>
        <w:t xml:space="preserve">the Border Police, </w:t>
      </w:r>
      <w:r>
        <w:rPr>
          <w:rFonts w:ascii="Times New Roman" w:eastAsia="Times New Roman" w:hAnsi="Times New Roman" w:cs="Times New Roman"/>
        </w:rPr>
        <w:t xml:space="preserve">and the national environmental guard. Irini </w:t>
      </w:r>
      <w:r w:rsidR="00A62CCB">
        <w:rPr>
          <w:rFonts w:ascii="Times New Roman" w:eastAsia="Times New Roman" w:hAnsi="Times New Roman" w:cs="Times New Roman"/>
        </w:rPr>
        <w:t>recounted</w:t>
      </w:r>
      <w:r>
        <w:rPr>
          <w:rFonts w:ascii="Times New Roman" w:eastAsia="Times New Roman" w:hAnsi="Times New Roman" w:cs="Times New Roman"/>
        </w:rPr>
        <w:t xml:space="preserve"> how there had been reports of enforcement officials abusing their position of power when undertaking control missions in these fishing communities. These ‘abuses’ included seizing lawful tools and legally caught fish, and then selling the commodities in other communities, and ge</w:t>
      </w:r>
      <w:r w:rsidR="003C0F32">
        <w:rPr>
          <w:rFonts w:ascii="Times New Roman" w:eastAsia="Times New Roman" w:hAnsi="Times New Roman" w:cs="Times New Roman"/>
        </w:rPr>
        <w:t>nerally treating the fishermen “</w:t>
      </w:r>
      <w:r>
        <w:rPr>
          <w:rFonts w:ascii="Times New Roman" w:eastAsia="Times New Roman" w:hAnsi="Times New Roman" w:cs="Times New Roman"/>
        </w:rPr>
        <w:t>like they already do something illegal, even if it’s not proven</w:t>
      </w:r>
      <w:r w:rsidR="003C0F32">
        <w:rPr>
          <w:rFonts w:ascii="Times New Roman" w:eastAsia="Times New Roman" w:hAnsi="Times New Roman" w:cs="Times New Roman"/>
        </w:rPr>
        <w:t>”</w:t>
      </w:r>
      <w:r w:rsidRPr="005B292F">
        <w:rPr>
          <w:rStyle w:val="FootnoteReference"/>
        </w:rPr>
        <w:footnoteReference w:id="91"/>
      </w:r>
      <w:r>
        <w:rPr>
          <w:rFonts w:ascii="Times New Roman" w:eastAsia="Times New Roman" w:hAnsi="Times New Roman" w:cs="Times New Roman"/>
        </w:rPr>
        <w:t>. This has further entrenched the hostility, disdain</w:t>
      </w:r>
      <w:r w:rsidR="003C0F32">
        <w:rPr>
          <w:rFonts w:ascii="Times New Roman" w:eastAsia="Times New Roman" w:hAnsi="Times New Roman" w:cs="Times New Roman"/>
        </w:rPr>
        <w:t>,</w:t>
      </w:r>
      <w:r>
        <w:rPr>
          <w:rFonts w:ascii="Times New Roman" w:eastAsia="Times New Roman" w:hAnsi="Times New Roman" w:cs="Times New Roman"/>
        </w:rPr>
        <w:t xml:space="preserve"> and mistrust many fishermen express towards authorities</w:t>
      </w:r>
      <w:r w:rsidR="003C0F32">
        <w:rPr>
          <w:rFonts w:ascii="Times New Roman" w:eastAsia="Times New Roman" w:hAnsi="Times New Roman" w:cs="Times New Roman"/>
        </w:rPr>
        <w:t xml:space="preserve">, due to being subject to long histories of exploitation at the hands of corrupt authorities </w:t>
      </w:r>
      <w:r w:rsidR="003C0F32">
        <w:rPr>
          <w:rFonts w:ascii="Times New Roman" w:eastAsia="Times New Roman" w:hAnsi="Times New Roman" w:cs="Times New Roman"/>
        </w:rPr>
        <w:fldChar w:fldCharType="begin" w:fldLock="1"/>
      </w:r>
      <w:r w:rsidR="00AA6921">
        <w:rPr>
          <w:rFonts w:ascii="Times New Roman" w:eastAsia="Times New Roman" w:hAnsi="Times New Roman" w:cs="Times New Roman"/>
        </w:rPr>
        <w:instrText>ADDIN CSL_CITATION {"citationItems":[{"id":"ITEM-1","itemData":{"author":[{"dropping-particle":"","family":"Luca","given":"Ana Maria","non-dropping-particle":"","parse-names":false,"suffix":""},{"dropping-particle":"","family":"Holdis","given":"Dumitrita","non-dropping-particle":"","parse-names":false,"suffix":""},{"dropping-particle":"","family":"Balan","given":"Mira","non-dropping-particle":"","parse-names":false,"suffix":""},{"dropping-particle":"","family":"Gascón Barberá","given":"Marcel","non-dropping-particle":"","parse-names":false,"suffix":""}],"container-title":"Balkan Insight","id":"ITEM-1","issued":{"date-parts":[["2020"]]},"title":"Decimated Danube: Sturgeon Revival Efforts Neglect Roots of Poaching","type":"article-newspaper"},"uris":["http://www.mendeley.com/documents/?uuid=71f1f378-8ef7-4a3c-abf5-c10be716ecc0"]}],"mendeley":{"formattedCitation":"(Luca &lt;i&gt;et al.&lt;/i&gt;, 2020)","plainTextFormattedCitation":"(Luca et al., 2020)","previouslyFormattedCitation":"(Luca &lt;i&gt;et al.&lt;/i&gt;, 2020)"},"properties":{"noteIndex":0},"schema":"https://github.com/citation-style-language/schema/raw/master/csl-citation.json"}</w:instrText>
      </w:r>
      <w:r w:rsidR="003C0F32">
        <w:rPr>
          <w:rFonts w:ascii="Times New Roman" w:eastAsia="Times New Roman" w:hAnsi="Times New Roman" w:cs="Times New Roman"/>
        </w:rPr>
        <w:fldChar w:fldCharType="separate"/>
      </w:r>
      <w:r w:rsidR="003C0F32" w:rsidRPr="003C0F32">
        <w:rPr>
          <w:rFonts w:ascii="Times New Roman" w:eastAsia="Times New Roman" w:hAnsi="Times New Roman" w:cs="Times New Roman"/>
          <w:noProof/>
        </w:rPr>
        <w:t xml:space="preserve">(Luca </w:t>
      </w:r>
      <w:r w:rsidR="003C0F32" w:rsidRPr="003C0F32">
        <w:rPr>
          <w:rFonts w:ascii="Times New Roman" w:eastAsia="Times New Roman" w:hAnsi="Times New Roman" w:cs="Times New Roman"/>
          <w:i/>
          <w:noProof/>
        </w:rPr>
        <w:t>et al.</w:t>
      </w:r>
      <w:r w:rsidR="003C0F32" w:rsidRPr="003C0F32">
        <w:rPr>
          <w:rFonts w:ascii="Times New Roman" w:eastAsia="Times New Roman" w:hAnsi="Times New Roman" w:cs="Times New Roman"/>
          <w:noProof/>
        </w:rPr>
        <w:t>, 2020)</w:t>
      </w:r>
      <w:r w:rsidR="003C0F32">
        <w:rPr>
          <w:rFonts w:ascii="Times New Roman" w:eastAsia="Times New Roman" w:hAnsi="Times New Roman" w:cs="Times New Roman"/>
        </w:rPr>
        <w:fldChar w:fldCharType="end"/>
      </w:r>
      <w:r>
        <w:rPr>
          <w:rFonts w:ascii="Times New Roman" w:eastAsia="Times New Roman" w:hAnsi="Times New Roman" w:cs="Times New Roman"/>
        </w:rPr>
        <w:t>.</w:t>
      </w:r>
      <w:r w:rsidR="003C0F32">
        <w:rPr>
          <w:rFonts w:ascii="Times New Roman" w:eastAsia="Times New Roman" w:hAnsi="Times New Roman" w:cs="Times New Roman"/>
        </w:rPr>
        <w:t xml:space="preserve"> </w:t>
      </w:r>
      <w:r>
        <w:rPr>
          <w:rFonts w:ascii="Times New Roman" w:eastAsia="Times New Roman" w:hAnsi="Times New Roman" w:cs="Times New Roman"/>
        </w:rPr>
        <w:t>Irini outlined that some fishing communities have explained how in recent yea</w:t>
      </w:r>
      <w:r w:rsidR="003C0F32">
        <w:rPr>
          <w:rFonts w:ascii="Times New Roman" w:eastAsia="Times New Roman" w:hAnsi="Times New Roman" w:cs="Times New Roman"/>
        </w:rPr>
        <w:t>rs the enforcement authorities “</w:t>
      </w:r>
      <w:r>
        <w:rPr>
          <w:rFonts w:ascii="Times New Roman" w:eastAsia="Times New Roman" w:hAnsi="Times New Roman" w:cs="Times New Roman"/>
        </w:rPr>
        <w:t>are a lot more polite</w:t>
      </w:r>
      <w:r w:rsidR="003C0F32">
        <w:rPr>
          <w:rFonts w:ascii="Times New Roman" w:eastAsia="Times New Roman" w:hAnsi="Times New Roman" w:cs="Times New Roman"/>
        </w:rPr>
        <w:t>”</w:t>
      </w:r>
      <w:r w:rsidRPr="005B292F">
        <w:rPr>
          <w:rStyle w:val="FootnoteReference"/>
        </w:rPr>
        <w:footnoteReference w:id="92"/>
      </w:r>
      <w:r>
        <w:rPr>
          <w:rFonts w:ascii="Times New Roman" w:eastAsia="Times New Roman" w:hAnsi="Times New Roman" w:cs="Times New Roman"/>
        </w:rPr>
        <w:t>, but overall the relationship between sturgeon fishermen and enforcement officials in Romania is complex, contradictory</w:t>
      </w:r>
      <w:r w:rsidR="003C0F32">
        <w:rPr>
          <w:rFonts w:ascii="Times New Roman" w:eastAsia="Times New Roman" w:hAnsi="Times New Roman" w:cs="Times New Roman"/>
        </w:rPr>
        <w:t>,</w:t>
      </w:r>
      <w:r>
        <w:rPr>
          <w:rFonts w:ascii="Times New Roman" w:eastAsia="Times New Roman" w:hAnsi="Times New Roman" w:cs="Times New Roman"/>
        </w:rPr>
        <w:t xml:space="preserve"> and ambivalent. </w:t>
      </w:r>
    </w:p>
    <w:p w14:paraId="6BB877BE" w14:textId="023A8F4F" w:rsidR="00AC10E7" w:rsidRPr="000968B9" w:rsidRDefault="00A54CC0" w:rsidP="00FC70E0">
      <w:pPr>
        <w:pStyle w:val="Normal1"/>
        <w:spacing w:after="160" w:line="360" w:lineRule="auto"/>
        <w:ind w:firstLine="720"/>
        <w:jc w:val="both"/>
        <w:rPr>
          <w:rFonts w:ascii="Times New Roman" w:eastAsia="Times New Roman" w:hAnsi="Times New Roman" w:cs="Times New Roman"/>
          <w:lang w:val="en-GB"/>
        </w:rPr>
      </w:pPr>
      <w:r>
        <w:rPr>
          <w:rFonts w:ascii="Times New Roman" w:eastAsia="Times New Roman" w:hAnsi="Times New Roman" w:cs="Times New Roman"/>
        </w:rPr>
        <w:t>Moreover, it</w:t>
      </w:r>
      <w:r w:rsidR="00AC10E7">
        <w:rPr>
          <w:rFonts w:ascii="Times New Roman" w:eastAsia="Times New Roman" w:hAnsi="Times New Roman" w:cs="Times New Roman"/>
        </w:rPr>
        <w:t xml:space="preserve"> was suggested that these contradictory relationships have emerged in part because some fishermen and the organised poaching networks they are part of, have made arrangements with enforcement officials whereby poaching is informally permitted, on the condition that enforcement officials benefit materially from the profit of </w:t>
      </w:r>
      <w:r w:rsidR="00A62CCB">
        <w:rPr>
          <w:rFonts w:ascii="Times New Roman" w:eastAsia="Times New Roman" w:hAnsi="Times New Roman" w:cs="Times New Roman"/>
        </w:rPr>
        <w:t>these poaching endeavours. Romanian</w:t>
      </w:r>
      <w:r w:rsidR="00AC10E7">
        <w:rPr>
          <w:rFonts w:ascii="Times New Roman" w:eastAsia="Times New Roman" w:hAnsi="Times New Roman" w:cs="Times New Roman"/>
        </w:rPr>
        <w:t xml:space="preserve"> caviar producer Danut, stressed that the fishing bans and</w:t>
      </w:r>
      <w:r w:rsidR="00FF6003">
        <w:rPr>
          <w:rFonts w:ascii="Times New Roman" w:eastAsia="Times New Roman" w:hAnsi="Times New Roman" w:cs="Times New Roman"/>
        </w:rPr>
        <w:t xml:space="preserve"> regulations have been ignored “</w:t>
      </w:r>
      <w:r w:rsidR="00AC10E7">
        <w:rPr>
          <w:rFonts w:ascii="Times New Roman" w:eastAsia="Times New Roman" w:hAnsi="Times New Roman" w:cs="Times New Roman"/>
        </w:rPr>
        <w:t>in complicity with those who should control it</w:t>
      </w:r>
      <w:r w:rsidR="00FF6003">
        <w:rPr>
          <w:rFonts w:ascii="Times New Roman" w:eastAsia="Times New Roman" w:hAnsi="Times New Roman" w:cs="Times New Roman"/>
        </w:rPr>
        <w:t>”</w:t>
      </w:r>
      <w:r w:rsidR="00AC10E7" w:rsidRPr="005B292F">
        <w:rPr>
          <w:rStyle w:val="FootnoteReference"/>
        </w:rPr>
        <w:footnoteReference w:id="93"/>
      </w:r>
      <w:r w:rsidR="00AC10E7">
        <w:rPr>
          <w:rFonts w:ascii="Times New Roman" w:eastAsia="Times New Roman" w:hAnsi="Times New Roman" w:cs="Times New Roman"/>
        </w:rPr>
        <w:t>, and Juliani sim</w:t>
      </w:r>
      <w:r w:rsidR="00FF6003">
        <w:rPr>
          <w:rFonts w:ascii="Times New Roman" w:eastAsia="Times New Roman" w:hAnsi="Times New Roman" w:cs="Times New Roman"/>
        </w:rPr>
        <w:t>ilarly declared that “</w:t>
      </w:r>
      <w:r w:rsidR="00AC10E7">
        <w:rPr>
          <w:rFonts w:ascii="Times New Roman" w:eastAsia="Times New Roman" w:hAnsi="Times New Roman" w:cs="Times New Roman"/>
        </w:rPr>
        <w:t>in the poaching a lot of authorities are involved</w:t>
      </w:r>
      <w:r w:rsidR="00FF6003">
        <w:rPr>
          <w:rFonts w:ascii="Times New Roman" w:eastAsia="Times New Roman" w:hAnsi="Times New Roman" w:cs="Times New Roman"/>
        </w:rPr>
        <w:t>”</w:t>
      </w:r>
      <w:r w:rsidR="00AC10E7" w:rsidRPr="005B292F">
        <w:rPr>
          <w:rStyle w:val="FootnoteReference"/>
        </w:rPr>
        <w:footnoteReference w:id="94"/>
      </w:r>
      <w:r>
        <w:rPr>
          <w:rFonts w:ascii="Times New Roman" w:eastAsia="Times New Roman" w:hAnsi="Times New Roman" w:cs="Times New Roman"/>
        </w:rPr>
        <w:t>. As such, Rose concluded that “</w:t>
      </w:r>
      <w:r w:rsidR="00AC10E7">
        <w:rPr>
          <w:rFonts w:ascii="Times New Roman" w:eastAsia="Times New Roman" w:hAnsi="Times New Roman" w:cs="Times New Roman"/>
        </w:rPr>
        <w:t>there are real enforcement issues. It’s a cultural issue and everybody is poaching whenever it is possible, especially in the [Danube] delta</w:t>
      </w:r>
      <w:r>
        <w:rPr>
          <w:rFonts w:ascii="Times New Roman" w:eastAsia="Times New Roman" w:hAnsi="Times New Roman" w:cs="Times New Roman"/>
        </w:rPr>
        <w:t>”</w:t>
      </w:r>
      <w:r w:rsidR="00AC10E7" w:rsidRPr="005B292F">
        <w:rPr>
          <w:rStyle w:val="FootnoteReference"/>
        </w:rPr>
        <w:footnoteReference w:id="95"/>
      </w:r>
      <w:r w:rsidR="00AC10E7">
        <w:rPr>
          <w:rFonts w:ascii="Times New Roman" w:eastAsia="Times New Roman" w:hAnsi="Times New Roman" w:cs="Times New Roman"/>
        </w:rPr>
        <w:t xml:space="preserve">. </w:t>
      </w:r>
      <w:r w:rsidR="00AC10E7">
        <w:rPr>
          <w:rFonts w:ascii="Times New Roman" w:eastAsia="Times New Roman" w:hAnsi="Times New Roman" w:cs="Times New Roman"/>
          <w:lang w:val="en-GB"/>
        </w:rPr>
        <w:t>Arguably, it is unlikely th</w:t>
      </w:r>
      <w:r w:rsidR="00A62CCB">
        <w:rPr>
          <w:rFonts w:ascii="Times New Roman" w:eastAsia="Times New Roman" w:hAnsi="Times New Roman" w:cs="Times New Roman"/>
          <w:lang w:val="en-GB"/>
        </w:rPr>
        <w:t>at everybody is poaching, but what</w:t>
      </w:r>
      <w:r w:rsidR="00AC10E7">
        <w:rPr>
          <w:rFonts w:ascii="Times New Roman" w:eastAsia="Times New Roman" w:hAnsi="Times New Roman" w:cs="Times New Roman"/>
          <w:lang w:val="en-GB"/>
        </w:rPr>
        <w:t xml:space="preserve"> is clear</w:t>
      </w:r>
      <w:r w:rsidR="00A62CCB">
        <w:rPr>
          <w:rFonts w:ascii="Times New Roman" w:eastAsia="Times New Roman" w:hAnsi="Times New Roman" w:cs="Times New Roman"/>
          <w:lang w:val="en-GB"/>
        </w:rPr>
        <w:t>, is</w:t>
      </w:r>
      <w:r w:rsidR="00AC10E7">
        <w:rPr>
          <w:rFonts w:ascii="Times New Roman" w:eastAsia="Times New Roman" w:hAnsi="Times New Roman" w:cs="Times New Roman"/>
          <w:lang w:val="en-GB"/>
        </w:rPr>
        <w:t xml:space="preserve"> that </w:t>
      </w:r>
      <w:r>
        <w:rPr>
          <w:rFonts w:ascii="Times New Roman" w:eastAsia="Times New Roman" w:hAnsi="Times New Roman" w:cs="Times New Roman"/>
          <w:lang w:val="en-GB"/>
        </w:rPr>
        <w:t xml:space="preserve">many </w:t>
      </w:r>
      <w:r w:rsidR="00AC10E7">
        <w:rPr>
          <w:rFonts w:ascii="Times New Roman" w:eastAsia="Times New Roman" w:hAnsi="Times New Roman" w:cs="Times New Roman"/>
          <w:lang w:val="en-GB"/>
        </w:rPr>
        <w:t xml:space="preserve">fishermen increasingly exist in an insecure and liminal socio-economic situation as a result of the </w:t>
      </w:r>
      <w:r>
        <w:rPr>
          <w:rFonts w:ascii="Times New Roman" w:eastAsia="Times New Roman" w:hAnsi="Times New Roman" w:cs="Times New Roman"/>
          <w:lang w:val="en-GB"/>
        </w:rPr>
        <w:t xml:space="preserve">EU caviar trade </w:t>
      </w:r>
      <w:r w:rsidR="00AC10E7">
        <w:rPr>
          <w:rFonts w:ascii="Times New Roman" w:eastAsia="Times New Roman" w:hAnsi="Times New Roman" w:cs="Times New Roman"/>
          <w:lang w:val="en-GB"/>
        </w:rPr>
        <w:t xml:space="preserve">regulations. </w:t>
      </w:r>
      <w:r w:rsidR="00AC10E7">
        <w:rPr>
          <w:rFonts w:ascii="Times New Roman" w:eastAsia="Times New Roman" w:hAnsi="Times New Roman" w:cs="Times New Roman"/>
        </w:rPr>
        <w:t>On the one hand, they face being criminalised and prosecuted for purs</w:t>
      </w:r>
      <w:r>
        <w:rPr>
          <w:rFonts w:ascii="Times New Roman" w:eastAsia="Times New Roman" w:hAnsi="Times New Roman" w:cs="Times New Roman"/>
        </w:rPr>
        <w:t xml:space="preserve">uing illegal </w:t>
      </w:r>
      <w:r>
        <w:rPr>
          <w:rFonts w:ascii="Times New Roman" w:eastAsia="Times New Roman" w:hAnsi="Times New Roman" w:cs="Times New Roman"/>
        </w:rPr>
        <w:lastRenderedPageBreak/>
        <w:t>fishing activities -</w:t>
      </w:r>
      <w:r w:rsidR="00AC10E7">
        <w:rPr>
          <w:rFonts w:ascii="Times New Roman" w:eastAsia="Times New Roman" w:hAnsi="Times New Roman" w:cs="Times New Roman"/>
        </w:rPr>
        <w:t xml:space="preserve"> yet they have few economic alternatives. On the other hand, they are sometimes pushed</w:t>
      </w:r>
      <w:r>
        <w:rPr>
          <w:rFonts w:ascii="Times New Roman" w:eastAsia="Times New Roman" w:hAnsi="Times New Roman" w:cs="Times New Roman"/>
        </w:rPr>
        <w:t>,</w:t>
      </w:r>
      <w:r w:rsidR="00AC10E7">
        <w:rPr>
          <w:rFonts w:ascii="Times New Roman" w:eastAsia="Times New Roman" w:hAnsi="Times New Roman" w:cs="Times New Roman"/>
        </w:rPr>
        <w:t xml:space="preserve"> encouraged</w:t>
      </w:r>
      <w:r w:rsidR="00A62CCB">
        <w:rPr>
          <w:rFonts w:ascii="Times New Roman" w:eastAsia="Times New Roman" w:hAnsi="Times New Roman" w:cs="Times New Roman"/>
        </w:rPr>
        <w:t>,</w:t>
      </w:r>
      <w:r>
        <w:rPr>
          <w:rFonts w:ascii="Times New Roman" w:eastAsia="Times New Roman" w:hAnsi="Times New Roman" w:cs="Times New Roman"/>
        </w:rPr>
        <w:t xml:space="preserve"> or willingly pursue sturgeon poaching in complicity with</w:t>
      </w:r>
      <w:r w:rsidR="00AC10E7">
        <w:rPr>
          <w:rFonts w:ascii="Times New Roman" w:eastAsia="Times New Roman" w:hAnsi="Times New Roman" w:cs="Times New Roman"/>
        </w:rPr>
        <w:t xml:space="preserve"> the very authorities tasked with</w:t>
      </w:r>
      <w:r>
        <w:rPr>
          <w:rFonts w:ascii="Times New Roman" w:eastAsia="Times New Roman" w:hAnsi="Times New Roman" w:cs="Times New Roman"/>
        </w:rPr>
        <w:t xml:space="preserve"> enforcing the regulations. In sum, the prevailing</w:t>
      </w:r>
      <w:r w:rsidR="00AC10E7">
        <w:rPr>
          <w:rFonts w:ascii="Times New Roman" w:eastAsia="Times New Roman" w:hAnsi="Times New Roman" w:cs="Times New Roman"/>
        </w:rPr>
        <w:t xml:space="preserve"> sense was that because of t</w:t>
      </w:r>
      <w:r>
        <w:rPr>
          <w:rFonts w:ascii="Times New Roman" w:eastAsia="Times New Roman" w:hAnsi="Times New Roman" w:cs="Times New Roman"/>
        </w:rPr>
        <w:t xml:space="preserve">he regulations and fishing bans, </w:t>
      </w:r>
      <w:r w:rsidR="0037121F">
        <w:rPr>
          <w:rFonts w:ascii="Times New Roman" w:eastAsia="Times New Roman" w:hAnsi="Times New Roman" w:cs="Times New Roman"/>
        </w:rPr>
        <w:t xml:space="preserve">sturgeon </w:t>
      </w:r>
      <w:r w:rsidR="00AC10E7">
        <w:rPr>
          <w:rFonts w:ascii="Times New Roman" w:eastAsia="Times New Roman" w:hAnsi="Times New Roman" w:cs="Times New Roman"/>
        </w:rPr>
        <w:t xml:space="preserve">fishermen have </w:t>
      </w:r>
      <w:r>
        <w:rPr>
          <w:rFonts w:ascii="Times New Roman" w:eastAsia="Times New Roman" w:hAnsi="Times New Roman" w:cs="Times New Roman"/>
        </w:rPr>
        <w:t xml:space="preserve">increasingly </w:t>
      </w:r>
      <w:r w:rsidR="00AC10E7">
        <w:rPr>
          <w:rFonts w:ascii="Times New Roman" w:eastAsia="Times New Roman" w:hAnsi="Times New Roman" w:cs="Times New Roman"/>
        </w:rPr>
        <w:t>limited employment opportunities, which has led to acute economic insecurity</w:t>
      </w:r>
      <w:r w:rsidR="00AC10E7">
        <w:rPr>
          <w:rFonts w:ascii="Times New Roman" w:eastAsia="Times New Roman" w:hAnsi="Times New Roman" w:cs="Times New Roman"/>
          <w:lang w:val="en-GB"/>
        </w:rPr>
        <w:t xml:space="preserve"> and may push them into criminality. </w:t>
      </w:r>
    </w:p>
    <w:p w14:paraId="1ED696EE" w14:textId="694D649A" w:rsidR="00AC10E7" w:rsidRDefault="00AC10E7" w:rsidP="00FC70E0">
      <w:pPr>
        <w:pStyle w:val="Normal1"/>
        <w:spacing w:after="16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Observers have therefore made the conclusion that the regulations have had some ironic impacts, given that in the Danube </w:t>
      </w:r>
      <w:r w:rsidR="001F2BE7">
        <w:rPr>
          <w:rFonts w:ascii="Times New Roman" w:eastAsia="Times New Roman" w:hAnsi="Times New Roman" w:cs="Times New Roman"/>
        </w:rPr>
        <w:t>Delta “</w:t>
      </w:r>
      <w:r>
        <w:rPr>
          <w:rFonts w:ascii="Times New Roman" w:eastAsia="Times New Roman" w:hAnsi="Times New Roman" w:cs="Times New Roman"/>
        </w:rPr>
        <w:t>the poaching is bigger than ever</w:t>
      </w:r>
      <w:r w:rsidR="001F2BE7">
        <w:rPr>
          <w:rFonts w:ascii="Times New Roman" w:eastAsia="Times New Roman" w:hAnsi="Times New Roman" w:cs="Times New Roman"/>
        </w:rPr>
        <w:t>”</w:t>
      </w:r>
      <w:r w:rsidRPr="005B292F">
        <w:rPr>
          <w:rStyle w:val="FootnoteReference"/>
        </w:rPr>
        <w:footnoteReference w:id="96"/>
      </w:r>
      <w:r>
        <w:rPr>
          <w:rFonts w:ascii="Times New Roman" w:eastAsia="Times New Roman" w:hAnsi="Times New Roman" w:cs="Times New Roman"/>
        </w:rPr>
        <w:t>. However, these poaching dynamics are not necessarily reflected in the EU-level se</w:t>
      </w:r>
      <w:r w:rsidR="00AA6921">
        <w:rPr>
          <w:rFonts w:ascii="Times New Roman" w:eastAsia="Times New Roman" w:hAnsi="Times New Roman" w:cs="Times New Roman"/>
        </w:rPr>
        <w:t>izure data, primarily because, “</w:t>
      </w:r>
      <w:r>
        <w:rPr>
          <w:rFonts w:ascii="Times New Roman" w:eastAsia="Times New Roman" w:hAnsi="Times New Roman" w:cs="Times New Roman"/>
        </w:rPr>
        <w:t>the problem now is that a lot of poaching is not seized</w:t>
      </w:r>
      <w:r w:rsidR="00AA6921">
        <w:rPr>
          <w:rFonts w:ascii="Times New Roman" w:eastAsia="Times New Roman" w:hAnsi="Times New Roman" w:cs="Times New Roman"/>
        </w:rPr>
        <w:t>”</w:t>
      </w:r>
      <w:r w:rsidRPr="005B292F">
        <w:rPr>
          <w:rStyle w:val="FootnoteReference"/>
        </w:rPr>
        <w:footnoteReference w:id="97"/>
      </w:r>
      <w:r>
        <w:rPr>
          <w:rFonts w:ascii="Times New Roman" w:eastAsia="Times New Roman" w:hAnsi="Times New Roman" w:cs="Times New Roman"/>
        </w:rPr>
        <w:t xml:space="preserve">. </w:t>
      </w:r>
      <w:r w:rsidR="00FA7EA1">
        <w:rPr>
          <w:rFonts w:ascii="Times New Roman" w:eastAsia="Times New Roman" w:hAnsi="Times New Roman" w:cs="Times New Roman"/>
        </w:rPr>
        <w:t xml:space="preserve">The purported involvement of corrupt authorities in facilitating illegal trade, is one reason which can explain </w:t>
      </w:r>
      <w:r>
        <w:rPr>
          <w:rFonts w:ascii="Times New Roman" w:eastAsia="Times New Roman" w:hAnsi="Times New Roman" w:cs="Times New Roman"/>
        </w:rPr>
        <w:t xml:space="preserve">why poached sturgeon and caviar may not be </w:t>
      </w:r>
      <w:r w:rsidR="00FA7EA1">
        <w:rPr>
          <w:rFonts w:ascii="Times New Roman" w:eastAsia="Times New Roman" w:hAnsi="Times New Roman" w:cs="Times New Roman"/>
        </w:rPr>
        <w:t xml:space="preserve">seized. </w:t>
      </w:r>
      <w:r>
        <w:rPr>
          <w:rFonts w:ascii="Times New Roman" w:eastAsia="Times New Roman" w:hAnsi="Times New Roman" w:cs="Times New Roman"/>
        </w:rPr>
        <w:t xml:space="preserve">A further point to consider was put forward by ex-enforcement officer Michael who </w:t>
      </w:r>
      <w:r w:rsidR="00CF23C2">
        <w:rPr>
          <w:rFonts w:ascii="Times New Roman" w:eastAsia="Times New Roman" w:hAnsi="Times New Roman" w:cs="Times New Roman"/>
        </w:rPr>
        <w:t>suggested that although he was “</w:t>
      </w:r>
      <w:r>
        <w:rPr>
          <w:rFonts w:ascii="Times New Roman" w:eastAsia="Times New Roman" w:hAnsi="Times New Roman" w:cs="Times New Roman"/>
        </w:rPr>
        <w:t>sure that the poaching must continue, one presumes that the majority of illegally harvested product is used domestically now</w:t>
      </w:r>
      <w:r w:rsidR="00CF23C2">
        <w:rPr>
          <w:rFonts w:ascii="Times New Roman" w:eastAsia="Times New Roman" w:hAnsi="Times New Roman" w:cs="Times New Roman"/>
        </w:rPr>
        <w:t>”</w:t>
      </w:r>
      <w:r w:rsidRPr="005B292F">
        <w:rPr>
          <w:rStyle w:val="FootnoteReference"/>
        </w:rPr>
        <w:footnoteReference w:id="98"/>
      </w:r>
      <w:r>
        <w:rPr>
          <w:rFonts w:ascii="Times New Roman" w:eastAsia="Times New Roman" w:hAnsi="Times New Roman" w:cs="Times New Roman"/>
        </w:rPr>
        <w:t xml:space="preserve">, and therefore not subject to inspection at international borders or likely to be seized. This again reinforces the unreliability of using only caviar seizure data to tell a story about the impacts of the caviar trade regulations, particularly as the seizure data is not reflective of sturgeon poaching dynamics in the EU, and a significant proportion of illegal </w:t>
      </w:r>
      <w:r w:rsidR="00CF23C2">
        <w:rPr>
          <w:rFonts w:ascii="Times New Roman" w:eastAsia="Times New Roman" w:hAnsi="Times New Roman" w:cs="Times New Roman"/>
        </w:rPr>
        <w:t xml:space="preserve">trade is thought to be missed, ignored, or covered up. </w:t>
      </w:r>
    </w:p>
    <w:p w14:paraId="55A9F9DD" w14:textId="12E6812E" w:rsidR="00796741" w:rsidRDefault="00AC10E7" w:rsidP="00FC70E0">
      <w:pPr>
        <w:pStyle w:val="Normal1"/>
        <w:spacing w:after="16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Thus, the impact of caviar trade regulations in the EU have been felt particularly acutely by </w:t>
      </w:r>
      <w:r>
        <w:rPr>
          <w:rFonts w:ascii="Times New Roman" w:eastAsia="Times New Roman" w:hAnsi="Times New Roman" w:cs="Times New Roman"/>
          <w:lang w:val="en-GB"/>
        </w:rPr>
        <w:t>sturgeon</w:t>
      </w:r>
      <w:r w:rsidR="00FA7EA1">
        <w:rPr>
          <w:rFonts w:ascii="Times New Roman" w:eastAsia="Times New Roman" w:hAnsi="Times New Roman" w:cs="Times New Roman"/>
        </w:rPr>
        <w:t xml:space="preserve"> fishing communities</w:t>
      </w:r>
      <w:r>
        <w:rPr>
          <w:rFonts w:ascii="Times New Roman" w:eastAsia="Times New Roman" w:hAnsi="Times New Roman" w:cs="Times New Roman"/>
        </w:rPr>
        <w:t xml:space="preserve">, who do not feature in the </w:t>
      </w:r>
      <w:r w:rsidR="00CB11D5">
        <w:rPr>
          <w:rFonts w:ascii="Times New Roman" w:eastAsia="Times New Roman" w:hAnsi="Times New Roman" w:cs="Times New Roman"/>
        </w:rPr>
        <w:t>dominant narratives focusing solely on</w:t>
      </w:r>
      <w:r>
        <w:rPr>
          <w:rFonts w:ascii="Times New Roman" w:eastAsia="Times New Roman" w:hAnsi="Times New Roman" w:cs="Times New Roman"/>
        </w:rPr>
        <w:t xml:space="preserve"> the purported positive impacts of the regulations</w:t>
      </w:r>
      <w:r w:rsidR="00CB11D5">
        <w:rPr>
          <w:rFonts w:ascii="Times New Roman" w:eastAsia="Times New Roman" w:hAnsi="Times New Roman" w:cs="Times New Roman"/>
        </w:rPr>
        <w:t xml:space="preserve"> in the EU</w:t>
      </w:r>
      <w:r>
        <w:rPr>
          <w:rFonts w:ascii="Times New Roman" w:eastAsia="Times New Roman" w:hAnsi="Times New Roman" w:cs="Times New Roman"/>
        </w:rPr>
        <w:t xml:space="preserve">. </w:t>
      </w:r>
      <w:r>
        <w:rPr>
          <w:rFonts w:ascii="Times New Roman" w:eastAsia="Times New Roman" w:hAnsi="Times New Roman" w:cs="Times New Roman"/>
          <w:lang w:val="en-GB"/>
        </w:rPr>
        <w:t xml:space="preserve">Caviar trade regulations have impacted economic security in fishing communities; and </w:t>
      </w:r>
      <w:r>
        <w:rPr>
          <w:rFonts w:ascii="Times New Roman" w:eastAsia="Times New Roman" w:hAnsi="Times New Roman" w:cs="Times New Roman"/>
        </w:rPr>
        <w:t>i</w:t>
      </w:r>
      <w:r>
        <w:rPr>
          <w:rFonts w:ascii="Times New Roman" w:eastAsia="Times New Roman" w:hAnsi="Times New Roman" w:cs="Times New Roman"/>
          <w:lang w:val="en-GB"/>
        </w:rPr>
        <w:t>t is suggested that in</w:t>
      </w:r>
      <w:r>
        <w:rPr>
          <w:rFonts w:ascii="Times New Roman" w:eastAsia="Times New Roman" w:hAnsi="Times New Roman" w:cs="Times New Roman"/>
        </w:rPr>
        <w:t xml:space="preserve"> some case</w:t>
      </w:r>
      <w:r>
        <w:rPr>
          <w:rFonts w:ascii="Times New Roman" w:eastAsia="Times New Roman" w:hAnsi="Times New Roman" w:cs="Times New Roman"/>
          <w:lang w:val="en-GB"/>
        </w:rPr>
        <w:t xml:space="preserve">s the economic insecurity has </w:t>
      </w:r>
      <w:r>
        <w:rPr>
          <w:rFonts w:ascii="Times New Roman" w:eastAsia="Times New Roman" w:hAnsi="Times New Roman" w:cs="Times New Roman"/>
        </w:rPr>
        <w:t xml:space="preserve">pushed </w:t>
      </w:r>
      <w:r>
        <w:rPr>
          <w:rFonts w:ascii="Times New Roman" w:eastAsia="Times New Roman" w:hAnsi="Times New Roman" w:cs="Times New Roman"/>
          <w:lang w:val="en-GB"/>
        </w:rPr>
        <w:t xml:space="preserve">fishermen </w:t>
      </w:r>
      <w:r>
        <w:rPr>
          <w:rFonts w:ascii="Times New Roman" w:eastAsia="Times New Roman" w:hAnsi="Times New Roman" w:cs="Times New Roman"/>
        </w:rPr>
        <w:t xml:space="preserve">into crime in order to survive. Moreover, </w:t>
      </w:r>
      <w:r>
        <w:rPr>
          <w:rFonts w:ascii="Times New Roman" w:eastAsia="Times New Roman" w:hAnsi="Times New Roman" w:cs="Times New Roman"/>
          <w:lang w:val="en-GB"/>
        </w:rPr>
        <w:t>fishing communities</w:t>
      </w:r>
      <w:r>
        <w:rPr>
          <w:rFonts w:ascii="Times New Roman" w:eastAsia="Times New Roman" w:hAnsi="Times New Roman" w:cs="Times New Roman"/>
        </w:rPr>
        <w:t xml:space="preserve"> have been </w:t>
      </w:r>
      <w:r>
        <w:rPr>
          <w:rFonts w:ascii="Times New Roman" w:eastAsia="Times New Roman" w:hAnsi="Times New Roman" w:cs="Times New Roman"/>
          <w:lang w:val="en-GB"/>
        </w:rPr>
        <w:t xml:space="preserve">uniquely </w:t>
      </w:r>
      <w:r>
        <w:rPr>
          <w:rFonts w:ascii="Times New Roman" w:eastAsia="Times New Roman" w:hAnsi="Times New Roman" w:cs="Times New Roman"/>
        </w:rPr>
        <w:t xml:space="preserve">impacted by the enforcement controls that </w:t>
      </w:r>
      <w:r w:rsidR="00FA7EA1">
        <w:rPr>
          <w:rFonts w:ascii="Times New Roman" w:eastAsia="Times New Roman" w:hAnsi="Times New Roman" w:cs="Times New Roman"/>
        </w:rPr>
        <w:t>are</w:t>
      </w:r>
      <w:r>
        <w:rPr>
          <w:rFonts w:ascii="Times New Roman" w:eastAsia="Times New Roman" w:hAnsi="Times New Roman" w:cs="Times New Roman"/>
        </w:rPr>
        <w:t xml:space="preserve"> mandated by th</w:t>
      </w:r>
      <w:r w:rsidR="00FA7EA1">
        <w:rPr>
          <w:rFonts w:ascii="Times New Roman" w:eastAsia="Times New Roman" w:hAnsi="Times New Roman" w:cs="Times New Roman"/>
        </w:rPr>
        <w:t>e regulations. The enforcement operations</w:t>
      </w:r>
      <w:r>
        <w:rPr>
          <w:rFonts w:ascii="Times New Roman" w:eastAsia="Times New Roman" w:hAnsi="Times New Roman" w:cs="Times New Roman"/>
        </w:rPr>
        <w:t xml:space="preserve"> have resulted in the emergence of complex sturgeon poaching economies that are simultaneous</w:t>
      </w:r>
      <w:r w:rsidR="00FA7EA1">
        <w:rPr>
          <w:rFonts w:ascii="Times New Roman" w:eastAsia="Times New Roman" w:hAnsi="Times New Roman" w:cs="Times New Roman"/>
        </w:rPr>
        <w:t>ly disrupted and enabled by the activities of</w:t>
      </w:r>
      <w:r>
        <w:rPr>
          <w:rFonts w:ascii="Times New Roman" w:eastAsia="Times New Roman" w:hAnsi="Times New Roman" w:cs="Times New Roman"/>
        </w:rPr>
        <w:t xml:space="preserve"> enforcement authorities. Meanwhile, the caviar industry has left sturgeon fishermen behind and flourished as a result of the exponential growth of caviar aquaculture enterprises. The successes of caviar aquaculture, and the demise of </w:t>
      </w:r>
      <w:r>
        <w:rPr>
          <w:rFonts w:ascii="Times New Roman" w:eastAsia="Times New Roman" w:hAnsi="Times New Roman" w:cs="Times New Roman"/>
          <w:lang w:val="en-GB"/>
        </w:rPr>
        <w:t>local</w:t>
      </w:r>
      <w:r>
        <w:rPr>
          <w:rFonts w:ascii="Times New Roman" w:eastAsia="Times New Roman" w:hAnsi="Times New Roman" w:cs="Times New Roman"/>
        </w:rPr>
        <w:t xml:space="preserve"> fishing industries are illustrative of the inequalities that have been entrenched by</w:t>
      </w:r>
      <w:r>
        <w:rPr>
          <w:rFonts w:ascii="Times New Roman" w:eastAsia="Times New Roman" w:hAnsi="Times New Roman" w:cs="Times New Roman"/>
          <w:lang w:val="en-GB"/>
        </w:rPr>
        <w:t xml:space="preserve"> gaps in</w:t>
      </w:r>
      <w:r>
        <w:rPr>
          <w:rFonts w:ascii="Times New Roman" w:eastAsia="Times New Roman" w:hAnsi="Times New Roman" w:cs="Times New Roman"/>
        </w:rPr>
        <w:t xml:space="preserve"> the caviar trade regulations</w:t>
      </w:r>
      <w:r>
        <w:rPr>
          <w:rFonts w:ascii="Times New Roman" w:eastAsia="Times New Roman" w:hAnsi="Times New Roman" w:cs="Times New Roman"/>
          <w:lang w:val="en-GB"/>
        </w:rPr>
        <w:t>.</w:t>
      </w:r>
      <w:r>
        <w:rPr>
          <w:rFonts w:ascii="Times New Roman" w:eastAsia="Times New Roman" w:hAnsi="Times New Roman" w:cs="Times New Roman"/>
        </w:rPr>
        <w:t xml:space="preserve"> </w:t>
      </w:r>
      <w:r>
        <w:rPr>
          <w:rFonts w:ascii="Times New Roman" w:eastAsia="Times New Roman" w:hAnsi="Times New Roman" w:cs="Times New Roman"/>
          <w:lang w:val="en-GB"/>
        </w:rPr>
        <w:t>T</w:t>
      </w:r>
      <w:r>
        <w:rPr>
          <w:rFonts w:ascii="Times New Roman" w:eastAsia="Times New Roman" w:hAnsi="Times New Roman" w:cs="Times New Roman"/>
        </w:rPr>
        <w:t xml:space="preserve">hese dynamics are hidden by the </w:t>
      </w:r>
      <w:r w:rsidR="00796741">
        <w:rPr>
          <w:rFonts w:ascii="Times New Roman" w:eastAsia="Times New Roman" w:hAnsi="Times New Roman" w:cs="Times New Roman"/>
        </w:rPr>
        <w:t xml:space="preserve">narratives that use seizure data to depict a situation of declining criminality and illegal caviar trade in the EU; whilst overlooking the socio-economic </w:t>
      </w:r>
      <w:r w:rsidR="00796741">
        <w:rPr>
          <w:rFonts w:ascii="Times New Roman" w:eastAsia="Times New Roman" w:hAnsi="Times New Roman" w:cs="Times New Roman"/>
        </w:rPr>
        <w:lastRenderedPageBreak/>
        <w:t xml:space="preserve">implications of caviar trade regulations on sturgeon fishing communities, and what this means for poaching dynamics. </w:t>
      </w:r>
    </w:p>
    <w:p w14:paraId="676B9173" w14:textId="40668DB6" w:rsidR="00AC10E7" w:rsidRDefault="00810504" w:rsidP="00FC70E0">
      <w:pPr>
        <w:pStyle w:val="Heading3"/>
      </w:pPr>
      <w:bookmarkStart w:id="60" w:name="_Toc453224220"/>
      <w:r>
        <w:t>4</w:t>
      </w:r>
      <w:r w:rsidR="00AC10E7">
        <w:t>.4.2 Wild sturgeon</w:t>
      </w:r>
      <w:bookmarkEnd w:id="60"/>
    </w:p>
    <w:p w14:paraId="24B7D6C6" w14:textId="4182DC73" w:rsidR="00AC10E7" w:rsidRPr="00504386" w:rsidRDefault="00AC10E7" w:rsidP="00FC70E0">
      <w:pPr>
        <w:pStyle w:val="Normal1"/>
        <w:spacing w:after="160" w:line="360" w:lineRule="auto"/>
        <w:jc w:val="both"/>
        <w:rPr>
          <w:rFonts w:ascii="Times New Roman" w:eastAsia="Times New Roman" w:hAnsi="Times New Roman" w:cs="Times New Roman"/>
          <w:lang w:val="en-GB"/>
        </w:rPr>
      </w:pPr>
      <w:r>
        <w:rPr>
          <w:rFonts w:ascii="Times New Roman" w:eastAsia="Times New Roman" w:hAnsi="Times New Roman" w:cs="Times New Roman"/>
        </w:rPr>
        <w:t xml:space="preserve">Finally, despite the implementation of the caviar trade regulations, </w:t>
      </w:r>
      <w:r w:rsidR="000B2B3A">
        <w:rPr>
          <w:rFonts w:ascii="Times New Roman" w:eastAsia="Times New Roman" w:hAnsi="Times New Roman" w:cs="Times New Roman"/>
          <w:lang w:val="en-GB"/>
        </w:rPr>
        <w:t>there is a growing</w:t>
      </w:r>
      <w:r>
        <w:rPr>
          <w:rFonts w:ascii="Times New Roman" w:eastAsia="Times New Roman" w:hAnsi="Times New Roman" w:cs="Times New Roman"/>
          <w:lang w:val="en-GB"/>
        </w:rPr>
        <w:t xml:space="preserve"> recognition that wild sturgeon populations in the EU are under as much pressure as ever. The recently adopted Pan European Action Plan for Sturgeon cemen</w:t>
      </w:r>
      <w:r w:rsidR="00F6237A">
        <w:rPr>
          <w:rFonts w:ascii="Times New Roman" w:eastAsia="Times New Roman" w:hAnsi="Times New Roman" w:cs="Times New Roman"/>
          <w:lang w:val="en-GB"/>
        </w:rPr>
        <w:t>ts this view, stating that the “</w:t>
      </w:r>
      <w:r>
        <w:rPr>
          <w:rFonts w:ascii="Times New Roman" w:eastAsia="Times New Roman" w:hAnsi="Times New Roman" w:cs="Times New Roman"/>
          <w:lang w:val="en-GB"/>
        </w:rPr>
        <w:t>conservation status of all sturgeon species in Europe has become highly critical without showing signs of recovery, indicating that previous action has not been successful</w:t>
      </w:r>
      <w:r w:rsidR="00F6237A">
        <w:rPr>
          <w:rFonts w:ascii="Times New Roman" w:eastAsia="Times New Roman" w:hAnsi="Times New Roman" w:cs="Times New Roman"/>
          <w:lang w:val="en-GB"/>
        </w:rPr>
        <w:t xml:space="preserve">” </w:t>
      </w:r>
      <w:r w:rsidR="00F6237A">
        <w:rPr>
          <w:rFonts w:ascii="Times New Roman" w:eastAsia="Times New Roman" w:hAnsi="Times New Roman" w:cs="Times New Roman"/>
          <w:lang w:val="en-GB"/>
        </w:rPr>
        <w:fldChar w:fldCharType="begin" w:fldLock="1"/>
      </w:r>
      <w:r w:rsidR="000D67AD">
        <w:rPr>
          <w:rFonts w:ascii="Times New Roman" w:eastAsia="Times New Roman" w:hAnsi="Times New Roman" w:cs="Times New Roman"/>
          <w:lang w:val="en-GB"/>
        </w:rPr>
        <w:instrText>ADDIN CSL_CITATION {"citationItems":[{"id":"ITEM-1","itemData":{"author":[{"dropping-particle":"","family":"Friedrich","given":"Thomas","non-dropping-particle":"","parse-names":false,"suffix":""},{"dropping-particle":"","family":"Gessner","given":"Jörn","non-dropping-particle":"","parse-names":false,"suffix":""},{"dropping-particle":"","family":"Reinartz","given":"Ralf","non-dropping-particle":"","parse-names":false,"suffix":""},{"dropping-particle":"","family":"Striebel-Greiter","given":"Beate","non-dropping-particle":"","parse-names":false,"suffix":""}],"id":"ITEM-1","issued":{"date-parts":[["2018"]]},"title":"Pan-European Action Plan for Sturgeons","type":"report"},"uris":["http://www.mendeley.com/documents/?uuid=a67ae5cc-9738-3274-9bb0-002c534fda00"]}],"mendeley":{"formattedCitation":"(Friedrich &lt;i&gt;et al.&lt;/i&gt;, 2018)","manualFormatting":"(Friedrich et al., 2018: 6)","plainTextFormattedCitation":"(Friedrich et al., 2018)","previouslyFormattedCitation":"(Friedrich &lt;i&gt;et al.&lt;/i&gt;, 2018)"},"properties":{"noteIndex":0},"schema":"https://github.com/citation-style-language/schema/raw/master/csl-citation.json"}</w:instrText>
      </w:r>
      <w:r w:rsidR="00F6237A">
        <w:rPr>
          <w:rFonts w:ascii="Times New Roman" w:eastAsia="Times New Roman" w:hAnsi="Times New Roman" w:cs="Times New Roman"/>
          <w:lang w:val="en-GB"/>
        </w:rPr>
        <w:fldChar w:fldCharType="separate"/>
      </w:r>
      <w:r w:rsidR="00F6237A" w:rsidRPr="00F6237A">
        <w:rPr>
          <w:rFonts w:ascii="Times New Roman" w:eastAsia="Times New Roman" w:hAnsi="Times New Roman" w:cs="Times New Roman"/>
          <w:noProof/>
          <w:lang w:val="en-GB"/>
        </w:rPr>
        <w:t xml:space="preserve">(Friedrich </w:t>
      </w:r>
      <w:r w:rsidR="00F6237A" w:rsidRPr="00F6237A">
        <w:rPr>
          <w:rFonts w:ascii="Times New Roman" w:eastAsia="Times New Roman" w:hAnsi="Times New Roman" w:cs="Times New Roman"/>
          <w:i/>
          <w:noProof/>
          <w:lang w:val="en-GB"/>
        </w:rPr>
        <w:t>et al.</w:t>
      </w:r>
      <w:r w:rsidR="00F6237A" w:rsidRPr="00F6237A">
        <w:rPr>
          <w:rFonts w:ascii="Times New Roman" w:eastAsia="Times New Roman" w:hAnsi="Times New Roman" w:cs="Times New Roman"/>
          <w:noProof/>
          <w:lang w:val="en-GB"/>
        </w:rPr>
        <w:t>, 2018</w:t>
      </w:r>
      <w:r w:rsidR="00F6237A">
        <w:rPr>
          <w:rFonts w:ascii="Times New Roman" w:eastAsia="Times New Roman" w:hAnsi="Times New Roman" w:cs="Times New Roman"/>
          <w:noProof/>
          <w:lang w:val="en-GB"/>
        </w:rPr>
        <w:t>: 6</w:t>
      </w:r>
      <w:r w:rsidR="00F6237A" w:rsidRPr="00F6237A">
        <w:rPr>
          <w:rFonts w:ascii="Times New Roman" w:eastAsia="Times New Roman" w:hAnsi="Times New Roman" w:cs="Times New Roman"/>
          <w:noProof/>
          <w:lang w:val="en-GB"/>
        </w:rPr>
        <w:t>)</w:t>
      </w:r>
      <w:r w:rsidR="00F6237A">
        <w:rPr>
          <w:rFonts w:ascii="Times New Roman" w:eastAsia="Times New Roman" w:hAnsi="Times New Roman" w:cs="Times New Roman"/>
          <w:lang w:val="en-GB"/>
        </w:rPr>
        <w:fldChar w:fldCharType="end"/>
      </w:r>
      <w:r>
        <w:rPr>
          <w:rFonts w:ascii="Times New Roman" w:eastAsia="Times New Roman" w:hAnsi="Times New Roman" w:cs="Times New Roman"/>
          <w:lang w:val="en-GB"/>
        </w:rPr>
        <w:t>. The plan notes that alongside ov</w:t>
      </w:r>
      <w:r w:rsidR="000B2B3A">
        <w:rPr>
          <w:rFonts w:ascii="Times New Roman" w:eastAsia="Times New Roman" w:hAnsi="Times New Roman" w:cs="Times New Roman"/>
          <w:lang w:val="en-GB"/>
        </w:rPr>
        <w:t>erexploitation of sturgeon</w:t>
      </w:r>
      <w:r>
        <w:rPr>
          <w:rFonts w:ascii="Times New Roman" w:eastAsia="Times New Roman" w:hAnsi="Times New Roman" w:cs="Times New Roman"/>
          <w:lang w:val="en-GB"/>
        </w:rPr>
        <w:t xml:space="preserve"> destruction of key habitats, blocking of migration routes, and pollution are key factors driving the </w:t>
      </w:r>
      <w:r w:rsidR="0010546C">
        <w:rPr>
          <w:rFonts w:ascii="Times New Roman" w:eastAsia="Times New Roman" w:hAnsi="Times New Roman" w:cs="Times New Roman"/>
          <w:lang w:val="en-GB"/>
        </w:rPr>
        <w:t>on-going</w:t>
      </w:r>
      <w:r>
        <w:rPr>
          <w:rFonts w:ascii="Times New Roman" w:eastAsia="Times New Roman" w:hAnsi="Times New Roman" w:cs="Times New Roman"/>
          <w:lang w:val="en-GB"/>
        </w:rPr>
        <w:t xml:space="preserve"> decline of sturgeon in Europe.</w:t>
      </w:r>
      <w:r w:rsidR="002864AD">
        <w:rPr>
          <w:rFonts w:ascii="Times New Roman" w:eastAsia="Times New Roman" w:hAnsi="Times New Roman" w:cs="Times New Roman"/>
          <w:lang w:val="en-GB"/>
        </w:rPr>
        <w:t xml:space="preserve"> Arguably the EU caviar trade regulations focus solely on trade matters, but they shouldn’t exist in a depoliticized vacuum. Rather, it is imperative to situate these regulations in the broader environmental context and ecologies of sturgeon. This adds necessary nuance and troubles the assumptions inbuilt into the dominant </w:t>
      </w:r>
      <w:r w:rsidR="0010546C">
        <w:rPr>
          <w:rFonts w:ascii="Times New Roman" w:eastAsia="Times New Roman" w:hAnsi="Times New Roman" w:cs="Times New Roman"/>
          <w:lang w:val="en-GB"/>
        </w:rPr>
        <w:t xml:space="preserve">policy </w:t>
      </w:r>
      <w:r w:rsidR="000B2B3A">
        <w:rPr>
          <w:rFonts w:ascii="Times New Roman" w:eastAsia="Times New Roman" w:hAnsi="Times New Roman" w:cs="Times New Roman"/>
          <w:lang w:val="en-GB"/>
        </w:rPr>
        <w:t>narratives</w:t>
      </w:r>
      <w:r w:rsidR="002864AD">
        <w:rPr>
          <w:rFonts w:ascii="Times New Roman" w:eastAsia="Times New Roman" w:hAnsi="Times New Roman" w:cs="Times New Roman"/>
          <w:lang w:val="en-GB"/>
        </w:rPr>
        <w:t xml:space="preserve"> that lower seizures of caviar equates to lower criminality and poaching, and therefore an easing of pressure upon wild sturgeon populations. However previous discussion demonstrates that </w:t>
      </w:r>
      <w:r w:rsidR="0010546C">
        <w:rPr>
          <w:rFonts w:ascii="Times New Roman" w:eastAsia="Times New Roman" w:hAnsi="Times New Roman" w:cs="Times New Roman"/>
          <w:lang w:val="en-GB"/>
        </w:rPr>
        <w:t>lower seizures do</w:t>
      </w:r>
      <w:r w:rsidR="002864AD">
        <w:rPr>
          <w:rFonts w:ascii="Times New Roman" w:eastAsia="Times New Roman" w:hAnsi="Times New Roman" w:cs="Times New Roman"/>
          <w:lang w:val="en-GB"/>
        </w:rPr>
        <w:t xml:space="preserve"> not directly correspond with lower criminality; and it</w:t>
      </w:r>
      <w:r w:rsidR="0010546C">
        <w:rPr>
          <w:rFonts w:ascii="Times New Roman" w:eastAsia="Times New Roman" w:hAnsi="Times New Roman" w:cs="Times New Roman"/>
          <w:lang w:val="en-GB"/>
        </w:rPr>
        <w:t xml:space="preserve"> is therefore</w:t>
      </w:r>
      <w:r w:rsidR="002864AD">
        <w:rPr>
          <w:rFonts w:ascii="Times New Roman" w:eastAsia="Times New Roman" w:hAnsi="Times New Roman" w:cs="Times New Roman"/>
          <w:lang w:val="en-GB"/>
        </w:rPr>
        <w:t xml:space="preserve"> also misguided to assume</w:t>
      </w:r>
      <w:r w:rsidR="0010546C">
        <w:rPr>
          <w:rFonts w:ascii="Times New Roman" w:eastAsia="Times New Roman" w:hAnsi="Times New Roman" w:cs="Times New Roman"/>
          <w:lang w:val="en-GB"/>
        </w:rPr>
        <w:t xml:space="preserve"> that lower seizures correspond</w:t>
      </w:r>
      <w:r w:rsidR="002864AD">
        <w:rPr>
          <w:rFonts w:ascii="Times New Roman" w:eastAsia="Times New Roman" w:hAnsi="Times New Roman" w:cs="Times New Roman"/>
          <w:lang w:val="en-GB"/>
        </w:rPr>
        <w:t xml:space="preserve"> with an easing of pressure on wild sturgeon.</w:t>
      </w:r>
    </w:p>
    <w:p w14:paraId="3BB73648" w14:textId="52BB9143" w:rsidR="00AC10E7" w:rsidRPr="00F74128" w:rsidRDefault="00AC10E7" w:rsidP="00FC70E0">
      <w:pPr>
        <w:pStyle w:val="Normal1"/>
        <w:spacing w:after="160" w:line="360" w:lineRule="auto"/>
        <w:ind w:firstLine="720"/>
        <w:jc w:val="both"/>
        <w:rPr>
          <w:rFonts w:ascii="Times New Roman" w:eastAsia="Times New Roman" w:hAnsi="Times New Roman" w:cs="Times New Roman"/>
          <w:lang w:val="en-GB"/>
        </w:rPr>
      </w:pPr>
      <w:r>
        <w:rPr>
          <w:rFonts w:ascii="Times New Roman" w:eastAsia="Times New Roman" w:hAnsi="Times New Roman" w:cs="Times New Roman"/>
        </w:rPr>
        <w:t xml:space="preserve">On the contrary, the increased pressure on wild sturgeon can be explained by the fact that sturgeon numbers are </w:t>
      </w:r>
      <w:r>
        <w:rPr>
          <w:rFonts w:ascii="Times New Roman" w:eastAsia="Times New Roman" w:hAnsi="Times New Roman" w:cs="Times New Roman"/>
          <w:lang w:val="en-GB"/>
        </w:rPr>
        <w:t xml:space="preserve">said to be </w:t>
      </w:r>
      <w:r>
        <w:rPr>
          <w:rFonts w:ascii="Times New Roman" w:eastAsia="Times New Roman" w:hAnsi="Times New Roman" w:cs="Times New Roman"/>
        </w:rPr>
        <w:t>significantly reduced in the wild</w:t>
      </w:r>
      <w:r w:rsidRPr="005B292F">
        <w:rPr>
          <w:rStyle w:val="FootnoteReference"/>
        </w:rPr>
        <w:footnoteReference w:id="99"/>
      </w:r>
      <w:r>
        <w:rPr>
          <w:rFonts w:ascii="Times New Roman" w:eastAsia="Times New Roman" w:hAnsi="Times New Roman" w:cs="Times New Roman"/>
          <w:lang w:val="en-GB"/>
        </w:rPr>
        <w:t xml:space="preserve">. Thus, the zero export quotas and fishing bans alone have not been sufficient to ease pressure on sturgeon populations in Europe. </w:t>
      </w:r>
      <w:r>
        <w:rPr>
          <w:rFonts w:ascii="Times New Roman" w:eastAsia="Times New Roman" w:hAnsi="Times New Roman" w:cs="Times New Roman"/>
        </w:rPr>
        <w:t xml:space="preserve">Instead, the </w:t>
      </w:r>
      <w:r>
        <w:rPr>
          <w:rFonts w:ascii="Times New Roman" w:eastAsia="Times New Roman" w:hAnsi="Times New Roman" w:cs="Times New Roman"/>
          <w:lang w:val="en-GB"/>
        </w:rPr>
        <w:t xml:space="preserve">caviar trade regulations </w:t>
      </w:r>
      <w:r>
        <w:rPr>
          <w:rFonts w:ascii="Times New Roman" w:eastAsia="Times New Roman" w:hAnsi="Times New Roman" w:cs="Times New Roman"/>
        </w:rPr>
        <w:t>nee</w:t>
      </w:r>
      <w:r>
        <w:rPr>
          <w:rFonts w:ascii="Times New Roman" w:eastAsia="Times New Roman" w:hAnsi="Times New Roman" w:cs="Times New Roman"/>
          <w:lang w:val="en-GB"/>
        </w:rPr>
        <w:t>d</w:t>
      </w:r>
      <w:r>
        <w:rPr>
          <w:rFonts w:ascii="Times New Roman" w:eastAsia="Times New Roman" w:hAnsi="Times New Roman" w:cs="Times New Roman"/>
        </w:rPr>
        <w:t xml:space="preserve"> to be implemented alongside other conservation measures. Although there have been some conservation initiatives, mainly led by NGOs, these have not been widespread and have not had the necessary time to enable populations of sturgeon to recover</w:t>
      </w:r>
      <w:r w:rsidRPr="005B292F">
        <w:rPr>
          <w:rStyle w:val="FootnoteReference"/>
        </w:rPr>
        <w:footnoteReference w:id="100"/>
      </w:r>
      <w:r>
        <w:rPr>
          <w:rFonts w:ascii="Times New Roman" w:eastAsia="Times New Roman" w:hAnsi="Times New Roman" w:cs="Times New Roman"/>
        </w:rPr>
        <w:t xml:space="preserve">. Moreover, the pressure has been compounded by the fact that </w:t>
      </w:r>
      <w:r>
        <w:rPr>
          <w:rFonts w:ascii="Times New Roman" w:eastAsia="Times New Roman" w:hAnsi="Times New Roman" w:cs="Times New Roman"/>
          <w:lang w:val="en-GB"/>
        </w:rPr>
        <w:t>some</w:t>
      </w:r>
      <w:r>
        <w:rPr>
          <w:rFonts w:ascii="Times New Roman" w:eastAsia="Times New Roman" w:hAnsi="Times New Roman" w:cs="Times New Roman"/>
        </w:rPr>
        <w:t xml:space="preserve"> sturgeon fishermen have continued to catch sturgeon illegally. Rose acknowledged that when N</w:t>
      </w:r>
      <w:r w:rsidR="0010546C">
        <w:rPr>
          <w:rFonts w:ascii="Times New Roman" w:eastAsia="Times New Roman" w:hAnsi="Times New Roman" w:cs="Times New Roman"/>
        </w:rPr>
        <w:t>GOs describe poaching rates as “very high”, this might “sound like a contradiction”</w:t>
      </w:r>
      <w:r>
        <w:rPr>
          <w:rFonts w:ascii="Times New Roman" w:eastAsia="Times New Roman" w:hAnsi="Times New Roman" w:cs="Times New Roman"/>
        </w:rPr>
        <w:t xml:space="preserve">, particularly </w:t>
      </w:r>
      <w:r>
        <w:rPr>
          <w:rFonts w:ascii="Times New Roman" w:eastAsia="Times New Roman" w:hAnsi="Times New Roman" w:cs="Times New Roman"/>
          <w:lang w:val="en-GB"/>
        </w:rPr>
        <w:t xml:space="preserve">given </w:t>
      </w:r>
      <w:r>
        <w:rPr>
          <w:rFonts w:ascii="Times New Roman" w:eastAsia="Times New Roman" w:hAnsi="Times New Roman" w:cs="Times New Roman"/>
        </w:rPr>
        <w:t>tha</w:t>
      </w:r>
      <w:r>
        <w:rPr>
          <w:rFonts w:ascii="Times New Roman" w:eastAsia="Times New Roman" w:hAnsi="Times New Roman" w:cs="Times New Roman"/>
          <w:lang w:val="en-GB"/>
        </w:rPr>
        <w:t>t</w:t>
      </w:r>
      <w:r>
        <w:rPr>
          <w:rFonts w:ascii="Times New Roman" w:eastAsia="Times New Roman" w:hAnsi="Times New Roman" w:cs="Times New Roman"/>
        </w:rPr>
        <w:t xml:space="preserve"> poaching was much </w:t>
      </w:r>
      <w:r>
        <w:rPr>
          <w:rFonts w:ascii="Times New Roman" w:eastAsia="Times New Roman" w:hAnsi="Times New Roman" w:cs="Times New Roman"/>
        </w:rPr>
        <w:lastRenderedPageBreak/>
        <w:t>higher prior to the implementation of the caviar trade regulations and has subsequently reduced. However, she exemplified that the levels of poaching the NGOs are referring to is:</w:t>
      </w:r>
    </w:p>
    <w:p w14:paraId="6539BF3A" w14:textId="28560582" w:rsidR="00AC10E7" w:rsidRPr="00FC70E0" w:rsidRDefault="0010546C" w:rsidP="00FC70E0">
      <w:pPr>
        <w:pStyle w:val="Quote"/>
      </w:pPr>
      <w:r>
        <w:t>P</w:t>
      </w:r>
      <w:r w:rsidR="00AC10E7">
        <w:t>oaching that has happened since the sturgeon [fishing] bans were put in place. A lot more happened before, but we are talking about poaching post-bans. This post-ban poaching combined with other pressures has made populations dwindle even further. So you could say that poaching pressure on each individual is increasing. Overall there is less to catch [...] true the catch rate is going down, but people are still trying. If we think about it in terms of related to the number of sturgeon left, th</w:t>
      </w:r>
      <w:r>
        <w:t>e pressure is definitely higher</w:t>
      </w:r>
      <w:r w:rsidR="00AC10E7" w:rsidRPr="005B292F">
        <w:rPr>
          <w:rStyle w:val="FootnoteReference"/>
        </w:rPr>
        <w:footnoteReference w:id="101"/>
      </w:r>
      <w:r w:rsidR="00AC10E7">
        <w:t xml:space="preserve">. </w:t>
      </w:r>
    </w:p>
    <w:p w14:paraId="736A1206" w14:textId="23BC559C" w:rsidR="00AC10E7" w:rsidRDefault="00AC10E7" w:rsidP="00FC70E0">
      <w:pPr>
        <w:pStyle w:val="Normal1"/>
        <w:spacing w:after="160" w:line="360" w:lineRule="auto"/>
        <w:jc w:val="both"/>
        <w:rPr>
          <w:rFonts w:ascii="Times New Roman" w:eastAsia="Times New Roman" w:hAnsi="Times New Roman" w:cs="Times New Roman"/>
        </w:rPr>
      </w:pPr>
      <w:r>
        <w:rPr>
          <w:rFonts w:ascii="Times New Roman" w:eastAsia="Times New Roman" w:hAnsi="Times New Roman" w:cs="Times New Roman"/>
        </w:rPr>
        <w:t>Thus, despite the implementation of the caviar trade regulations in the EU, the relative pressure on sturgeon in the wild is said to be at its highest levels</w:t>
      </w:r>
      <w:r>
        <w:rPr>
          <w:rFonts w:ascii="Times New Roman" w:eastAsia="Times New Roman" w:hAnsi="Times New Roman" w:cs="Times New Roman"/>
          <w:lang w:val="en-GB"/>
        </w:rPr>
        <w:t xml:space="preserve"> to date</w:t>
      </w:r>
      <w:r w:rsidR="004F1BB3">
        <w:rPr>
          <w:rFonts w:ascii="Times New Roman" w:eastAsia="Times New Roman" w:hAnsi="Times New Roman" w:cs="Times New Roman"/>
        </w:rPr>
        <w:t>:</w:t>
      </w:r>
      <w:r>
        <w:rPr>
          <w:rFonts w:ascii="Times New Roman" w:eastAsia="Times New Roman" w:hAnsi="Times New Roman" w:cs="Times New Roman"/>
        </w:rPr>
        <w:t xml:space="preserve"> because there are </w:t>
      </w:r>
      <w:r>
        <w:rPr>
          <w:rFonts w:ascii="Times New Roman" w:eastAsia="Times New Roman" w:hAnsi="Times New Roman" w:cs="Times New Roman"/>
          <w:lang w:val="en-GB"/>
        </w:rPr>
        <w:t xml:space="preserve">fewer </w:t>
      </w:r>
      <w:r w:rsidR="004F1BB3">
        <w:rPr>
          <w:rFonts w:ascii="Times New Roman" w:eastAsia="Times New Roman" w:hAnsi="Times New Roman" w:cs="Times New Roman"/>
        </w:rPr>
        <w:t>fish in the wild;</w:t>
      </w:r>
      <w:r>
        <w:rPr>
          <w:rFonts w:ascii="Times New Roman" w:eastAsia="Times New Roman" w:hAnsi="Times New Roman" w:cs="Times New Roman"/>
        </w:rPr>
        <w:t xml:space="preserve"> </w:t>
      </w:r>
      <w:r w:rsidR="004F1BB3">
        <w:rPr>
          <w:rFonts w:ascii="Times New Roman" w:eastAsia="Times New Roman" w:hAnsi="Times New Roman" w:cs="Times New Roman"/>
        </w:rPr>
        <w:t xml:space="preserve">conservation activities are sporadic; and an ironic impact of the regulations has been to push </w:t>
      </w:r>
      <w:r>
        <w:rPr>
          <w:rFonts w:ascii="Times New Roman" w:eastAsia="Times New Roman" w:hAnsi="Times New Roman" w:cs="Times New Roman"/>
        </w:rPr>
        <w:t xml:space="preserve">some fishermen into poaching. This information adds further nuance to the declining seizures: the existence of </w:t>
      </w:r>
      <w:r>
        <w:rPr>
          <w:rFonts w:ascii="Times New Roman" w:eastAsia="Times New Roman" w:hAnsi="Times New Roman" w:cs="Times New Roman"/>
          <w:lang w:val="en-GB"/>
        </w:rPr>
        <w:t>fewer</w:t>
      </w:r>
      <w:r>
        <w:rPr>
          <w:rFonts w:ascii="Times New Roman" w:eastAsia="Times New Roman" w:hAnsi="Times New Roman" w:cs="Times New Roman"/>
        </w:rPr>
        <w:t xml:space="preserve"> fish in the wild means that smaller numbers</w:t>
      </w:r>
      <w:r w:rsidR="004F1BB3">
        <w:rPr>
          <w:rFonts w:ascii="Times New Roman" w:eastAsia="Times New Roman" w:hAnsi="Times New Roman" w:cs="Times New Roman"/>
        </w:rPr>
        <w:t xml:space="preserve"> of sturgeon</w:t>
      </w:r>
      <w:r>
        <w:rPr>
          <w:rFonts w:ascii="Times New Roman" w:eastAsia="Times New Roman" w:hAnsi="Times New Roman" w:cs="Times New Roman"/>
        </w:rPr>
        <w:t xml:space="preserve"> can be poached, and subsequently </w:t>
      </w:r>
      <w:r>
        <w:rPr>
          <w:rFonts w:ascii="Times New Roman" w:eastAsia="Times New Roman" w:hAnsi="Times New Roman" w:cs="Times New Roman"/>
          <w:lang w:val="en-GB"/>
        </w:rPr>
        <w:t>fewer</w:t>
      </w:r>
      <w:r>
        <w:rPr>
          <w:rFonts w:ascii="Times New Roman" w:eastAsia="Times New Roman" w:hAnsi="Times New Roman" w:cs="Times New Roman"/>
        </w:rPr>
        <w:t xml:space="preserve"> seizures of caviar and sturgeon by weight should be expected. </w:t>
      </w:r>
      <w:r>
        <w:rPr>
          <w:rFonts w:ascii="Times New Roman" w:eastAsia="Times New Roman" w:hAnsi="Times New Roman" w:cs="Times New Roman"/>
          <w:lang w:val="en-GB"/>
        </w:rPr>
        <w:t>This</w:t>
      </w:r>
      <w:r>
        <w:rPr>
          <w:rFonts w:ascii="Times New Roman" w:eastAsia="Times New Roman" w:hAnsi="Times New Roman" w:cs="Times New Roman"/>
        </w:rPr>
        <w:t xml:space="preserve"> discussion has</w:t>
      </w:r>
      <w:r>
        <w:rPr>
          <w:rFonts w:ascii="Times New Roman" w:eastAsia="Times New Roman" w:hAnsi="Times New Roman" w:cs="Times New Roman"/>
          <w:lang w:val="en-GB"/>
        </w:rPr>
        <w:t xml:space="preserve"> therefore</w:t>
      </w:r>
      <w:r>
        <w:rPr>
          <w:rFonts w:ascii="Times New Roman" w:eastAsia="Times New Roman" w:hAnsi="Times New Roman" w:cs="Times New Roman"/>
        </w:rPr>
        <w:t xml:space="preserve"> illustrated that declining seizures should not be conflated with lessening poaching pressure on wild sturgeon</w:t>
      </w:r>
      <w:r>
        <w:rPr>
          <w:rFonts w:ascii="Times New Roman" w:eastAsia="Times New Roman" w:hAnsi="Times New Roman" w:cs="Times New Roman"/>
          <w:lang w:val="en-GB"/>
        </w:rPr>
        <w:t xml:space="preserve">, </w:t>
      </w:r>
      <w:r w:rsidRPr="001E2BF9">
        <w:rPr>
          <w:rFonts w:ascii="Times New Roman" w:eastAsia="Times New Roman" w:hAnsi="Times New Roman" w:cs="Times New Roman"/>
        </w:rPr>
        <w:t>or for that matter an assumption that in-situ sturgeon conservation is widely practiced and working effectively in the EU</w:t>
      </w:r>
      <w:r>
        <w:rPr>
          <w:rFonts w:ascii="Times New Roman" w:eastAsia="Times New Roman" w:hAnsi="Times New Roman" w:cs="Times New Roman"/>
        </w:rPr>
        <w:t>.</w:t>
      </w:r>
    </w:p>
    <w:p w14:paraId="474256FB" w14:textId="2D3FDCBD" w:rsidR="00AC10E7" w:rsidRPr="001E2BF9" w:rsidRDefault="00AC10E7" w:rsidP="00FC70E0">
      <w:pPr>
        <w:pStyle w:val="Normal1"/>
        <w:spacing w:after="160" w:line="360" w:lineRule="auto"/>
        <w:jc w:val="both"/>
        <w:rPr>
          <w:rFonts w:ascii="Times New Roman" w:eastAsia="Times New Roman" w:hAnsi="Times New Roman" w:cs="Times New Roman"/>
          <w:lang w:val="en-GB"/>
        </w:rPr>
      </w:pPr>
      <w:r>
        <w:rPr>
          <w:rFonts w:ascii="Times New Roman" w:eastAsia="Times New Roman" w:hAnsi="Times New Roman" w:cs="Times New Roman"/>
        </w:rPr>
        <w:tab/>
        <w:t xml:space="preserve">In reality, there have been significant difficulties in establishing sustained sturgeon conservation initiatives to complement fishing bans and zero export quotas. Admittedly, the CITES regulations are predicated first and foremost upon facilitating legal and sustainable international trade in sturgeon and caviar, with conservation of the species being a secondary imperative. However, an overlooked impact of the implementation of CITES Resolution Conf 12.7 in the EU, is the loophole it has provided for the caviar industry to avoid taking a significant role in sturgeon conservation. By shifting all caviar production and trade to captive-bred sources, the caviar trade regulations have </w:t>
      </w:r>
      <w:r>
        <w:rPr>
          <w:rFonts w:ascii="Times New Roman" w:eastAsia="Times New Roman" w:hAnsi="Times New Roman" w:cs="Times New Roman"/>
          <w:lang w:val="en-GB"/>
        </w:rPr>
        <w:t xml:space="preserve">removed any need for the caviar industry to be actively involved in conservation, as the industry is no longer reliant on wild sturgeon </w:t>
      </w:r>
      <w:r>
        <w:rPr>
          <w:rFonts w:ascii="Times New Roman" w:eastAsia="Times New Roman" w:hAnsi="Times New Roman" w:cs="Times New Roman"/>
        </w:rPr>
        <w:t>as the primary source of caviar. NGO representative Irini critiqued the ignorance of th</w:t>
      </w:r>
      <w:r w:rsidR="00775B16">
        <w:rPr>
          <w:rFonts w:ascii="Times New Roman" w:eastAsia="Times New Roman" w:hAnsi="Times New Roman" w:cs="Times New Roman"/>
        </w:rPr>
        <w:t>e caviar industry arguing that “</w:t>
      </w:r>
      <w:r>
        <w:rPr>
          <w:rFonts w:ascii="Times New Roman" w:eastAsia="Times New Roman" w:hAnsi="Times New Roman" w:cs="Times New Roman"/>
        </w:rPr>
        <w:t>they should be aware of their responsibility</w:t>
      </w:r>
      <w:r w:rsidR="00775B16">
        <w:rPr>
          <w:rFonts w:ascii="Times New Roman" w:eastAsia="Times New Roman" w:hAnsi="Times New Roman" w:cs="Times New Roman"/>
        </w:rPr>
        <w:t>”</w:t>
      </w:r>
      <w:r w:rsidRPr="005B292F">
        <w:rPr>
          <w:rStyle w:val="FootnoteReference"/>
        </w:rPr>
        <w:footnoteReference w:id="102"/>
      </w:r>
      <w:r>
        <w:rPr>
          <w:rFonts w:ascii="Times New Roman" w:eastAsia="Times New Roman" w:hAnsi="Times New Roman" w:cs="Times New Roman"/>
        </w:rPr>
        <w:t xml:space="preserve"> to be involved in sturgeon conservation, given that they are primarily culpable for driving much of the over-exploitation of wild sturgeon populations. However ex-enforcement officer Michael was more forceful in his suggestion that the caviar industry were not ignorant, but rather that many companies were wilfully avoiding their responsibility to wild sturgeon, and he concluded </w:t>
      </w:r>
      <w:r w:rsidR="00775B16">
        <w:rPr>
          <w:rFonts w:ascii="Times New Roman" w:eastAsia="Times New Roman" w:hAnsi="Times New Roman" w:cs="Times New Roman"/>
        </w:rPr>
        <w:t>that this was industrial-scale “</w:t>
      </w:r>
      <w:r>
        <w:rPr>
          <w:rFonts w:ascii="Times New Roman" w:eastAsia="Times New Roman" w:hAnsi="Times New Roman" w:cs="Times New Roman"/>
        </w:rPr>
        <w:t>hypocrisy</w:t>
      </w:r>
      <w:r w:rsidR="00775B16">
        <w:rPr>
          <w:rFonts w:ascii="Times New Roman" w:eastAsia="Times New Roman" w:hAnsi="Times New Roman" w:cs="Times New Roman"/>
        </w:rPr>
        <w:t>”</w:t>
      </w:r>
      <w:r w:rsidRPr="005B292F">
        <w:rPr>
          <w:rStyle w:val="FootnoteReference"/>
        </w:rPr>
        <w:footnoteReference w:id="103"/>
      </w:r>
      <w:r>
        <w:rPr>
          <w:rFonts w:ascii="Times New Roman" w:eastAsia="Times New Roman" w:hAnsi="Times New Roman" w:cs="Times New Roman"/>
        </w:rPr>
        <w:t>.</w:t>
      </w:r>
      <w:r w:rsidR="00775B16">
        <w:rPr>
          <w:rFonts w:ascii="Times New Roman" w:eastAsia="Times New Roman" w:hAnsi="Times New Roman" w:cs="Times New Roman"/>
        </w:rPr>
        <w:t xml:space="preserve"> Michael explained that he was “disappointed”</w:t>
      </w:r>
      <w:r>
        <w:rPr>
          <w:rFonts w:ascii="Times New Roman" w:eastAsia="Times New Roman" w:hAnsi="Times New Roman" w:cs="Times New Roman"/>
        </w:rPr>
        <w:t xml:space="preserve"> with the caviar industry, as over the years the industry previously engaged in: </w:t>
      </w:r>
    </w:p>
    <w:p w14:paraId="11D6EAE3" w14:textId="21F0A77C" w:rsidR="00AC10E7" w:rsidRPr="00FC70E0" w:rsidRDefault="00775B16" w:rsidP="00FC70E0">
      <w:pPr>
        <w:pStyle w:val="Quote"/>
      </w:pPr>
      <w:r>
        <w:lastRenderedPageBreak/>
        <w:t>A</w:t>
      </w:r>
      <w:r w:rsidR="00AC10E7">
        <w:t xml:space="preserve"> lot of lobbying, a lot of encouragement, the</w:t>
      </w:r>
      <w:r>
        <w:t xml:space="preserve">re was provision of advice and </w:t>
      </w:r>
      <w:r w:rsidR="000A0D4E">
        <w:t>i</w:t>
      </w:r>
      <w:r w:rsidR="00AC10E7">
        <w:t xml:space="preserve">nformation, but then nobody put their hand in their pocket. You know, all the companies for example knew the situation in the Caspian and elsewhere [...] They knew that governments either could not afford or were not going to allocate money for example to just buying a decent outboard motor for a patrol vessel or even buying a good patrol vessel. So these companies could have clubbed together and bought something like that. If you look at other examples in conservation, the number of companies that are contributing to protecting the environment, or conservation, or donating money to WWF [...] I just can’t remember ever seeing anything like that with </w:t>
      </w:r>
      <w:r w:rsidR="00D914BE">
        <w:t>the caviar industry.</w:t>
      </w:r>
      <w:r w:rsidR="00AC10E7" w:rsidRPr="005B292F">
        <w:rPr>
          <w:rStyle w:val="FootnoteReference"/>
        </w:rPr>
        <w:footnoteReference w:id="104"/>
      </w:r>
    </w:p>
    <w:p w14:paraId="7CFDC8C6" w14:textId="6B1451CD" w:rsidR="00AC10E7" w:rsidRDefault="00AC10E7" w:rsidP="00FC70E0">
      <w:pPr>
        <w:pStyle w:val="Normal1"/>
        <w:spacing w:after="160" w:line="360" w:lineRule="auto"/>
        <w:jc w:val="both"/>
        <w:rPr>
          <w:rFonts w:ascii="Times New Roman" w:eastAsia="Times New Roman" w:hAnsi="Times New Roman" w:cs="Times New Roman"/>
        </w:rPr>
      </w:pPr>
      <w:r>
        <w:rPr>
          <w:rFonts w:ascii="Times New Roman" w:eastAsia="Times New Roman" w:hAnsi="Times New Roman" w:cs="Times New Roman"/>
        </w:rPr>
        <w:t>Indeed, there was a sense amongst NGO representatives in particular, that the current</w:t>
      </w:r>
      <w:r w:rsidR="00D46DE0">
        <w:rPr>
          <w:rFonts w:ascii="Times New Roman" w:eastAsia="Times New Roman" w:hAnsi="Times New Roman" w:cs="Times New Roman"/>
        </w:rPr>
        <w:t xml:space="preserve"> regulatory system in the EU is</w:t>
      </w:r>
      <w:r>
        <w:rPr>
          <w:rFonts w:ascii="Times New Roman" w:eastAsia="Times New Roman" w:hAnsi="Times New Roman" w:cs="Times New Roman"/>
        </w:rPr>
        <w:t xml:space="preserve"> set up in a way that unequally favours the caviar industry over wild sturgeon (and fishermen). NGO project manager</w:t>
      </w:r>
      <w:r w:rsidR="004F1BB3">
        <w:rPr>
          <w:rFonts w:ascii="Times New Roman" w:eastAsia="Times New Roman" w:hAnsi="Times New Roman" w:cs="Times New Roman"/>
        </w:rPr>
        <w:t xml:space="preserve"> Sigrid, expressed</w:t>
      </w:r>
      <w:r>
        <w:rPr>
          <w:rFonts w:ascii="Times New Roman" w:eastAsia="Times New Roman" w:hAnsi="Times New Roman" w:cs="Times New Roman"/>
        </w:rPr>
        <w:t xml:space="preserve"> dismay that the CITES Management Authorities in EU Member States sometimes appear to actively protect the </w:t>
      </w:r>
      <w:r w:rsidR="004F1BB3">
        <w:rPr>
          <w:rFonts w:ascii="Times New Roman" w:eastAsia="Times New Roman" w:hAnsi="Times New Roman" w:cs="Times New Roman"/>
        </w:rPr>
        <w:t>caviar industry over sturgeon</w:t>
      </w:r>
      <w:r w:rsidR="00D46DE0">
        <w:rPr>
          <w:rFonts w:ascii="Times New Roman" w:eastAsia="Times New Roman" w:hAnsi="Times New Roman" w:cs="Times New Roman"/>
        </w:rPr>
        <w:t>: “</w:t>
      </w:r>
      <w:r>
        <w:rPr>
          <w:rFonts w:ascii="Times New Roman" w:eastAsia="Times New Roman" w:hAnsi="Times New Roman" w:cs="Times New Roman"/>
        </w:rPr>
        <w:t>What I found so strange, is that the CITES Management Authority already defends their industry. Actually it’s not their [CITES Management Authority] task I would say [...] It should be in their interest to make… I dunno, to protect the species and not their [caviar] industry</w:t>
      </w:r>
      <w:r w:rsidR="00D46DE0">
        <w:rPr>
          <w:rFonts w:ascii="Times New Roman" w:eastAsia="Times New Roman" w:hAnsi="Times New Roman" w:cs="Times New Roman"/>
        </w:rPr>
        <w:t>”</w:t>
      </w:r>
      <w:r w:rsidRPr="005B292F">
        <w:rPr>
          <w:rStyle w:val="FootnoteReference"/>
        </w:rPr>
        <w:footnoteReference w:id="105"/>
      </w:r>
      <w:r>
        <w:rPr>
          <w:rFonts w:ascii="Times New Roman" w:eastAsia="Times New Roman" w:hAnsi="Times New Roman" w:cs="Times New Roman"/>
        </w:rPr>
        <w:t>. As such, there was a sense amongst more vocal NGO representatives, that the plight of wild sturgeon in the EU was perhaps increasingly overlooked since the implementation</w:t>
      </w:r>
      <w:r w:rsidR="004F1BB3">
        <w:rPr>
          <w:rFonts w:ascii="Times New Roman" w:eastAsia="Times New Roman" w:hAnsi="Times New Roman" w:cs="Times New Roman"/>
        </w:rPr>
        <w:t xml:space="preserve"> of CITES Resolution Conf 12.7; and that the attention of policymakers was more squarely focused on facilitating sustainable farmed caviar production. This oversight is compounded by the dominant policy narratives which stabilise the idea that the EU caviar trade regulations have solved a lot of problems related to illegal caviar trade.  </w:t>
      </w:r>
    </w:p>
    <w:p w14:paraId="2F0C4A9E" w14:textId="181BF4E7" w:rsidR="00AC10E7" w:rsidRDefault="00AC10E7" w:rsidP="00FC70E0">
      <w:pPr>
        <w:pStyle w:val="Normal1"/>
        <w:spacing w:after="160" w:line="360" w:lineRule="auto"/>
        <w:jc w:val="both"/>
        <w:rPr>
          <w:rFonts w:ascii="Times New Roman" w:eastAsia="Times New Roman" w:hAnsi="Times New Roman" w:cs="Times New Roman"/>
        </w:rPr>
      </w:pPr>
      <w:r>
        <w:rPr>
          <w:rFonts w:ascii="Times New Roman" w:eastAsia="Times New Roman" w:hAnsi="Times New Roman" w:cs="Times New Roman"/>
        </w:rPr>
        <w:tab/>
        <w:t xml:space="preserve">Thus, an overlooked impact of the implementation of CITES Resolution Conf 12.7 in the EU has been the relative sidelining of attention given to the conservation of wild sturgeon, in favour of </w:t>
      </w:r>
      <w:r w:rsidR="00D46DE0">
        <w:rPr>
          <w:rFonts w:ascii="Times New Roman" w:eastAsia="Times New Roman" w:hAnsi="Times New Roman" w:cs="Times New Roman"/>
          <w:lang w:val="en-GB"/>
        </w:rPr>
        <w:t>establishing the</w:t>
      </w:r>
      <w:r>
        <w:rPr>
          <w:rFonts w:ascii="Times New Roman" w:eastAsia="Times New Roman" w:hAnsi="Times New Roman" w:cs="Times New Roman"/>
          <w:lang w:val="en-GB"/>
        </w:rPr>
        <w:t xml:space="preserve"> </w:t>
      </w:r>
      <w:r>
        <w:rPr>
          <w:rFonts w:ascii="Times New Roman" w:eastAsia="Times New Roman" w:hAnsi="Times New Roman" w:cs="Times New Roman"/>
        </w:rPr>
        <w:t xml:space="preserve">European farmed caviar industry. The lack of buy-in or support from the caviar industry in conservation initiatives has made sturgeon conservation in the EU </w:t>
      </w:r>
      <w:r w:rsidR="00937971">
        <w:rPr>
          <w:rFonts w:ascii="Times New Roman" w:eastAsia="Times New Roman" w:hAnsi="Times New Roman" w:cs="Times New Roman"/>
        </w:rPr>
        <w:t>more difficult</w:t>
      </w:r>
      <w:r>
        <w:rPr>
          <w:rFonts w:ascii="Times New Roman" w:eastAsia="Times New Roman" w:hAnsi="Times New Roman" w:cs="Times New Roman"/>
        </w:rPr>
        <w:t>, thereby doing little to alleviate the mounting environmental pressure on wild sturgeon populations. The problem of conserving wild sturgeon populations in the EU has even prompted debates that quest</w:t>
      </w:r>
      <w:r w:rsidR="00937971">
        <w:rPr>
          <w:rFonts w:ascii="Times New Roman" w:eastAsia="Times New Roman" w:hAnsi="Times New Roman" w:cs="Times New Roman"/>
        </w:rPr>
        <w:t>ion if sturgeon</w:t>
      </w:r>
      <w:r w:rsidR="00D46DE0">
        <w:rPr>
          <w:rFonts w:ascii="Times New Roman" w:eastAsia="Times New Roman" w:hAnsi="Times New Roman" w:cs="Times New Roman"/>
        </w:rPr>
        <w:t xml:space="preserve"> conservation is a “challenge or burden”</w:t>
      </w:r>
      <w:r>
        <w:rPr>
          <w:rFonts w:ascii="Times New Roman" w:eastAsia="Times New Roman" w:hAnsi="Times New Roman" w:cs="Times New Roman"/>
        </w:rPr>
        <w:t>?</w:t>
      </w:r>
      <w:r w:rsidRPr="005B292F">
        <w:rPr>
          <w:rStyle w:val="FootnoteReference"/>
        </w:rPr>
        <w:footnoteReference w:id="106"/>
      </w:r>
      <w:r>
        <w:rPr>
          <w:rFonts w:ascii="Times New Roman" w:eastAsia="Times New Roman" w:hAnsi="Times New Roman" w:cs="Times New Roman"/>
        </w:rPr>
        <w:t>. This demonstrates a potentially troubling narrative that is emerging, whereby sturgeon are reframed as a ‘burden</w:t>
      </w:r>
      <w:r w:rsidR="00937971">
        <w:rPr>
          <w:rFonts w:ascii="Times New Roman" w:eastAsia="Times New Roman" w:hAnsi="Times New Roman" w:cs="Times New Roman"/>
        </w:rPr>
        <w:t xml:space="preserve">’ to conserve. The underlying question </w:t>
      </w:r>
      <w:r>
        <w:rPr>
          <w:rFonts w:ascii="Times New Roman" w:eastAsia="Times New Roman" w:hAnsi="Times New Roman" w:cs="Times New Roman"/>
        </w:rPr>
        <w:t>behind the ‘burden’ narrative, is whether there is value in protecting the species in the wild. This line of discussion can potentially be used by the caviar industry to verify their lack of involvement in sturgeon conservation. Moreover, the rhetorical power of this kind of debate can serve to reinforce the ecological insecurity of wild sturgeon, by discouraging further investment -both economic and moral- in sturgeon co</w:t>
      </w:r>
      <w:r w:rsidR="0023777F">
        <w:rPr>
          <w:rFonts w:ascii="Times New Roman" w:eastAsia="Times New Roman" w:hAnsi="Times New Roman" w:cs="Times New Roman"/>
        </w:rPr>
        <w:t>nservation, because it may prove burdensome</w:t>
      </w:r>
      <w:r>
        <w:rPr>
          <w:rFonts w:ascii="Times New Roman" w:eastAsia="Times New Roman" w:hAnsi="Times New Roman" w:cs="Times New Roman"/>
        </w:rPr>
        <w:t xml:space="preserve">. </w:t>
      </w:r>
    </w:p>
    <w:p w14:paraId="05975E74" w14:textId="24BDCEC8" w:rsidR="00AC10E7" w:rsidRDefault="00AC10E7" w:rsidP="00FC70E0">
      <w:pPr>
        <w:pStyle w:val="Normal1"/>
        <w:spacing w:after="160" w:line="360" w:lineRule="auto"/>
        <w:ind w:firstLine="720"/>
        <w:jc w:val="both"/>
        <w:rPr>
          <w:rFonts w:ascii="Times New Roman" w:eastAsia="Times New Roman" w:hAnsi="Times New Roman" w:cs="Times New Roman"/>
        </w:rPr>
      </w:pPr>
      <w:r>
        <w:rPr>
          <w:rFonts w:ascii="Times New Roman" w:eastAsia="Times New Roman" w:hAnsi="Times New Roman" w:cs="Times New Roman"/>
        </w:rPr>
        <w:lastRenderedPageBreak/>
        <w:t>Thus, this section has demonstrated that the implementation of CITES Resolution Conf 12.7 in the EU has had hidden political-ecological impacts that complicate the</w:t>
      </w:r>
      <w:r w:rsidR="00165080">
        <w:rPr>
          <w:rFonts w:ascii="Times New Roman" w:eastAsia="Times New Roman" w:hAnsi="Times New Roman" w:cs="Times New Roman"/>
        </w:rPr>
        <w:t xml:space="preserve"> outwardly positive </w:t>
      </w:r>
      <w:r>
        <w:rPr>
          <w:rFonts w:ascii="Times New Roman" w:eastAsia="Times New Roman" w:hAnsi="Times New Roman" w:cs="Times New Roman"/>
        </w:rPr>
        <w:t xml:space="preserve">picture painted </w:t>
      </w:r>
      <w:r w:rsidR="00937971">
        <w:rPr>
          <w:rFonts w:ascii="Times New Roman" w:eastAsia="Times New Roman" w:hAnsi="Times New Roman" w:cs="Times New Roman"/>
        </w:rPr>
        <w:t xml:space="preserve">by declining seizures of </w:t>
      </w:r>
      <w:r>
        <w:rPr>
          <w:rFonts w:ascii="Times New Roman" w:eastAsia="Times New Roman" w:hAnsi="Times New Roman" w:cs="Times New Roman"/>
        </w:rPr>
        <w:t>contraband</w:t>
      </w:r>
      <w:r w:rsidR="00937971">
        <w:rPr>
          <w:rFonts w:ascii="Times New Roman" w:eastAsia="Times New Roman" w:hAnsi="Times New Roman" w:cs="Times New Roman"/>
        </w:rPr>
        <w:t xml:space="preserve"> caviar in the EU</w:t>
      </w:r>
      <w:r>
        <w:rPr>
          <w:rFonts w:ascii="Times New Roman" w:eastAsia="Times New Roman" w:hAnsi="Times New Roman" w:cs="Times New Roman"/>
        </w:rPr>
        <w:t>. By looking to the br</w:t>
      </w:r>
      <w:r w:rsidR="00165080">
        <w:rPr>
          <w:rFonts w:ascii="Times New Roman" w:eastAsia="Times New Roman" w:hAnsi="Times New Roman" w:cs="Times New Roman"/>
        </w:rPr>
        <w:t xml:space="preserve">oader impact of the regulations, </w:t>
      </w:r>
      <w:r>
        <w:rPr>
          <w:rFonts w:ascii="Times New Roman" w:eastAsia="Times New Roman" w:hAnsi="Times New Roman" w:cs="Times New Roman"/>
        </w:rPr>
        <w:t>this section has added more nuance to the narrat</w:t>
      </w:r>
      <w:r w:rsidR="00393213">
        <w:rPr>
          <w:rFonts w:ascii="Times New Roman" w:eastAsia="Times New Roman" w:hAnsi="Times New Roman" w:cs="Times New Roman"/>
        </w:rPr>
        <w:t xml:space="preserve">ives around declining seizures. </w:t>
      </w:r>
      <w:r>
        <w:rPr>
          <w:rFonts w:ascii="Times New Roman" w:eastAsia="Times New Roman" w:hAnsi="Times New Roman" w:cs="Times New Roman"/>
        </w:rPr>
        <w:t xml:space="preserve">I demonstrate that declining seizures need to be contextualised in the reality of depleted sturgeon populations; and also that seizures do not act as a proxy for declining criminality, and cannot account for poaching dynamics in </w:t>
      </w:r>
      <w:r w:rsidR="00165080">
        <w:rPr>
          <w:rFonts w:ascii="Times New Roman" w:eastAsia="Times New Roman" w:hAnsi="Times New Roman" w:cs="Times New Roman"/>
        </w:rPr>
        <w:t xml:space="preserve">EU sturgeon </w:t>
      </w:r>
      <w:r>
        <w:rPr>
          <w:rFonts w:ascii="Times New Roman" w:eastAsia="Times New Roman" w:hAnsi="Times New Roman" w:cs="Times New Roman"/>
        </w:rPr>
        <w:t xml:space="preserve">range states. Moreover, the implementation of caviar trade regulations has had significant political-ecological impacts upon sturgeon fishermen and wild sturgeon: </w:t>
      </w:r>
      <w:r w:rsidR="00393213">
        <w:rPr>
          <w:rFonts w:ascii="Times New Roman" w:eastAsia="Times New Roman" w:hAnsi="Times New Roman" w:cs="Times New Roman"/>
        </w:rPr>
        <w:t>groups that have been overlooked by</w:t>
      </w:r>
      <w:r>
        <w:rPr>
          <w:rFonts w:ascii="Times New Roman" w:eastAsia="Times New Roman" w:hAnsi="Times New Roman" w:cs="Times New Roman"/>
        </w:rPr>
        <w:t xml:space="preserve"> the narratives that focus on the impacts of the </w:t>
      </w:r>
      <w:r w:rsidR="00CE110C">
        <w:rPr>
          <w:rFonts w:ascii="Times New Roman" w:eastAsia="Times New Roman" w:hAnsi="Times New Roman" w:cs="Times New Roman"/>
        </w:rPr>
        <w:t xml:space="preserve">EU </w:t>
      </w:r>
      <w:r>
        <w:rPr>
          <w:rFonts w:ascii="Times New Roman" w:eastAsia="Times New Roman" w:hAnsi="Times New Roman" w:cs="Times New Roman"/>
        </w:rPr>
        <w:t>caviar trade regulations in terms of declining seizures and the benefits of a transformed caviar industry</w:t>
      </w:r>
      <w:r>
        <w:rPr>
          <w:rFonts w:ascii="Times New Roman" w:eastAsia="Times New Roman" w:hAnsi="Times New Roman" w:cs="Times New Roman"/>
          <w:lang w:val="en-GB"/>
        </w:rPr>
        <w:t xml:space="preserve"> built on aquaculture</w:t>
      </w:r>
      <w:r>
        <w:rPr>
          <w:rFonts w:ascii="Times New Roman" w:eastAsia="Times New Roman" w:hAnsi="Times New Roman" w:cs="Times New Roman"/>
        </w:rPr>
        <w:t xml:space="preserve">. </w:t>
      </w:r>
    </w:p>
    <w:p w14:paraId="1B0F2D75" w14:textId="77777777" w:rsidR="00AC10E7" w:rsidRDefault="00AC10E7" w:rsidP="00810504">
      <w:pPr>
        <w:pStyle w:val="Heading2"/>
      </w:pPr>
    </w:p>
    <w:p w14:paraId="304FA684" w14:textId="49E6E87D" w:rsidR="00AC10E7" w:rsidRDefault="00810504" w:rsidP="00810504">
      <w:pPr>
        <w:pStyle w:val="Heading2"/>
      </w:pPr>
      <w:bookmarkStart w:id="61" w:name="_Toc453224221"/>
      <w:r>
        <w:t>4.5</w:t>
      </w:r>
      <w:r w:rsidR="00AC10E7">
        <w:t>. Conclusion</w:t>
      </w:r>
      <w:bookmarkEnd w:id="61"/>
      <w:r w:rsidR="00AC10E7">
        <w:t xml:space="preserve"> </w:t>
      </w:r>
    </w:p>
    <w:p w14:paraId="7AB3D497" w14:textId="3C618DFD" w:rsidR="00AC10E7" w:rsidRDefault="005D695C" w:rsidP="00FC70E0">
      <w:pPr>
        <w:pStyle w:val="Normal1"/>
        <w:spacing w:after="160" w:line="360" w:lineRule="auto"/>
        <w:jc w:val="both"/>
        <w:rPr>
          <w:rFonts w:ascii="Times New Roman" w:eastAsia="Times New Roman" w:hAnsi="Times New Roman" w:cs="Times New Roman"/>
          <w:lang w:val="en-GB"/>
        </w:rPr>
      </w:pPr>
      <w:r>
        <w:rPr>
          <w:rFonts w:ascii="Times New Roman" w:eastAsia="Times New Roman" w:hAnsi="Times New Roman" w:cs="Times New Roman"/>
          <w:lang w:val="en-GB"/>
        </w:rPr>
        <w:t xml:space="preserve">This chapter introduces </w:t>
      </w:r>
      <w:r w:rsidR="00DB10E5">
        <w:rPr>
          <w:rFonts w:ascii="Times New Roman" w:eastAsia="Times New Roman" w:hAnsi="Times New Roman" w:cs="Times New Roman"/>
          <w:lang w:val="en-GB"/>
        </w:rPr>
        <w:t xml:space="preserve">the EU caviar trade regulations, </w:t>
      </w:r>
      <w:r>
        <w:rPr>
          <w:rFonts w:ascii="Times New Roman" w:eastAsia="Times New Roman" w:hAnsi="Times New Roman" w:cs="Times New Roman"/>
          <w:lang w:val="en-GB"/>
        </w:rPr>
        <w:t>and discusses how</w:t>
      </w:r>
      <w:r w:rsidR="00DB10E5">
        <w:rPr>
          <w:rFonts w:ascii="Times New Roman" w:eastAsia="Times New Roman" w:hAnsi="Times New Roman" w:cs="Times New Roman"/>
          <w:lang w:val="en-GB"/>
        </w:rPr>
        <w:t xml:space="preserve"> declining seizures of caviar in the EU have been widely attributed to the implementation of EU caviar policies. </w:t>
      </w:r>
      <w:r>
        <w:rPr>
          <w:rFonts w:ascii="Times New Roman" w:eastAsia="Times New Roman" w:hAnsi="Times New Roman" w:cs="Times New Roman"/>
          <w:lang w:val="en-GB"/>
        </w:rPr>
        <w:t xml:space="preserve">My analysis deconstructs and repoliticizes the seizure data. </w:t>
      </w:r>
      <w:r w:rsidR="00DB10E5">
        <w:rPr>
          <w:rFonts w:ascii="Times New Roman" w:eastAsia="Times New Roman" w:hAnsi="Times New Roman" w:cs="Times New Roman"/>
          <w:lang w:val="en-GB"/>
        </w:rPr>
        <w:t xml:space="preserve">It is necessary to do so, </w:t>
      </w:r>
      <w:r w:rsidR="00AC10E7">
        <w:rPr>
          <w:rFonts w:ascii="Times New Roman" w:eastAsia="Times New Roman" w:hAnsi="Times New Roman" w:cs="Times New Roman"/>
          <w:lang w:val="en-GB"/>
        </w:rPr>
        <w:t>because policymakers and enforcement officials in Western Europe have</w:t>
      </w:r>
      <w:r>
        <w:rPr>
          <w:rFonts w:ascii="Times New Roman" w:eastAsia="Times New Roman" w:hAnsi="Times New Roman" w:cs="Times New Roman"/>
          <w:lang w:val="en-GB"/>
        </w:rPr>
        <w:t xml:space="preserve"> largely</w:t>
      </w:r>
      <w:r w:rsidR="00AC10E7">
        <w:rPr>
          <w:rFonts w:ascii="Times New Roman" w:eastAsia="Times New Roman" w:hAnsi="Times New Roman" w:cs="Times New Roman"/>
          <w:lang w:val="en-GB"/>
        </w:rPr>
        <w:t xml:space="preserve"> presented seizure data in an uncritical and decontextualized manner</w:t>
      </w:r>
      <w:r w:rsidR="00DB10E5">
        <w:rPr>
          <w:rFonts w:ascii="Times New Roman" w:eastAsia="Times New Roman" w:hAnsi="Times New Roman" w:cs="Times New Roman"/>
          <w:lang w:val="en-GB"/>
        </w:rPr>
        <w:t>,</w:t>
      </w:r>
      <w:r w:rsidR="00AC10E7">
        <w:rPr>
          <w:rFonts w:ascii="Times New Roman" w:eastAsia="Times New Roman" w:hAnsi="Times New Roman" w:cs="Times New Roman"/>
          <w:lang w:val="en-GB"/>
        </w:rPr>
        <w:t xml:space="preserve"> to frame the </w:t>
      </w:r>
      <w:r w:rsidR="00F546F2">
        <w:rPr>
          <w:rFonts w:ascii="Times New Roman" w:eastAsia="Times New Roman" w:hAnsi="Times New Roman" w:cs="Times New Roman"/>
          <w:lang w:val="en-GB"/>
        </w:rPr>
        <w:t xml:space="preserve">dominant narratives regarding the </w:t>
      </w:r>
      <w:r w:rsidR="00AC10E7">
        <w:rPr>
          <w:rFonts w:ascii="Times New Roman" w:eastAsia="Times New Roman" w:hAnsi="Times New Roman" w:cs="Times New Roman"/>
          <w:lang w:val="en-GB"/>
        </w:rPr>
        <w:t>impact of implementing caviar trade regulations in the EU. Whilst recognising that seizures of caviar have dramatically declined in the EU, I argue that raw seizure data cannot be taken at face value due to a number o</w:t>
      </w:r>
      <w:r w:rsidR="00DB10E5">
        <w:rPr>
          <w:rFonts w:ascii="Times New Roman" w:eastAsia="Times New Roman" w:hAnsi="Times New Roman" w:cs="Times New Roman"/>
          <w:lang w:val="en-GB"/>
        </w:rPr>
        <w:t>f flaws inherent to these data. T</w:t>
      </w:r>
      <w:r w:rsidR="00AC10E7">
        <w:rPr>
          <w:rFonts w:ascii="Times New Roman" w:eastAsia="Times New Roman" w:hAnsi="Times New Roman" w:cs="Times New Roman"/>
          <w:lang w:val="en-GB"/>
        </w:rPr>
        <w:t xml:space="preserve">hese data should </w:t>
      </w:r>
      <w:r w:rsidR="00DB10E5">
        <w:rPr>
          <w:rFonts w:ascii="Times New Roman" w:eastAsia="Times New Roman" w:hAnsi="Times New Roman" w:cs="Times New Roman"/>
          <w:lang w:val="en-GB"/>
        </w:rPr>
        <w:t xml:space="preserve">therefore </w:t>
      </w:r>
      <w:r w:rsidR="00AC10E7">
        <w:rPr>
          <w:rFonts w:ascii="Times New Roman" w:eastAsia="Times New Roman" w:hAnsi="Times New Roman" w:cs="Times New Roman"/>
          <w:lang w:val="en-GB"/>
        </w:rPr>
        <w:t xml:space="preserve">not be used as a proxy to </w:t>
      </w:r>
      <w:r w:rsidR="003A3743">
        <w:rPr>
          <w:rFonts w:ascii="Times New Roman" w:eastAsia="Times New Roman" w:hAnsi="Times New Roman" w:cs="Times New Roman"/>
          <w:lang w:val="en-GB"/>
        </w:rPr>
        <w:t xml:space="preserve">make conclusions about dynamics of </w:t>
      </w:r>
      <w:r w:rsidR="00AC10E7">
        <w:rPr>
          <w:rFonts w:ascii="Times New Roman" w:eastAsia="Times New Roman" w:hAnsi="Times New Roman" w:cs="Times New Roman"/>
          <w:lang w:val="en-GB"/>
        </w:rPr>
        <w:t xml:space="preserve">illegal caviar trade and </w:t>
      </w:r>
      <w:r w:rsidR="00DB10E5">
        <w:rPr>
          <w:rFonts w:ascii="Times New Roman" w:eastAsia="Times New Roman" w:hAnsi="Times New Roman" w:cs="Times New Roman"/>
          <w:lang w:val="en-GB"/>
        </w:rPr>
        <w:t xml:space="preserve">associated criminality. Instead, </w:t>
      </w:r>
      <w:r w:rsidR="00AC10E7">
        <w:rPr>
          <w:rFonts w:ascii="Times New Roman" w:eastAsia="Times New Roman" w:hAnsi="Times New Roman" w:cs="Times New Roman"/>
          <w:lang w:val="en-GB"/>
        </w:rPr>
        <w:t>I argue that it is necessary to recontextualize and thereby repoliticize these seizure data by drawing attention to the broader, yet overlooked impacts of caviar trade regulatio</w:t>
      </w:r>
      <w:r w:rsidR="00D9667A">
        <w:rPr>
          <w:rFonts w:ascii="Times New Roman" w:eastAsia="Times New Roman" w:hAnsi="Times New Roman" w:cs="Times New Roman"/>
          <w:lang w:val="en-GB"/>
        </w:rPr>
        <w:t>ns in the EU. I argue that the</w:t>
      </w:r>
      <w:r w:rsidR="00AC10E7">
        <w:rPr>
          <w:rFonts w:ascii="Times New Roman" w:eastAsia="Times New Roman" w:hAnsi="Times New Roman" w:cs="Times New Roman"/>
          <w:lang w:val="en-GB"/>
        </w:rPr>
        <w:t xml:space="preserve"> </w:t>
      </w:r>
      <w:r w:rsidR="00DB10E5">
        <w:rPr>
          <w:rFonts w:ascii="Times New Roman" w:eastAsia="Times New Roman" w:hAnsi="Times New Roman" w:cs="Times New Roman"/>
          <w:lang w:val="en-GB"/>
        </w:rPr>
        <w:t>powerful political narratives that fixate on declining seizures of caviar, overlook the wider impacts of the regulations in the EU</w:t>
      </w:r>
      <w:r w:rsidR="00AC10E7">
        <w:rPr>
          <w:rFonts w:ascii="Times New Roman" w:eastAsia="Times New Roman" w:hAnsi="Times New Roman" w:cs="Times New Roman"/>
          <w:lang w:val="en-GB"/>
        </w:rPr>
        <w:t xml:space="preserve">. </w:t>
      </w:r>
      <w:r w:rsidR="00DB10E5">
        <w:rPr>
          <w:rFonts w:ascii="Times New Roman" w:eastAsia="Times New Roman" w:hAnsi="Times New Roman" w:cs="Times New Roman"/>
          <w:lang w:val="en-GB"/>
        </w:rPr>
        <w:t>B</w:t>
      </w:r>
      <w:r w:rsidR="00AC10E7">
        <w:rPr>
          <w:rFonts w:ascii="Times New Roman" w:eastAsia="Times New Roman" w:hAnsi="Times New Roman" w:cs="Times New Roman"/>
          <w:lang w:val="en-GB"/>
        </w:rPr>
        <w:t>y bringing these hidden political-ecological impacts into conversat</w:t>
      </w:r>
      <w:r w:rsidR="00D9667A">
        <w:rPr>
          <w:rFonts w:ascii="Times New Roman" w:eastAsia="Times New Roman" w:hAnsi="Times New Roman" w:cs="Times New Roman"/>
          <w:lang w:val="en-GB"/>
        </w:rPr>
        <w:t>ion with caviar seizure data, I complicate</w:t>
      </w:r>
      <w:r w:rsidR="00AC10E7">
        <w:rPr>
          <w:rFonts w:ascii="Times New Roman" w:eastAsia="Times New Roman" w:hAnsi="Times New Roman" w:cs="Times New Roman"/>
          <w:lang w:val="en-GB"/>
        </w:rPr>
        <w:t xml:space="preserve"> the narrative that the impacts of caviar trade regulations have been an overwhelming</w:t>
      </w:r>
      <w:r w:rsidR="00D9667A">
        <w:rPr>
          <w:rFonts w:ascii="Times New Roman" w:eastAsia="Times New Roman" w:hAnsi="Times New Roman" w:cs="Times New Roman"/>
          <w:lang w:val="en-GB"/>
        </w:rPr>
        <w:t xml:space="preserve"> ‘success’ in the EU, and </w:t>
      </w:r>
      <w:r w:rsidR="003A3743">
        <w:rPr>
          <w:rFonts w:ascii="Times New Roman" w:eastAsia="Times New Roman" w:hAnsi="Times New Roman" w:cs="Times New Roman"/>
          <w:lang w:val="en-GB"/>
        </w:rPr>
        <w:t xml:space="preserve">simultaneously </w:t>
      </w:r>
      <w:r w:rsidR="00D9667A">
        <w:rPr>
          <w:rFonts w:ascii="Times New Roman" w:eastAsia="Times New Roman" w:hAnsi="Times New Roman" w:cs="Times New Roman"/>
          <w:lang w:val="en-GB"/>
        </w:rPr>
        <w:t>point</w:t>
      </w:r>
      <w:r w:rsidR="00AC10E7">
        <w:rPr>
          <w:rFonts w:ascii="Times New Roman" w:eastAsia="Times New Roman" w:hAnsi="Times New Roman" w:cs="Times New Roman"/>
          <w:lang w:val="en-GB"/>
        </w:rPr>
        <w:t xml:space="preserve"> to some of the holes in seizure data.</w:t>
      </w:r>
    </w:p>
    <w:p w14:paraId="551995B6" w14:textId="359C9637" w:rsidR="006744C0" w:rsidRDefault="00AC10E7" w:rsidP="00FC70E0">
      <w:pPr>
        <w:pStyle w:val="Normal1"/>
        <w:spacing w:after="160" w:line="360" w:lineRule="auto"/>
        <w:jc w:val="both"/>
        <w:rPr>
          <w:rFonts w:ascii="Times New Roman" w:eastAsia="Times New Roman" w:hAnsi="Times New Roman" w:cs="Times New Roman"/>
          <w:lang w:val="en-GB"/>
        </w:rPr>
      </w:pPr>
      <w:r>
        <w:rPr>
          <w:rFonts w:ascii="Times New Roman" w:eastAsia="Times New Roman" w:hAnsi="Times New Roman" w:cs="Times New Roman"/>
          <w:lang w:val="en-GB"/>
        </w:rPr>
        <w:tab/>
      </w:r>
      <w:r w:rsidR="002E046B">
        <w:rPr>
          <w:rFonts w:ascii="Times New Roman" w:eastAsia="Times New Roman" w:hAnsi="Times New Roman" w:cs="Times New Roman"/>
          <w:lang w:val="en-GB"/>
        </w:rPr>
        <w:t>In highlighting some of the hidden implications of the caviar trade regulations in the EU, my analysis builds upon the theoretical framework for more-than-human geopolitical ecology. Namely, I demonstrate how the caviar trade regulations</w:t>
      </w:r>
      <w:r w:rsidR="00FD5D41">
        <w:rPr>
          <w:rFonts w:ascii="Times New Roman" w:eastAsia="Times New Roman" w:hAnsi="Times New Roman" w:cs="Times New Roman"/>
          <w:lang w:val="en-GB"/>
        </w:rPr>
        <w:t xml:space="preserve"> constitute an example of a geopolitical-environmental policy intervention that has entrenched inequalities in the EU. The caviar trade regulations have been stabilised as a positive policy intervention and geopolitical-ecological discourse in </w:t>
      </w:r>
      <w:r w:rsidR="00003026">
        <w:rPr>
          <w:rFonts w:ascii="Times New Roman" w:eastAsia="Times New Roman" w:hAnsi="Times New Roman" w:cs="Times New Roman"/>
          <w:lang w:val="en-GB"/>
        </w:rPr>
        <w:t>the EU</w:t>
      </w:r>
      <w:r w:rsidR="009023E6">
        <w:rPr>
          <w:rFonts w:ascii="Times New Roman" w:eastAsia="Times New Roman" w:hAnsi="Times New Roman" w:cs="Times New Roman"/>
          <w:lang w:val="en-GB"/>
        </w:rPr>
        <w:t>,</w:t>
      </w:r>
      <w:r w:rsidR="00FD5D41">
        <w:rPr>
          <w:rFonts w:ascii="Times New Roman" w:eastAsia="Times New Roman" w:hAnsi="Times New Roman" w:cs="Times New Roman"/>
          <w:lang w:val="en-GB"/>
        </w:rPr>
        <w:t xml:space="preserve"> by dominant narratives that </w:t>
      </w:r>
      <w:r w:rsidR="00003026">
        <w:rPr>
          <w:rFonts w:ascii="Times New Roman" w:eastAsia="Times New Roman" w:hAnsi="Times New Roman" w:cs="Times New Roman"/>
          <w:lang w:val="en-GB"/>
        </w:rPr>
        <w:t>foreground declin</w:t>
      </w:r>
      <w:r w:rsidR="009023E6">
        <w:rPr>
          <w:rFonts w:ascii="Times New Roman" w:eastAsia="Times New Roman" w:hAnsi="Times New Roman" w:cs="Times New Roman"/>
          <w:lang w:val="en-GB"/>
        </w:rPr>
        <w:t xml:space="preserve">ing contraband caviar seizures </w:t>
      </w:r>
      <w:r w:rsidR="00003026">
        <w:rPr>
          <w:rFonts w:ascii="Times New Roman" w:eastAsia="Times New Roman" w:hAnsi="Times New Roman" w:cs="Times New Roman"/>
          <w:lang w:val="en-GB"/>
        </w:rPr>
        <w:t xml:space="preserve">whilst simultaneously overlooking the impact of the regulations upon sturgeon fishing communities and wild sturgeon. </w:t>
      </w:r>
      <w:r w:rsidR="00CD08E1">
        <w:rPr>
          <w:rFonts w:ascii="Times New Roman" w:eastAsia="Times New Roman" w:hAnsi="Times New Roman" w:cs="Times New Roman"/>
          <w:lang w:val="en-GB"/>
        </w:rPr>
        <w:t xml:space="preserve">I </w:t>
      </w:r>
      <w:r w:rsidR="00CD08E1">
        <w:rPr>
          <w:rFonts w:ascii="Times New Roman" w:eastAsia="Times New Roman" w:hAnsi="Times New Roman" w:cs="Times New Roman"/>
          <w:lang w:val="en-GB"/>
        </w:rPr>
        <w:lastRenderedPageBreak/>
        <w:t>examine how the regulatory frameworks have criminalised the livelihoods of sturgeon fishermen without providing compensation or alternative sources of income. I show how this gap in the regulatory frameworks has increased economic insecurity for sturgeon fishing communities, and pushed some fishermen into illegal sturgeon fishing. Moreover, I consider how despite the ban on wild sturgeon fishing, the caviar trade regulations have done little to ameliorate the ecological insecurity of sturgeon, and have actually provided a loophole for the caviar industry to disengage with sturgeon conservation efforts.</w:t>
      </w:r>
    </w:p>
    <w:p w14:paraId="42A66F00" w14:textId="3017A927" w:rsidR="006744C0" w:rsidRDefault="00CD08E1" w:rsidP="00FC70E0">
      <w:pPr>
        <w:pStyle w:val="Normal1"/>
        <w:spacing w:after="160" w:line="360" w:lineRule="auto"/>
        <w:ind w:firstLine="720"/>
        <w:jc w:val="both"/>
        <w:rPr>
          <w:rFonts w:ascii="Times New Roman" w:eastAsia="Times New Roman" w:hAnsi="Times New Roman" w:cs="Times New Roman"/>
          <w:lang w:val="en-GB"/>
        </w:rPr>
      </w:pPr>
      <w:r>
        <w:rPr>
          <w:rFonts w:ascii="Times New Roman" w:eastAsia="Times New Roman" w:hAnsi="Times New Roman" w:cs="Times New Roman"/>
          <w:lang w:val="en-GB"/>
        </w:rPr>
        <w:t xml:space="preserve"> As such, this chapter illustrates that despite declining seizures of illegal caviar in the EU, caviar trade regulations have entrenched “multispecies forms of injustice” (Margulies &amp; Karanth, 2018: 162), and ironically may have catalysed sturgeon crimes. Moreover, </w:t>
      </w:r>
      <w:r w:rsidR="00AC10E7">
        <w:rPr>
          <w:rFonts w:ascii="Times New Roman" w:eastAsia="Times New Roman" w:hAnsi="Times New Roman" w:cs="Times New Roman"/>
          <w:lang w:val="en-GB"/>
        </w:rPr>
        <w:t>I demonstrate that seizure data in isolation cannot account for the nuanced politics surrounding poaching and illegal caviar trade</w:t>
      </w:r>
      <w:r>
        <w:rPr>
          <w:rFonts w:ascii="Times New Roman" w:eastAsia="Times New Roman" w:hAnsi="Times New Roman" w:cs="Times New Roman"/>
          <w:lang w:val="en-GB"/>
        </w:rPr>
        <w:t xml:space="preserve"> dynamics in EU sturgeon range states</w:t>
      </w:r>
      <w:r w:rsidR="00AC10E7">
        <w:rPr>
          <w:rFonts w:ascii="Times New Roman" w:eastAsia="Times New Roman" w:hAnsi="Times New Roman" w:cs="Times New Roman"/>
          <w:lang w:val="en-GB"/>
        </w:rPr>
        <w:t xml:space="preserve">. Underwriting this discussion is an acknowledgement that </w:t>
      </w:r>
      <w:r w:rsidR="006744C0">
        <w:rPr>
          <w:rFonts w:ascii="Times New Roman" w:eastAsia="Times New Roman" w:hAnsi="Times New Roman" w:cs="Times New Roman"/>
          <w:lang w:val="en-GB"/>
        </w:rPr>
        <w:t>gaps and grey areas in the regulatory frameworks have heightened the unequal impact of the regulations</w:t>
      </w:r>
      <w:r w:rsidR="00AC10E7">
        <w:rPr>
          <w:rFonts w:ascii="Times New Roman" w:eastAsia="Times New Roman" w:hAnsi="Times New Roman" w:cs="Times New Roman"/>
          <w:lang w:val="en-GB"/>
        </w:rPr>
        <w:t xml:space="preserve">. </w:t>
      </w:r>
      <w:r w:rsidR="006744C0">
        <w:rPr>
          <w:rFonts w:ascii="Times New Roman" w:eastAsia="Times New Roman" w:hAnsi="Times New Roman" w:cs="Times New Roman"/>
          <w:lang w:val="en-GB"/>
        </w:rPr>
        <w:t>In this regard,</w:t>
      </w:r>
      <w:r w:rsidR="00AC10E7">
        <w:rPr>
          <w:rFonts w:ascii="Times New Roman" w:eastAsia="Times New Roman" w:hAnsi="Times New Roman" w:cs="Times New Roman"/>
          <w:lang w:val="en-GB"/>
        </w:rPr>
        <w:t xml:space="preserve"> the discussion in this chapter contributes to the overarching argument of the thesis: that the regulations have gaps and grey areas, which have produced unexpected geopolitical-ecological outcomes. In this case, I demonstrate that the poaching dynamics in EU sturgeon range</w:t>
      </w:r>
      <w:r w:rsidR="006744C0">
        <w:rPr>
          <w:rFonts w:ascii="Times New Roman" w:eastAsia="Times New Roman" w:hAnsi="Times New Roman" w:cs="Times New Roman"/>
          <w:lang w:val="en-GB"/>
        </w:rPr>
        <w:t xml:space="preserve"> states can be explained in part, by a gap in the content of the regulati</w:t>
      </w:r>
      <w:r w:rsidR="009023E6">
        <w:rPr>
          <w:rFonts w:ascii="Times New Roman" w:eastAsia="Times New Roman" w:hAnsi="Times New Roman" w:cs="Times New Roman"/>
          <w:lang w:val="en-GB"/>
        </w:rPr>
        <w:t>ons. Specifically</w:t>
      </w:r>
      <w:r w:rsidR="006744C0">
        <w:rPr>
          <w:rFonts w:ascii="Times New Roman" w:eastAsia="Times New Roman" w:hAnsi="Times New Roman" w:cs="Times New Roman"/>
          <w:lang w:val="en-GB"/>
        </w:rPr>
        <w:t>, that the regulations do not include mechanisms to counter the negative socio-economic impacts of implementing zero export quotas and fishing bans in sturgeon range states.</w:t>
      </w:r>
    </w:p>
    <w:p w14:paraId="06C18C07" w14:textId="05A59B8B" w:rsidR="00AC10E7" w:rsidRDefault="00AC10E7" w:rsidP="00FC70E0">
      <w:pPr>
        <w:pStyle w:val="Normal1"/>
        <w:spacing w:after="160" w:line="360" w:lineRule="auto"/>
        <w:jc w:val="both"/>
        <w:rPr>
          <w:rFonts w:ascii="Times New Roman" w:eastAsia="Times New Roman" w:hAnsi="Times New Roman" w:cs="Times New Roman"/>
          <w:lang w:val="en-GB"/>
        </w:rPr>
      </w:pPr>
      <w:r>
        <w:rPr>
          <w:rFonts w:ascii="Times New Roman" w:eastAsia="Times New Roman" w:hAnsi="Times New Roman" w:cs="Times New Roman"/>
          <w:lang w:val="en-GB"/>
        </w:rPr>
        <w:tab/>
        <w:t xml:space="preserve">Ultimately, the chapter reinforces the argument that seizure data alone does not give an adequate account of the nuanced impacts and hidden political-ecologies that are intrinsic to the implementation of caviar trade regulations in the European Union. Arguably seizure data is an important dimension of the story. But these data must not be divorced from the wider </w:t>
      </w:r>
      <w:r w:rsidR="006744C0">
        <w:rPr>
          <w:rFonts w:ascii="Times New Roman" w:eastAsia="Times New Roman" w:hAnsi="Times New Roman" w:cs="Times New Roman"/>
          <w:lang w:val="en-GB"/>
        </w:rPr>
        <w:t>geo</w:t>
      </w:r>
      <w:r>
        <w:rPr>
          <w:rFonts w:ascii="Times New Roman" w:eastAsia="Times New Roman" w:hAnsi="Times New Roman" w:cs="Times New Roman"/>
          <w:lang w:val="en-GB"/>
        </w:rPr>
        <w:t xml:space="preserve">political-ecological context </w:t>
      </w:r>
      <w:r w:rsidR="006744C0">
        <w:rPr>
          <w:rFonts w:ascii="Times New Roman" w:eastAsia="Times New Roman" w:hAnsi="Times New Roman" w:cs="Times New Roman"/>
          <w:lang w:val="en-GB"/>
        </w:rPr>
        <w:t xml:space="preserve">in which EU </w:t>
      </w:r>
      <w:r>
        <w:rPr>
          <w:rFonts w:ascii="Times New Roman" w:eastAsia="Times New Roman" w:hAnsi="Times New Roman" w:cs="Times New Roman"/>
          <w:lang w:val="en-GB"/>
        </w:rPr>
        <w:t>ca</w:t>
      </w:r>
      <w:r w:rsidR="006744C0">
        <w:rPr>
          <w:rFonts w:ascii="Times New Roman" w:eastAsia="Times New Roman" w:hAnsi="Times New Roman" w:cs="Times New Roman"/>
          <w:lang w:val="en-GB"/>
        </w:rPr>
        <w:t>viar trade regulations are situated</w:t>
      </w:r>
      <w:r>
        <w:rPr>
          <w:rFonts w:ascii="Times New Roman" w:eastAsia="Times New Roman" w:hAnsi="Times New Roman" w:cs="Times New Roman"/>
          <w:lang w:val="en-GB"/>
        </w:rPr>
        <w:t>; otherwise, this m</w:t>
      </w:r>
      <w:r w:rsidR="006744C0">
        <w:rPr>
          <w:rFonts w:ascii="Times New Roman" w:eastAsia="Times New Roman" w:hAnsi="Times New Roman" w:cs="Times New Roman"/>
          <w:lang w:val="en-GB"/>
        </w:rPr>
        <w:t>ay result in misguided policy</w:t>
      </w:r>
      <w:r>
        <w:rPr>
          <w:rFonts w:ascii="Times New Roman" w:eastAsia="Times New Roman" w:hAnsi="Times New Roman" w:cs="Times New Roman"/>
          <w:lang w:val="en-GB"/>
        </w:rPr>
        <w:t xml:space="preserve"> and enforcement actions. Moreover, the discussion in this chapter has highlighted a pertinent disconnect that requires further interrogation: namely, sturgeon poaching and illegal caviar trade is still happening in the EU, but not reflected in seizures. In the following chapter I go some way in explaining this disconnect, by theorising the caviar trade in the EU as a ‘grey market’, and illustrating how </w:t>
      </w:r>
      <w:r w:rsidR="009023E6">
        <w:rPr>
          <w:rFonts w:ascii="Times New Roman" w:eastAsia="Times New Roman" w:hAnsi="Times New Roman" w:cs="Times New Roman"/>
          <w:lang w:val="en-GB"/>
        </w:rPr>
        <w:t xml:space="preserve">inconsistencies </w:t>
      </w:r>
      <w:r>
        <w:rPr>
          <w:rFonts w:ascii="Times New Roman" w:eastAsia="Times New Roman" w:hAnsi="Times New Roman" w:cs="Times New Roman"/>
          <w:lang w:val="en-GB"/>
        </w:rPr>
        <w:t xml:space="preserve">in caviar trade regulations enable illegal caviar to enter the </w:t>
      </w:r>
      <w:r w:rsidR="006744C0">
        <w:rPr>
          <w:rFonts w:ascii="Times New Roman" w:eastAsia="Times New Roman" w:hAnsi="Times New Roman" w:cs="Times New Roman"/>
          <w:lang w:val="en-GB"/>
        </w:rPr>
        <w:t xml:space="preserve">European </w:t>
      </w:r>
      <w:r>
        <w:rPr>
          <w:rFonts w:ascii="Times New Roman" w:eastAsia="Times New Roman" w:hAnsi="Times New Roman" w:cs="Times New Roman"/>
          <w:lang w:val="en-GB"/>
        </w:rPr>
        <w:t xml:space="preserve">market undetected.  </w:t>
      </w:r>
    </w:p>
    <w:p w14:paraId="4A25A8D5" w14:textId="77777777" w:rsidR="00AC10E7" w:rsidRPr="00476515" w:rsidRDefault="00AC10E7" w:rsidP="00FC70E0">
      <w:pPr>
        <w:pStyle w:val="Normal1"/>
        <w:spacing w:after="160" w:line="360" w:lineRule="auto"/>
        <w:jc w:val="both"/>
        <w:rPr>
          <w:rFonts w:ascii="Times New Roman" w:eastAsia="Times New Roman" w:hAnsi="Times New Roman" w:cs="Times New Roman"/>
          <w:lang w:val="en-GB"/>
        </w:rPr>
      </w:pPr>
    </w:p>
    <w:p w14:paraId="7F57C54C" w14:textId="3D4CE44F" w:rsidR="00A04777" w:rsidRDefault="00A04777" w:rsidP="00FC70E0">
      <w:pPr>
        <w:spacing w:line="259" w:lineRule="auto"/>
        <w:jc w:val="left"/>
        <w:rPr>
          <w:rFonts w:eastAsia="Times New Roman" w:cs="Times New Roman"/>
          <w:sz w:val="22"/>
          <w:lang w:val="uz-Cyrl-UZ" w:eastAsia="en-US"/>
        </w:rPr>
      </w:pPr>
    </w:p>
    <w:p w14:paraId="18FA38C6" w14:textId="65E4A819" w:rsidR="00A04777" w:rsidRDefault="00A04777" w:rsidP="00AC10E7">
      <w:pPr>
        <w:pStyle w:val="normal0"/>
        <w:rPr>
          <w:rFonts w:ascii="Times New Roman" w:eastAsia="Times New Roman" w:hAnsi="Times New Roman" w:cs="Times New Roman"/>
        </w:rPr>
      </w:pPr>
      <w:r>
        <w:rPr>
          <w:rFonts w:ascii="Times New Roman" w:eastAsia="Times New Roman" w:hAnsi="Times New Roman" w:cs="Times New Roman"/>
          <w:noProof/>
          <w:lang w:val="en-US"/>
        </w:rPr>
        <w:lastRenderedPageBreak/>
        <w:drawing>
          <wp:anchor distT="0" distB="0" distL="114300" distR="114300" simplePos="0" relativeHeight="251662336" behindDoc="0" locked="0" layoutInCell="1" allowOverlap="1" wp14:anchorId="4D59C8DA" wp14:editId="0F1B41EF">
            <wp:simplePos x="0" y="0"/>
            <wp:positionH relativeFrom="column">
              <wp:posOffset>-1008380</wp:posOffset>
            </wp:positionH>
            <wp:positionV relativeFrom="paragraph">
              <wp:posOffset>894080</wp:posOffset>
            </wp:positionV>
            <wp:extent cx="7159625" cy="5370830"/>
            <wp:effectExtent l="5398" t="0" r="8572" b="8573"/>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3876.jpg"/>
                    <pic:cNvPicPr/>
                  </pic:nvPicPr>
                  <pic:blipFill>
                    <a:blip r:embed="rId23">
                      <a:extLst>
                        <a:ext uri="{28A0092B-C50C-407E-A947-70E740481C1C}">
                          <a14:useLocalDpi xmlns:a14="http://schemas.microsoft.com/office/drawing/2010/main" val="0"/>
                        </a:ext>
                      </a:extLst>
                    </a:blip>
                    <a:stretch>
                      <a:fillRect/>
                    </a:stretch>
                  </pic:blipFill>
                  <pic:spPr>
                    <a:xfrm rot="5400000">
                      <a:off x="0" y="0"/>
                      <a:ext cx="7159625" cy="5370830"/>
                    </a:xfrm>
                    <a:prstGeom prst="rect">
                      <a:avLst/>
                    </a:prstGeom>
                  </pic:spPr>
                </pic:pic>
              </a:graphicData>
            </a:graphic>
            <wp14:sizeRelH relativeFrom="page">
              <wp14:pctWidth>0</wp14:pctWidth>
            </wp14:sizeRelH>
            <wp14:sizeRelV relativeFrom="page">
              <wp14:pctHeight>0</wp14:pctHeight>
            </wp14:sizeRelV>
          </wp:anchor>
        </w:drawing>
      </w:r>
    </w:p>
    <w:p w14:paraId="0514F382" w14:textId="77777777" w:rsidR="00A04777" w:rsidRPr="00A04777" w:rsidRDefault="00A04777" w:rsidP="00A04777">
      <w:pPr>
        <w:rPr>
          <w:lang w:val="en-US"/>
        </w:rPr>
      </w:pPr>
    </w:p>
    <w:p w14:paraId="7C1C47DD" w14:textId="77777777" w:rsidR="00A04777" w:rsidRPr="00A04777" w:rsidRDefault="00A04777" w:rsidP="00A04777">
      <w:pPr>
        <w:rPr>
          <w:lang w:val="en-US"/>
        </w:rPr>
      </w:pPr>
    </w:p>
    <w:p w14:paraId="1F6ECCAC" w14:textId="77777777" w:rsidR="00A04777" w:rsidRPr="00A04777" w:rsidRDefault="00A04777" w:rsidP="00A04777">
      <w:pPr>
        <w:rPr>
          <w:lang w:val="en-US"/>
        </w:rPr>
      </w:pPr>
    </w:p>
    <w:p w14:paraId="60F1BF8A" w14:textId="77777777" w:rsidR="00A04777" w:rsidRPr="00A04777" w:rsidRDefault="00A04777" w:rsidP="00A04777">
      <w:pPr>
        <w:rPr>
          <w:lang w:val="en-US"/>
        </w:rPr>
      </w:pPr>
    </w:p>
    <w:p w14:paraId="0D4CB551" w14:textId="77777777" w:rsidR="00A04777" w:rsidRPr="00A04777" w:rsidRDefault="00A04777" w:rsidP="00A04777">
      <w:pPr>
        <w:rPr>
          <w:lang w:val="en-US"/>
        </w:rPr>
      </w:pPr>
    </w:p>
    <w:p w14:paraId="4169C3DD" w14:textId="77777777" w:rsidR="00A04777" w:rsidRPr="00A04777" w:rsidRDefault="00A04777" w:rsidP="00A04777">
      <w:pPr>
        <w:rPr>
          <w:lang w:val="en-US"/>
        </w:rPr>
      </w:pPr>
    </w:p>
    <w:p w14:paraId="3DE5F5A8" w14:textId="77777777" w:rsidR="00A04777" w:rsidRPr="00A04777" w:rsidRDefault="00A04777" w:rsidP="00A04777">
      <w:pPr>
        <w:rPr>
          <w:lang w:val="en-US"/>
        </w:rPr>
      </w:pPr>
    </w:p>
    <w:p w14:paraId="4681D0FF" w14:textId="77777777" w:rsidR="00A04777" w:rsidRPr="00A04777" w:rsidRDefault="00A04777" w:rsidP="00A04777">
      <w:pPr>
        <w:rPr>
          <w:lang w:val="en-US"/>
        </w:rPr>
      </w:pPr>
    </w:p>
    <w:p w14:paraId="71F00C5B" w14:textId="77777777" w:rsidR="00A04777" w:rsidRPr="00A04777" w:rsidRDefault="00A04777" w:rsidP="00A04777">
      <w:pPr>
        <w:rPr>
          <w:lang w:val="en-US"/>
        </w:rPr>
      </w:pPr>
    </w:p>
    <w:p w14:paraId="05F03145" w14:textId="77777777" w:rsidR="00A04777" w:rsidRPr="00A04777" w:rsidRDefault="00A04777" w:rsidP="00A04777">
      <w:pPr>
        <w:rPr>
          <w:lang w:val="en-US"/>
        </w:rPr>
      </w:pPr>
    </w:p>
    <w:p w14:paraId="69E26B20" w14:textId="77777777" w:rsidR="00A04777" w:rsidRPr="00A04777" w:rsidRDefault="00A04777" w:rsidP="00A04777">
      <w:pPr>
        <w:rPr>
          <w:lang w:val="en-US"/>
        </w:rPr>
      </w:pPr>
    </w:p>
    <w:p w14:paraId="3148E9B4" w14:textId="77777777" w:rsidR="00A04777" w:rsidRPr="00A04777" w:rsidRDefault="00A04777" w:rsidP="00A04777">
      <w:pPr>
        <w:rPr>
          <w:lang w:val="en-US"/>
        </w:rPr>
      </w:pPr>
    </w:p>
    <w:p w14:paraId="3D6B74E5" w14:textId="77777777" w:rsidR="00A04777" w:rsidRPr="00A04777" w:rsidRDefault="00A04777" w:rsidP="00A04777">
      <w:pPr>
        <w:rPr>
          <w:lang w:val="en-US"/>
        </w:rPr>
      </w:pPr>
    </w:p>
    <w:p w14:paraId="1244BDBB" w14:textId="77777777" w:rsidR="00A04777" w:rsidRPr="00A04777" w:rsidRDefault="00A04777" w:rsidP="00A04777">
      <w:pPr>
        <w:rPr>
          <w:lang w:val="en-US"/>
        </w:rPr>
      </w:pPr>
    </w:p>
    <w:p w14:paraId="22C49AF1" w14:textId="77777777" w:rsidR="00A04777" w:rsidRPr="00A04777" w:rsidRDefault="00A04777" w:rsidP="00A04777">
      <w:pPr>
        <w:rPr>
          <w:lang w:val="en-US"/>
        </w:rPr>
      </w:pPr>
    </w:p>
    <w:p w14:paraId="16FAC5E2" w14:textId="77777777" w:rsidR="00A04777" w:rsidRPr="00A04777" w:rsidRDefault="00A04777" w:rsidP="00A04777">
      <w:pPr>
        <w:rPr>
          <w:lang w:val="en-US"/>
        </w:rPr>
      </w:pPr>
    </w:p>
    <w:p w14:paraId="11C62CF4" w14:textId="77777777" w:rsidR="00A04777" w:rsidRPr="00A04777" w:rsidRDefault="00A04777" w:rsidP="00A04777">
      <w:pPr>
        <w:rPr>
          <w:lang w:val="en-US"/>
        </w:rPr>
      </w:pPr>
    </w:p>
    <w:p w14:paraId="1011C663" w14:textId="7AB74176" w:rsidR="00A04777" w:rsidRDefault="00A04777" w:rsidP="00A04777">
      <w:pPr>
        <w:rPr>
          <w:lang w:val="en-US"/>
        </w:rPr>
      </w:pPr>
    </w:p>
    <w:p w14:paraId="63574E3E" w14:textId="27617C76" w:rsidR="00A04777" w:rsidRDefault="00A04777" w:rsidP="00A04777">
      <w:pPr>
        <w:rPr>
          <w:lang w:val="en-US"/>
        </w:rPr>
      </w:pPr>
    </w:p>
    <w:p w14:paraId="61F08FD6" w14:textId="77777777" w:rsidR="00460259" w:rsidRDefault="00460259" w:rsidP="00A04777">
      <w:pPr>
        <w:rPr>
          <w:lang w:val="en-US"/>
        </w:rPr>
      </w:pPr>
    </w:p>
    <w:p w14:paraId="64CADDD4" w14:textId="138E50E2" w:rsidR="00A04777" w:rsidRPr="00A04777" w:rsidRDefault="009023E6" w:rsidP="009023E6">
      <w:pPr>
        <w:pStyle w:val="Heading5"/>
        <w:rPr>
          <w:lang w:val="en-US"/>
        </w:rPr>
      </w:pPr>
      <w:bookmarkStart w:id="62" w:name="_Toc453224277"/>
      <w:r>
        <w:rPr>
          <w:lang w:val="en-US"/>
        </w:rPr>
        <w:t xml:space="preserve">Image 02: </w:t>
      </w:r>
      <w:r w:rsidR="00A04777" w:rsidRPr="00A04777">
        <w:rPr>
          <w:lang w:val="en-US"/>
        </w:rPr>
        <w:t>Un-</w:t>
      </w:r>
      <w:r w:rsidRPr="00A04777">
        <w:rPr>
          <w:lang w:val="en-US"/>
        </w:rPr>
        <w:t>labeled</w:t>
      </w:r>
      <w:r w:rsidR="00A04777" w:rsidRPr="00A04777">
        <w:rPr>
          <w:lang w:val="en-US"/>
        </w:rPr>
        <w:t xml:space="preserve"> jars of fresh caviar, prior to being repack</w:t>
      </w:r>
      <w:r>
        <w:rPr>
          <w:lang w:val="en-US"/>
        </w:rPr>
        <w:t>aged into smaller caviar tins</w:t>
      </w:r>
      <w:bookmarkEnd w:id="62"/>
    </w:p>
    <w:p w14:paraId="664F400F" w14:textId="148D9947" w:rsidR="00A04777" w:rsidRDefault="00A04777" w:rsidP="009023E6">
      <w:pPr>
        <w:rPr>
          <w:sz w:val="22"/>
          <w:lang w:val="en-US"/>
        </w:rPr>
      </w:pPr>
      <w:r w:rsidRPr="00A04777">
        <w:rPr>
          <w:sz w:val="22"/>
          <w:lang w:val="en-US"/>
        </w:rPr>
        <w:t>Source: Author’s Photo</w:t>
      </w:r>
    </w:p>
    <w:p w14:paraId="173E07EC" w14:textId="41C29504" w:rsidR="00A04777" w:rsidRPr="00A04777" w:rsidRDefault="00A04777" w:rsidP="00A04777">
      <w:pPr>
        <w:tabs>
          <w:tab w:val="left" w:pos="6747"/>
        </w:tabs>
        <w:rPr>
          <w:sz w:val="22"/>
          <w:lang w:val="en-US"/>
        </w:rPr>
      </w:pPr>
      <w:r>
        <w:rPr>
          <w:sz w:val="22"/>
          <w:lang w:val="en-US"/>
        </w:rPr>
        <w:tab/>
      </w:r>
    </w:p>
    <w:p w14:paraId="397A30CF" w14:textId="14383544" w:rsidR="00B97063" w:rsidRPr="009730F5" w:rsidRDefault="0026071B" w:rsidP="00B97063">
      <w:pPr>
        <w:pStyle w:val="Heading1"/>
      </w:pPr>
      <w:bookmarkStart w:id="63" w:name="_Toc453224222"/>
      <w:r>
        <w:lastRenderedPageBreak/>
        <w:t>Chapter 5:</w:t>
      </w:r>
      <w:r w:rsidR="00B97063">
        <w:t xml:space="preserve"> </w:t>
      </w:r>
      <w:r w:rsidR="00B97063" w:rsidRPr="009730F5">
        <w:t>Caviar Matter(s): Materiality and the Caviar Grey Market</w:t>
      </w:r>
      <w:bookmarkEnd w:id="63"/>
    </w:p>
    <w:p w14:paraId="1FAF41DA" w14:textId="77777777" w:rsidR="00B97063" w:rsidRPr="009730F5" w:rsidRDefault="00B97063" w:rsidP="00B97063">
      <w:pPr>
        <w:pStyle w:val="Heading2"/>
      </w:pPr>
      <w:bookmarkStart w:id="64" w:name="_Toc453224223"/>
      <w:r>
        <w:t>5</w:t>
      </w:r>
      <w:r w:rsidRPr="009730F5">
        <w:t>.0 Introduction</w:t>
      </w:r>
      <w:bookmarkEnd w:id="64"/>
      <w:r w:rsidRPr="009730F5">
        <w:t xml:space="preserve"> </w:t>
      </w:r>
    </w:p>
    <w:p w14:paraId="217E1B11" w14:textId="37346F35" w:rsidR="00B97063" w:rsidRPr="009730F5" w:rsidRDefault="00B97063" w:rsidP="00FC70E0">
      <w:pPr>
        <w:rPr>
          <w:rFonts w:cs="Times New Roman"/>
          <w:sz w:val="22"/>
        </w:rPr>
      </w:pPr>
      <w:r w:rsidRPr="009730F5">
        <w:rPr>
          <w:rFonts w:cs="Times New Roman"/>
          <w:sz w:val="22"/>
        </w:rPr>
        <w:t xml:space="preserve">Caviar as a product is materially complex. It is extremely difficult to </w:t>
      </w:r>
      <w:r>
        <w:rPr>
          <w:rFonts w:cs="Times New Roman"/>
          <w:sz w:val="22"/>
        </w:rPr>
        <w:t>determine based upon the human</w:t>
      </w:r>
      <w:r w:rsidRPr="009730F5">
        <w:rPr>
          <w:rFonts w:cs="Times New Roman"/>
          <w:sz w:val="22"/>
        </w:rPr>
        <w:t xml:space="preserve"> sensory registers of touch, taste, and smell whether caviar is legal or illegal – i.e. captive bred or wild caught. </w:t>
      </w:r>
      <w:r>
        <w:rPr>
          <w:rFonts w:cs="Times New Roman"/>
          <w:sz w:val="22"/>
        </w:rPr>
        <w:t xml:space="preserve">An example of caviar being sold in Bucharest airport deftly exemplifies the material indecipherability of caviar. The tins of caviar in question were labelled as coming from a wild beluga sturgeon, harvested in Romania. However, the zero export quotas and fishing bans that are in place would make such caviar illegal. NGO representatives, enforcement officers and a caviar producer alike recounted this situation to me. They all explained that they had challenged the retailers on the legality of the caviar being sold. The enforcement officers explained that they later discovered that the labels on the tins were changed to read </w:t>
      </w:r>
      <w:r>
        <w:rPr>
          <w:rFonts w:cs="Times New Roman"/>
          <w:i/>
          <w:sz w:val="22"/>
        </w:rPr>
        <w:t>captive-</w:t>
      </w:r>
      <w:r w:rsidRPr="009730F5">
        <w:rPr>
          <w:rFonts w:cs="Times New Roman"/>
          <w:i/>
          <w:sz w:val="22"/>
        </w:rPr>
        <w:t>bred</w:t>
      </w:r>
      <w:r>
        <w:rPr>
          <w:rFonts w:cs="Times New Roman"/>
          <w:sz w:val="22"/>
        </w:rPr>
        <w:t xml:space="preserve"> Beluga caviar, harvested in Romania. But the story does</w:t>
      </w:r>
      <w:r w:rsidR="002C5355">
        <w:rPr>
          <w:rFonts w:cs="Times New Roman"/>
          <w:sz w:val="22"/>
        </w:rPr>
        <w:t xml:space="preserve"> not end there. According to a</w:t>
      </w:r>
      <w:r>
        <w:rPr>
          <w:rFonts w:cs="Times New Roman"/>
          <w:sz w:val="22"/>
        </w:rPr>
        <w:t xml:space="preserve"> CITES representative I interviewed, at the time there were no officially registered captive breeding facilities in Romania capable of producing Beluga caviar</w:t>
      </w:r>
      <w:r w:rsidRPr="005B292F">
        <w:rPr>
          <w:rStyle w:val="FootnoteReference"/>
        </w:rPr>
        <w:footnoteReference w:id="107"/>
      </w:r>
      <w:r>
        <w:rPr>
          <w:rFonts w:cs="Times New Roman"/>
          <w:sz w:val="22"/>
        </w:rPr>
        <w:t>. Moreover, the caviar producer who had also noticed this shape-shifti</w:t>
      </w:r>
      <w:r w:rsidR="0043082F">
        <w:rPr>
          <w:rFonts w:cs="Times New Roman"/>
          <w:sz w:val="22"/>
        </w:rPr>
        <w:t xml:space="preserve">ng caviar, emphasised that their facility was </w:t>
      </w:r>
      <w:r>
        <w:rPr>
          <w:rFonts w:cs="Times New Roman"/>
          <w:sz w:val="22"/>
        </w:rPr>
        <w:t>the only</w:t>
      </w:r>
      <w:r w:rsidR="0043082F">
        <w:rPr>
          <w:rFonts w:cs="Times New Roman"/>
          <w:sz w:val="22"/>
        </w:rPr>
        <w:t xml:space="preserve"> </w:t>
      </w:r>
      <w:r>
        <w:rPr>
          <w:rFonts w:cs="Times New Roman"/>
          <w:sz w:val="22"/>
        </w:rPr>
        <w:t>facility in Romania with Beluga sturgeon, but that they were not registered to produce caviar yet given that their stu</w:t>
      </w:r>
      <w:r w:rsidR="0043082F">
        <w:rPr>
          <w:rFonts w:cs="Times New Roman"/>
          <w:sz w:val="22"/>
        </w:rPr>
        <w:t>rgeon were not at producing age</w:t>
      </w:r>
      <w:r>
        <w:rPr>
          <w:rFonts w:cs="Times New Roman"/>
          <w:sz w:val="22"/>
        </w:rPr>
        <w:t>. Thus, this inexplicable caviar sat on the shelves at Bucharest airport: now ostensibly legal, and labelled according to CITES regulations; but at the same time suspected to be illegal. However the caviar defied any attempts to identify it.</w:t>
      </w:r>
    </w:p>
    <w:p w14:paraId="7DE130F7" w14:textId="637FF730" w:rsidR="00B97063" w:rsidRPr="009730F5" w:rsidRDefault="00B97063" w:rsidP="00FC70E0">
      <w:pPr>
        <w:rPr>
          <w:rFonts w:eastAsia="Times New Roman" w:cs="Times New Roman"/>
          <w:color w:val="000000"/>
          <w:sz w:val="22"/>
        </w:rPr>
      </w:pPr>
      <w:r w:rsidRPr="009730F5">
        <w:rPr>
          <w:rFonts w:cs="Times New Roman"/>
          <w:sz w:val="22"/>
        </w:rPr>
        <w:tab/>
      </w:r>
      <w:r w:rsidRPr="009730F5">
        <w:rPr>
          <w:rFonts w:eastAsia="Times New Roman" w:cs="Times New Roman"/>
          <w:color w:val="000000"/>
          <w:sz w:val="22"/>
        </w:rPr>
        <w:t>The inability to establish the material provenance of a caviar sample is widespread, and characterises the experience of many individuals, including: law enforcement officials, NGO representatives, academics and even caviar industry professionals - all who encounter caviar on a f</w:t>
      </w:r>
      <w:r w:rsidR="0043082F">
        <w:rPr>
          <w:rFonts w:eastAsia="Times New Roman" w:cs="Times New Roman"/>
          <w:color w:val="000000"/>
          <w:sz w:val="22"/>
        </w:rPr>
        <w:t>requent basis. Yvar, a researcher</w:t>
      </w:r>
      <w:r w:rsidRPr="009730F5">
        <w:rPr>
          <w:rFonts w:eastAsia="Times New Roman" w:cs="Times New Roman"/>
          <w:color w:val="000000"/>
          <w:sz w:val="22"/>
        </w:rPr>
        <w:t xml:space="preserve"> who has worked extensively on illegal caviar trade explained that “during my fieldwork I consumed </w:t>
      </w:r>
      <w:r w:rsidRPr="009730F5">
        <w:rPr>
          <w:rFonts w:eastAsia="Times New Roman" w:cs="Times New Roman"/>
          <w:i/>
          <w:iCs/>
          <w:color w:val="000000"/>
          <w:sz w:val="22"/>
        </w:rPr>
        <w:t xml:space="preserve">a lot </w:t>
      </w:r>
      <w:r w:rsidRPr="009730F5">
        <w:rPr>
          <w:rFonts w:eastAsia="Times New Roman" w:cs="Times New Roman"/>
          <w:color w:val="000000"/>
          <w:sz w:val="22"/>
        </w:rPr>
        <w:t>of caviar, but I cannot distinguish or see the difference between wild and captive bred, for me it’s too difficult”</w:t>
      </w:r>
      <w:r w:rsidRPr="005B292F">
        <w:rPr>
          <w:rStyle w:val="FootnoteReference"/>
        </w:rPr>
        <w:footnoteReference w:id="108"/>
      </w:r>
      <w:r w:rsidRPr="009730F5">
        <w:rPr>
          <w:rFonts w:eastAsia="Times New Roman" w:cs="Times New Roman"/>
          <w:color w:val="000000"/>
          <w:sz w:val="22"/>
        </w:rPr>
        <w:t>. On the contrary, a minority of individuals are adamant that “the difference between wild and farmed [caviar] you can see directly”</w:t>
      </w:r>
      <w:r w:rsidRPr="005B292F">
        <w:rPr>
          <w:rStyle w:val="FootnoteReference"/>
        </w:rPr>
        <w:footnoteReference w:id="109"/>
      </w:r>
      <w:r>
        <w:rPr>
          <w:rFonts w:eastAsia="Times New Roman" w:cs="Times New Roman"/>
          <w:color w:val="000000"/>
          <w:sz w:val="22"/>
        </w:rPr>
        <w:t xml:space="preserve"> and also taste</w:t>
      </w:r>
      <w:r w:rsidRPr="009730F5">
        <w:rPr>
          <w:rFonts w:eastAsia="Times New Roman" w:cs="Times New Roman"/>
          <w:color w:val="000000"/>
          <w:sz w:val="22"/>
        </w:rPr>
        <w:t xml:space="preserve">. </w:t>
      </w:r>
      <w:r>
        <w:rPr>
          <w:rFonts w:eastAsia="Times New Roman" w:cs="Times New Roman"/>
          <w:color w:val="000000"/>
          <w:sz w:val="22"/>
        </w:rPr>
        <w:t>This chapter illustrates that determining the material essence of caviar is contentious.</w:t>
      </w:r>
    </w:p>
    <w:p w14:paraId="4320731C" w14:textId="4E1754FB" w:rsidR="00B97063" w:rsidRPr="009730F5" w:rsidRDefault="00B97063" w:rsidP="00FC70E0">
      <w:pPr>
        <w:pStyle w:val="NormalWeb"/>
        <w:spacing w:before="0" w:beforeAutospacing="0" w:after="160" w:afterAutospacing="0" w:line="360" w:lineRule="auto"/>
        <w:jc w:val="both"/>
        <w:rPr>
          <w:color w:val="000000"/>
          <w:sz w:val="22"/>
          <w:szCs w:val="22"/>
        </w:rPr>
      </w:pPr>
      <w:r w:rsidRPr="009730F5">
        <w:rPr>
          <w:rFonts w:eastAsia="Times New Roman"/>
          <w:color w:val="000000"/>
          <w:sz w:val="22"/>
          <w:szCs w:val="22"/>
        </w:rPr>
        <w:tab/>
      </w:r>
      <w:r w:rsidRPr="009730F5">
        <w:rPr>
          <w:color w:val="000000"/>
          <w:sz w:val="22"/>
          <w:szCs w:val="22"/>
        </w:rPr>
        <w:t xml:space="preserve">This chapter </w:t>
      </w:r>
      <w:r>
        <w:rPr>
          <w:color w:val="000000"/>
          <w:sz w:val="22"/>
          <w:szCs w:val="22"/>
        </w:rPr>
        <w:t xml:space="preserve">explains: </w:t>
      </w:r>
      <w:r w:rsidRPr="009730F5">
        <w:rPr>
          <w:color w:val="000000"/>
          <w:sz w:val="22"/>
          <w:szCs w:val="22"/>
        </w:rPr>
        <w:t xml:space="preserve">the </w:t>
      </w:r>
      <w:r>
        <w:rPr>
          <w:color w:val="000000"/>
          <w:sz w:val="22"/>
          <w:szCs w:val="22"/>
        </w:rPr>
        <w:t xml:space="preserve">complex </w:t>
      </w:r>
      <w:r w:rsidRPr="009730F5">
        <w:rPr>
          <w:color w:val="000000"/>
          <w:sz w:val="22"/>
          <w:szCs w:val="22"/>
        </w:rPr>
        <w:t>materiality of caviar</w:t>
      </w:r>
      <w:r>
        <w:rPr>
          <w:color w:val="000000"/>
          <w:sz w:val="22"/>
          <w:szCs w:val="22"/>
        </w:rPr>
        <w:t xml:space="preserve">; </w:t>
      </w:r>
      <w:r w:rsidRPr="009730F5">
        <w:rPr>
          <w:color w:val="000000"/>
          <w:sz w:val="22"/>
          <w:szCs w:val="22"/>
        </w:rPr>
        <w:t>why it is so difficult to make the physic</w:t>
      </w:r>
      <w:r>
        <w:rPr>
          <w:color w:val="000000"/>
          <w:sz w:val="22"/>
          <w:szCs w:val="22"/>
        </w:rPr>
        <w:t>al properties of caviar legible;</w:t>
      </w:r>
      <w:r w:rsidRPr="009730F5">
        <w:rPr>
          <w:color w:val="000000"/>
          <w:sz w:val="22"/>
          <w:szCs w:val="22"/>
        </w:rPr>
        <w:t xml:space="preserve"> and how caviar defies straightforward identification. Moreover, I argue that it is </w:t>
      </w:r>
      <w:r>
        <w:rPr>
          <w:color w:val="000000"/>
          <w:sz w:val="22"/>
          <w:szCs w:val="22"/>
        </w:rPr>
        <w:t>the</w:t>
      </w:r>
      <w:r w:rsidRPr="009730F5">
        <w:rPr>
          <w:color w:val="000000"/>
          <w:sz w:val="22"/>
          <w:szCs w:val="22"/>
        </w:rPr>
        <w:t xml:space="preserve"> ‘unknowable’ material properties of caviar that enable new forms of </w:t>
      </w:r>
      <w:r>
        <w:rPr>
          <w:color w:val="000000"/>
          <w:sz w:val="22"/>
          <w:szCs w:val="22"/>
        </w:rPr>
        <w:t xml:space="preserve">illegal caviar trade to emerge. I show </w:t>
      </w:r>
      <w:r w:rsidR="0043082F">
        <w:rPr>
          <w:color w:val="000000"/>
          <w:sz w:val="22"/>
          <w:szCs w:val="22"/>
        </w:rPr>
        <w:t xml:space="preserve">that these emergent </w:t>
      </w:r>
      <w:r w:rsidRPr="009730F5">
        <w:rPr>
          <w:color w:val="000000"/>
          <w:sz w:val="22"/>
          <w:szCs w:val="22"/>
        </w:rPr>
        <w:t>illicit practices serve to es</w:t>
      </w:r>
      <w:r>
        <w:rPr>
          <w:color w:val="000000"/>
          <w:sz w:val="22"/>
          <w:szCs w:val="22"/>
        </w:rPr>
        <w:t>tablish the</w:t>
      </w:r>
      <w:r w:rsidR="002C5355">
        <w:rPr>
          <w:color w:val="000000"/>
          <w:sz w:val="22"/>
          <w:szCs w:val="22"/>
        </w:rPr>
        <w:t xml:space="preserve"> EU</w:t>
      </w:r>
      <w:r>
        <w:rPr>
          <w:color w:val="000000"/>
          <w:sz w:val="22"/>
          <w:szCs w:val="22"/>
        </w:rPr>
        <w:t xml:space="preserve"> caviar market as a ‘grey market’</w:t>
      </w:r>
      <w:r w:rsidRPr="009730F5">
        <w:rPr>
          <w:color w:val="000000"/>
          <w:sz w:val="22"/>
          <w:szCs w:val="22"/>
        </w:rPr>
        <w:t xml:space="preserve"> </w:t>
      </w:r>
      <w:r w:rsidRPr="009730F5">
        <w:rPr>
          <w:color w:val="000000"/>
          <w:sz w:val="22"/>
          <w:szCs w:val="22"/>
        </w:rPr>
        <w:fldChar w:fldCharType="begin" w:fldLock="1"/>
      </w:r>
      <w:r w:rsidR="00EC7F7E">
        <w:rPr>
          <w:color w:val="000000"/>
          <w:sz w:val="22"/>
          <w:szCs w:val="22"/>
        </w:rPr>
        <w:instrText>ADDIN CSL_CITATION {"citationItems":[{"id":"ITEM-1","itemData":{"DOI":"10.1093/oso/9780198794974.001.0001","ISBN":"9780198794974","author":[{"dropping-particle":"","family":"Mackenzie","given":"Simon;","non-dropping-particle":"","parse-names":false,"suffix":""},{"dropping-particle":"","family":"Yates","given":"Donna;","non-dropping-particle":"","parse-names":false,"suffix":""}],"container-title":"The Architecture of Illegal Markets: Towards an Economic Sociology of Illegality in the Economy","id":"ITEM-1","issued":{"date-parts":[["2017"]]},"title":"What Is Grey about the Grey Market in Antiquities?","type":"chapter"},"uris":["http://www.mendeley.com/documents/?uuid=388f00b0-66c6-3fa4-9ec6-6fdc0916ad87"]}],"mendeley":{"formattedCitation":"(Mackenzie and Yates, 2017)","plainTextFormattedCitation":"(Mackenzie and Yates, 2017)","previouslyFormattedCitation":"(Mackenzie and Yates, 2017)"},"properties":{"noteIndex":0},"schema":"https://github.com/citation-style-language/schema/raw/master/csl-citation.json"}</w:instrText>
      </w:r>
      <w:r w:rsidRPr="009730F5">
        <w:rPr>
          <w:color w:val="000000"/>
          <w:sz w:val="22"/>
          <w:szCs w:val="22"/>
        </w:rPr>
        <w:fldChar w:fldCharType="separate"/>
      </w:r>
      <w:r w:rsidR="00042533" w:rsidRPr="00042533">
        <w:rPr>
          <w:noProof/>
          <w:color w:val="000000"/>
          <w:sz w:val="22"/>
          <w:szCs w:val="22"/>
        </w:rPr>
        <w:t>(Mackenzie and Yates, 2017)</w:t>
      </w:r>
      <w:r w:rsidRPr="009730F5">
        <w:rPr>
          <w:color w:val="000000"/>
          <w:sz w:val="22"/>
          <w:szCs w:val="22"/>
        </w:rPr>
        <w:fldChar w:fldCharType="end"/>
      </w:r>
      <w:r w:rsidRPr="009730F5">
        <w:rPr>
          <w:color w:val="000000"/>
          <w:sz w:val="22"/>
          <w:szCs w:val="22"/>
        </w:rPr>
        <w:t xml:space="preserve">, which intertwines the activities of the legal and illegal </w:t>
      </w:r>
      <w:r w:rsidRPr="009730F5">
        <w:rPr>
          <w:color w:val="000000"/>
          <w:sz w:val="22"/>
          <w:szCs w:val="22"/>
        </w:rPr>
        <w:lastRenderedPageBreak/>
        <w:t xml:space="preserve">caviar trades into one market. </w:t>
      </w:r>
      <w:r>
        <w:rPr>
          <w:color w:val="000000"/>
          <w:sz w:val="22"/>
          <w:szCs w:val="22"/>
        </w:rPr>
        <w:t>U</w:t>
      </w:r>
      <w:r w:rsidRPr="009730F5">
        <w:rPr>
          <w:color w:val="000000"/>
          <w:sz w:val="22"/>
          <w:szCs w:val="22"/>
        </w:rPr>
        <w:t xml:space="preserve">sing </w:t>
      </w:r>
      <w:r w:rsidRPr="009730F5">
        <w:rPr>
          <w:color w:val="000000"/>
          <w:sz w:val="22"/>
          <w:szCs w:val="22"/>
        </w:rPr>
        <w:fldChar w:fldCharType="begin" w:fldLock="1"/>
      </w:r>
      <w:r w:rsidRPr="009730F5">
        <w:rPr>
          <w:color w:val="000000"/>
          <w:sz w:val="22"/>
          <w:szCs w:val="22"/>
        </w:rPr>
        <w:instrText>ADDIN CSL_CITATION {"citationItems":[{"id":"ITEM-1","itemData":{"DOI":"10.1068/a46138","ISSN":"0308-518X","abstract":"Political ecology has had a long connection with materials, going back to some of its canonical concerns. Yet materials are rendered inert with no capacity to mobilize political action. Further, the influence of matter in wider ecologies of human–animal cohabitation is poorly acknowledged. This paper examines the role of materials in mediating people's relationships with elephants in rural northeast India. Drawing upon ethnographic research and ethological studies of elephants, the paper shows that human–elephant conflict is not simply a linear outcome of interactions between elephants and people. Materials, in this case alcohol, play a vital role. Alcohol binds people and elephants in unforeseen ways. The sociopolitical outcomes alcohol generates have deep impacts on the livelihoods of the rural poor and the well-being of elephants. This examination of social and political life through concerted interactions between humans, animals, and materials ecologizes politics, making it more attuned to the more-th...","author":[{"dropping-particle":"","family":"Barua","given":"Maan","non-dropping-particle":"","parse-names":false,"suffix":""}],"container-title":"Environment and Planning A","id":"ITEM-1","issue":"6","issued":{"date-parts":[["2014","6","1"]]},"page":"1462-1478","publisher":"SAGE PublicationsSage UK: London, England","title":"Volatile Ecologies: Towards a Material Politics of Human—Animal Relations","type":"article-journal","volume":"46"},"uris":["http://www.mendeley.com/documents/?uuid=41624c7b-45fc-3cee-a577-8fddf0d65969"]}],"mendeley":{"formattedCitation":"(Barua, 2014)","manualFormatting":"Barua's (2014)","plainTextFormattedCitation":"(Barua, 2014)","previouslyFormattedCitation":"(Barua, 2014)"},"properties":{"noteIndex":0},"schema":"https://github.com/citation-style-language/schema/raw/master/csl-citation.json"}</w:instrText>
      </w:r>
      <w:r w:rsidRPr="009730F5">
        <w:rPr>
          <w:color w:val="000000"/>
          <w:sz w:val="22"/>
          <w:szCs w:val="22"/>
        </w:rPr>
        <w:fldChar w:fldCharType="separate"/>
      </w:r>
      <w:r w:rsidRPr="009730F5">
        <w:rPr>
          <w:noProof/>
          <w:color w:val="000000"/>
          <w:sz w:val="22"/>
          <w:szCs w:val="22"/>
        </w:rPr>
        <w:t>Barua's (2014)</w:t>
      </w:r>
      <w:r w:rsidRPr="009730F5">
        <w:rPr>
          <w:color w:val="000000"/>
          <w:sz w:val="22"/>
          <w:szCs w:val="22"/>
        </w:rPr>
        <w:fldChar w:fldCharType="end"/>
      </w:r>
      <w:r w:rsidRPr="009730F5">
        <w:rPr>
          <w:color w:val="000000"/>
          <w:sz w:val="22"/>
          <w:szCs w:val="22"/>
        </w:rPr>
        <w:t xml:space="preserve"> distinction between the micropolitical and the macropolitical, this chapter demons</w:t>
      </w:r>
      <w:r w:rsidR="00F76650">
        <w:rPr>
          <w:color w:val="000000"/>
          <w:sz w:val="22"/>
          <w:szCs w:val="22"/>
        </w:rPr>
        <w:t>trates that the micropolitical “</w:t>
      </w:r>
      <w:r w:rsidRPr="009730F5">
        <w:rPr>
          <w:color w:val="000000"/>
          <w:sz w:val="22"/>
          <w:szCs w:val="22"/>
        </w:rPr>
        <w:t>properties, energies, potentia</w:t>
      </w:r>
      <w:r w:rsidR="00F76650">
        <w:rPr>
          <w:color w:val="000000"/>
          <w:sz w:val="22"/>
          <w:szCs w:val="22"/>
        </w:rPr>
        <w:t>lities, affects and affordances”</w:t>
      </w:r>
      <w:r w:rsidRPr="009730F5">
        <w:rPr>
          <w:color w:val="000000"/>
          <w:sz w:val="22"/>
          <w:szCs w:val="22"/>
        </w:rPr>
        <w:t xml:space="preserve"> </w:t>
      </w:r>
      <w:r w:rsidRPr="009730F5">
        <w:rPr>
          <w:color w:val="000000"/>
          <w:sz w:val="22"/>
          <w:szCs w:val="22"/>
        </w:rPr>
        <w:fldChar w:fldCharType="begin" w:fldLock="1"/>
      </w:r>
      <w:r w:rsidR="000D67AD">
        <w:rPr>
          <w:color w:val="000000"/>
          <w:sz w:val="22"/>
          <w:szCs w:val="22"/>
        </w:rPr>
        <w:instrText>ADDIN CSL_CITATION {"citationItems":[{"id":"ITEM-1","itemData":{"DOI":"10.1080/00045608.2010.538323","ISSN":"1467-8306","author":[{"dropping-particle":"","family":"Sundberg","given":"Juanita","non-dropping-particle":"","parse-names":false,"suffix":""}],"container-title":"Annals of the Association of American Geographers","id":"ITEM-1","issue":"2","issued":{"date-parts":[["2011"]]},"page":"318-336","title":"Diabolic Caminos in the Desert and Cat Fights on the Río: A Posthumanist Political Ecology of Boundary Enforcement in the United States-Mexico Borderlands","type":"article-journal","volume":"101"},"uris":["http://www.mendeley.com/documents/?uuid=87d9fcca-b3b4-33ea-a05b-75f0deb6179a"]}],"mendeley":{"formattedCitation":"(Sundberg, 2011)","manualFormatting":"(Sundberg, 2011:322)","plainTextFormattedCitation":"(Sundberg, 2011)","previouslyFormattedCitation":"(Sundberg, 2011)"},"properties":{"noteIndex":0},"schema":"https://github.com/citation-style-language/schema/raw/master/csl-citation.json"}</w:instrText>
      </w:r>
      <w:r w:rsidRPr="009730F5">
        <w:rPr>
          <w:color w:val="000000"/>
          <w:sz w:val="22"/>
          <w:szCs w:val="22"/>
        </w:rPr>
        <w:fldChar w:fldCharType="separate"/>
      </w:r>
      <w:r w:rsidR="00013091">
        <w:rPr>
          <w:noProof/>
          <w:color w:val="000000"/>
          <w:sz w:val="22"/>
          <w:szCs w:val="22"/>
        </w:rPr>
        <w:t>(Sundberg, 2011:322</w:t>
      </w:r>
      <w:r w:rsidRPr="009730F5">
        <w:rPr>
          <w:noProof/>
          <w:color w:val="000000"/>
          <w:sz w:val="22"/>
          <w:szCs w:val="22"/>
        </w:rPr>
        <w:t>)</w:t>
      </w:r>
      <w:r w:rsidRPr="009730F5">
        <w:rPr>
          <w:color w:val="000000"/>
          <w:sz w:val="22"/>
          <w:szCs w:val="22"/>
        </w:rPr>
        <w:fldChar w:fldCharType="end"/>
      </w:r>
      <w:r w:rsidRPr="009730F5">
        <w:rPr>
          <w:color w:val="000000"/>
          <w:sz w:val="22"/>
          <w:szCs w:val="22"/>
        </w:rPr>
        <w:t xml:space="preserve"> of even a single caviar egg, have macropolitical</w:t>
      </w:r>
      <w:r w:rsidR="00F76650">
        <w:rPr>
          <w:color w:val="000000"/>
          <w:sz w:val="22"/>
          <w:szCs w:val="22"/>
        </w:rPr>
        <w:t xml:space="preserve"> </w:t>
      </w:r>
      <w:r w:rsidRPr="009730F5">
        <w:rPr>
          <w:color w:val="000000"/>
          <w:sz w:val="22"/>
          <w:szCs w:val="22"/>
        </w:rPr>
        <w:t xml:space="preserve">impacts: in this case playing a formative role in establishing an international grey caviar market. </w:t>
      </w:r>
    </w:p>
    <w:p w14:paraId="275B27E6" w14:textId="0860EE43" w:rsidR="00DC2516" w:rsidRPr="009730F5" w:rsidRDefault="00F76650" w:rsidP="00FC70E0">
      <w:pPr>
        <w:pStyle w:val="NormalWeb"/>
        <w:spacing w:before="0" w:beforeAutospacing="0" w:after="160" w:afterAutospacing="0" w:line="360" w:lineRule="auto"/>
        <w:jc w:val="both"/>
        <w:rPr>
          <w:color w:val="000000"/>
          <w:sz w:val="22"/>
          <w:szCs w:val="22"/>
        </w:rPr>
      </w:pPr>
      <w:r>
        <w:rPr>
          <w:color w:val="000000"/>
          <w:sz w:val="22"/>
          <w:szCs w:val="22"/>
        </w:rPr>
        <w:tab/>
        <w:t xml:space="preserve">The arguments </w:t>
      </w:r>
      <w:r w:rsidR="00B97063" w:rsidRPr="009730F5">
        <w:rPr>
          <w:color w:val="000000"/>
          <w:sz w:val="22"/>
          <w:szCs w:val="22"/>
        </w:rPr>
        <w:t>I</w:t>
      </w:r>
      <w:r>
        <w:rPr>
          <w:color w:val="000000"/>
          <w:sz w:val="22"/>
          <w:szCs w:val="22"/>
        </w:rPr>
        <w:t xml:space="preserve"> make in this chapter, foreground </w:t>
      </w:r>
      <w:r w:rsidR="00B97063" w:rsidRPr="009730F5">
        <w:rPr>
          <w:color w:val="000000"/>
          <w:sz w:val="22"/>
          <w:szCs w:val="22"/>
        </w:rPr>
        <w:t>caviar as part of the more-than-human assemblage of actors and forces that co-produce the ‘grey’ caviar market. </w:t>
      </w:r>
      <w:r>
        <w:rPr>
          <w:color w:val="000000"/>
          <w:sz w:val="22"/>
          <w:szCs w:val="22"/>
        </w:rPr>
        <w:t xml:space="preserve">This line of argument </w:t>
      </w:r>
      <w:r w:rsidR="000D67AD">
        <w:rPr>
          <w:color w:val="000000"/>
          <w:sz w:val="22"/>
          <w:szCs w:val="22"/>
        </w:rPr>
        <w:t>brings together and directly</w:t>
      </w:r>
      <w:r w:rsidR="00013091">
        <w:rPr>
          <w:color w:val="000000"/>
          <w:sz w:val="22"/>
          <w:szCs w:val="22"/>
        </w:rPr>
        <w:t xml:space="preserve"> </w:t>
      </w:r>
      <w:r w:rsidR="000D67AD">
        <w:rPr>
          <w:color w:val="000000"/>
          <w:sz w:val="22"/>
          <w:szCs w:val="22"/>
        </w:rPr>
        <w:t>builds upon</w:t>
      </w:r>
      <w:r w:rsidR="00013091">
        <w:rPr>
          <w:color w:val="000000"/>
          <w:sz w:val="22"/>
          <w:szCs w:val="22"/>
        </w:rPr>
        <w:t xml:space="preserve"> work on the </w:t>
      </w:r>
      <w:r w:rsidR="000D67AD">
        <w:rPr>
          <w:color w:val="000000"/>
          <w:sz w:val="22"/>
          <w:szCs w:val="22"/>
        </w:rPr>
        <w:t>(</w:t>
      </w:r>
      <w:r w:rsidR="00013091">
        <w:rPr>
          <w:color w:val="000000"/>
          <w:sz w:val="22"/>
          <w:szCs w:val="22"/>
        </w:rPr>
        <w:t>geo</w:t>
      </w:r>
      <w:r w:rsidR="000D67AD">
        <w:rPr>
          <w:color w:val="000000"/>
          <w:sz w:val="22"/>
          <w:szCs w:val="22"/>
        </w:rPr>
        <w:t>)</w:t>
      </w:r>
      <w:r w:rsidR="00013091">
        <w:rPr>
          <w:color w:val="000000"/>
          <w:sz w:val="22"/>
          <w:szCs w:val="22"/>
        </w:rPr>
        <w:t xml:space="preserve">political-ecologies of matter discussed in chapter two </w:t>
      </w:r>
      <w:r w:rsidR="000D67AD">
        <w:rPr>
          <w:color w:val="000000"/>
          <w:sz w:val="22"/>
          <w:szCs w:val="22"/>
        </w:rPr>
        <w:fldChar w:fldCharType="begin" w:fldLock="1"/>
      </w:r>
      <w:r w:rsidR="007E3EA0">
        <w:rPr>
          <w:color w:val="000000"/>
          <w:sz w:val="22"/>
          <w:szCs w:val="22"/>
        </w:rPr>
        <w:instrText>ADDIN CSL_CITATION {"citationItems":[{"id":"ITEM-1","itemData":{"ISBN":"9780822346197","abstract":"\"In Vibrant Matter the political theorist Jane Bennett, renowned for her work on nature, ethics, and affect, shifts her focus from the human experience of things to things themselves. Bennett argues that political theory needs to do a better job of recognizing the active participation of nonhuman forces in events. Toward that end, she theorizes a \"vital materiality\" that runs through and across bodies, both human and nonhuman. Bennett explores how political analyses of public events might change were we to acknowledge that agency always emerges as the effect of ad hoc configurations of human and nonhuman forces. She suggests that recognizing that agency is distributed this way, and is not solely the province of humans, might spur the cultivation of a more responsible, ecologically sound politics: a politics less devoted to blaming and condemning individuals than to discerning the web of forces affecting situations and events. Bennett examines the political and theoretical implications of vital materialism through extended discussions of commonplace things and physical phenomena including stem cells, fish oils, electricity, metal, and trash. She reflects on the vital power of material formations such as landfills, which generate lively streams of chemicals, and omega-3 fatty acids, which can transform brain chemistry and mood. Along the way, she engages with the concepts and claims of Spinoza, Nietzsche, Thoreau, Darwin, Adorno, and Deleuze, disclosing a long history of thinking about vibrant matter in Western philosophy, including attempts by Kant, Bergson, and the embryologist Hans Driesch to name the \"vital force\" inherent in material forms. Bennett concludes by sketching the contours of a \"green materialist\" ecophilosophy\"--Publisher's description. The force of things -- The agency of assemblages -- Edible matter -- A life of metal -- Neither vitalism nor mechanism -- Stem cells and the culture of life -- Political ecologies -- Vitality and self-interest.","author":[{"dropping-particle":"","family":"Bennett","given":"Jane","non-dropping-particle":"","parse-names":false,"suffix":""}],"id":"ITEM-1","issued":{"date-parts":[["2010"]]},"number-of-pages":"176","publisher":"Duke University Press","title":"Vibrant matter : a political ecology of things","type":"book"},"uris":["http://www.mendeley.com/documents/?uuid=35ecb90a-8a04-3a40-8502-6782630bb72f"]},{"id":"ITEM-2","itemData":{"DOI":"10.1080/14788810.2019.1666646","ISSN":"1478-8810","author":[{"dropping-particle":"","family":"Banoub","given":"Daniel","non-dropping-particle":"","parse-names":false,"suffix":""}],"container-title":"Atlantic Studies","id":"ITEM-2","issued":{"date-parts":[["2019"]]},"page":"1-17","title":"Black Monday, 1894: Saltfish, credit, and the ecology of politics in Newfoundland","type":"article-journal"},"uris":["http://www.mendeley.com/documents/?uuid=50e3ac86-1506-3352-8641-1ee4668ef9ad"]},{"id":"ITEM-3","itemData":{"DOI":"10.1068/a46138","ISSN":"0308-518X","abstract":"Political ecology has had a long connection with materials, going back to some of its canonical concerns. Yet materials are rendered inert with no capacity to mobilize political action. Further, the influence of matter in wider ecologies of human–animal cohabitation is poorly acknowledged. This paper examines the role of materials in mediating people's relationships with elephants in rural northeast India. Drawing upon ethnographic research and ethological studies of elephants, the paper shows that human–elephant conflict is not simply a linear outcome of interactions between elephants and people. Materials, in this case alcohol, play a vital role. Alcohol binds people and elephants in unforeseen ways. The sociopolitical outcomes alcohol generates have deep impacts on the livelihoods of the rural poor and the well-being of elephants. This examination of social and political life through concerted interactions between humans, animals, and materials ecologizes politics, making it more attuned to the more-th...","author":[{"dropping-particle":"","family":"Barua","given":"Maan","non-dropping-particle":"","parse-names":false,"suffix":""}],"container-title":"Environment and Planning A","id":"ITEM-3","issue":"6","issued":{"date-parts":[["2014","6","1"]]},"page":"1462-1478","publisher":"SAGE PublicationsSage UK: London, England","title":"Volatile Ecologies: Towards a Material Politics of Human—Animal Relations","type":"article-journal","volume":"46"},"uris":["http://www.mendeley.com/documents/?uuid=41624c7b-45fc-3cee-a577-8fddf0d65969"]},{"id":"ITEM-4","itemData":{"DOI":"10.1080/14650045.2010.493777","ISSN":"1557-3028","author":[{"dropping-particle":"","family":"Rossiter","given":"David A","non-dropping-particle":"","parse-names":false,"suffix":""}],"container-title":"Geopolitics","id":"ITEM-4","issue":"1","issued":{"date-parts":[["2011"]]},"page":"107-120","title":"Leave the Lemons at Home: Towards a Political Ecology of Border Space","type":"article-journal","volume":"16"},"uris":["http://www.mendeley.com/documents/?uuid=7caf6e1e-92bb-30d9-b103-620c383fba89"]},{"id":"ITEM-5","itemData":{"DOI":"10.1108/S2040-726220180000019003","ISSN":"20407270","abstract":"In this chapter, the authors use emerging works on geopolitical ecologies to analyze the relations between tourism and the transboundary haze disaster in northern Thailand. The region’s ‘smoky season’, which occurs between February and April of each year, has become a recurring seasonal haze disaster that is reported to be the combined result of biomass burning and urban air pollution. Drawing on ethnographic research among urban tourism practitioners, as well as a critical discourse analysis of popular and social media reports and commentaries, the authors argue that geopolitical discourses of transboundary haze production are shaped by tourists and the tourism industry in ways that perpetuate inequitably distributed disaster risk. Transboundary haze, the authors further contend, has become an ecological actor that co-produces discourses of escape among mobile tourists and residents. This research contributes to emerging work that conceptualises the geopolitical ecologies of transboundary environmental disasters in relation to tourism mobilities in southeast Asia.","author":[{"dropping-particle":"","family":"Mostafanezhad","given":"Mary","non-dropping-particle":"","parse-names":false,"suffix":""},{"dropping-particle":"","family":"Evrard","given":"Olivier","non-dropping-particle":"","parse-names":false,"suffix":""}],"container-title":"Community, Environment and Disaster Risk Management","id":"ITEM-5","issued":{"date-parts":[["2018"]]},"page":"53-66","title":"Geopolitical ecologies of tourism and the transboundary haze disaster in thailand, laos and myanmar","type":"article-journal","volume":"19"},"uris":["http://www.mendeley.com/documents/?uuid=7d5c13a3-7f67-49c4-a67e-ea944b8e28c4"]}],"mendeley":{"formattedCitation":"(Bennett, 2010; Rossiter, 2011; Barua, 2014; Mostafanezhad and Evrard, 2018; Banoub, 2019)","plainTextFormattedCitation":"(Bennett, 2010; Rossiter, 2011; Barua, 2014; Mostafanezhad and Evrard, 2018; Banoub, 2019)","previouslyFormattedCitation":"(Bennett, 2010; Rossiter, 2011; Barua, 2014; Mostafanezhad and Evrard, 2018; Banoub, 2019)"},"properties":{"noteIndex":0},"schema":"https://github.com/citation-style-language/schema/raw/master/csl-citation.json"}</w:instrText>
      </w:r>
      <w:r w:rsidR="000D67AD">
        <w:rPr>
          <w:color w:val="000000"/>
          <w:sz w:val="22"/>
          <w:szCs w:val="22"/>
        </w:rPr>
        <w:fldChar w:fldCharType="separate"/>
      </w:r>
      <w:r w:rsidR="000D67AD" w:rsidRPr="000D67AD">
        <w:rPr>
          <w:noProof/>
          <w:color w:val="000000"/>
          <w:sz w:val="22"/>
          <w:szCs w:val="22"/>
        </w:rPr>
        <w:t>(Bennett, 2010; Rossiter, 2011; Barua, 2014; Mostafanezhad and Evrard, 2018; Banoub, 2019)</w:t>
      </w:r>
      <w:r w:rsidR="000D67AD">
        <w:rPr>
          <w:color w:val="000000"/>
          <w:sz w:val="22"/>
          <w:szCs w:val="22"/>
        </w:rPr>
        <w:fldChar w:fldCharType="end"/>
      </w:r>
      <w:r w:rsidR="000D67AD">
        <w:rPr>
          <w:color w:val="000000"/>
          <w:sz w:val="22"/>
          <w:szCs w:val="22"/>
        </w:rPr>
        <w:t xml:space="preserve">. Such work </w:t>
      </w:r>
      <w:r w:rsidR="009A6C83">
        <w:rPr>
          <w:color w:val="000000"/>
          <w:sz w:val="22"/>
          <w:szCs w:val="22"/>
        </w:rPr>
        <w:t>conceptualises</w:t>
      </w:r>
      <w:r w:rsidR="000D67AD">
        <w:rPr>
          <w:color w:val="000000"/>
          <w:sz w:val="22"/>
          <w:szCs w:val="22"/>
        </w:rPr>
        <w:t xml:space="preserve"> how nonhuman material things are </w:t>
      </w:r>
      <w:r w:rsidR="000D67AD" w:rsidRPr="009730F5">
        <w:rPr>
          <w:color w:val="000000"/>
          <w:sz w:val="22"/>
          <w:szCs w:val="22"/>
        </w:rPr>
        <w:t xml:space="preserve">“co-constitutive of their sites, geographies and spaces” </w:t>
      </w:r>
      <w:r w:rsidR="000D67AD" w:rsidRPr="009730F5">
        <w:rPr>
          <w:color w:val="000000"/>
          <w:sz w:val="22"/>
          <w:szCs w:val="22"/>
        </w:rPr>
        <w:fldChar w:fldCharType="begin" w:fldLock="1"/>
      </w:r>
      <w:r w:rsidR="000D67AD" w:rsidRPr="009730F5">
        <w:rPr>
          <w:color w:val="000000"/>
          <w:sz w:val="22"/>
          <w:szCs w:val="22"/>
        </w:rPr>
        <w:instrText>ADDIN CSL_CITATION {"citationItems":[{"id":"ITEM-1","itemData":{"DOI":"10.1177/0309132512439154","ISSN":"03091325","abstract":"The doing of material geographies within the subdiscipline of cultural geography has been inspired by Jane Bennett’s (2010) account of Vibrant Matter. This review follows the various trajectories in recently published research in the field of material geographies and argues that scholars should aim to embrace the call of matter to think politically and beyond the surface. The review argues that there is a risk of doing ‘surface geographies’ where research reflects matters at play rather than evaluate the interconnectivity and co-constitution of materialities and their geographies.","author":[{"dropping-particle":"","family":"Tolia-Kelly","given":"Divya P.","non-dropping-particle":"","parse-names":false,"suffix":""}],"container-title":"Progress in Human Geography","id":"ITEM-1","issue":"1","issued":{"date-parts":[["2013"]]},"page":"153-160","title":"The geographies of cultural geography III: Material geographies, vibrant matters and risking surface geographies","type":"article-journal","volume":"37"},"uris":["http://www.mendeley.com/documents/?uuid=ab52d5a8-1d4d-3717-b25e-0a4a13cd3b5e"]}],"mendeley":{"formattedCitation":"(Tolia-Kelly, 2013)","manualFormatting":"(Tolia-Kelly, 2013:154)","plainTextFormattedCitation":"(Tolia-Kelly, 2013)","previouslyFormattedCitation":"(Tolia-Kelly, 2013)"},"properties":{"noteIndex":0},"schema":"https://github.com/citation-style-language/schema/raw/master/csl-citation.json"}</w:instrText>
      </w:r>
      <w:r w:rsidR="000D67AD" w:rsidRPr="009730F5">
        <w:rPr>
          <w:color w:val="000000"/>
          <w:sz w:val="22"/>
          <w:szCs w:val="22"/>
        </w:rPr>
        <w:fldChar w:fldCharType="separate"/>
      </w:r>
      <w:r w:rsidR="000D67AD" w:rsidRPr="009730F5">
        <w:rPr>
          <w:noProof/>
          <w:color w:val="000000"/>
          <w:sz w:val="22"/>
          <w:szCs w:val="22"/>
        </w:rPr>
        <w:t>(Tolia-Kelly, 2013:154)</w:t>
      </w:r>
      <w:r w:rsidR="000D67AD" w:rsidRPr="009730F5">
        <w:rPr>
          <w:color w:val="000000"/>
          <w:sz w:val="22"/>
          <w:szCs w:val="22"/>
        </w:rPr>
        <w:fldChar w:fldCharType="end"/>
      </w:r>
      <w:r w:rsidR="000D67AD">
        <w:rPr>
          <w:color w:val="000000"/>
          <w:sz w:val="22"/>
          <w:szCs w:val="22"/>
        </w:rPr>
        <w:t xml:space="preserve">. </w:t>
      </w:r>
      <w:r w:rsidR="00DC2516">
        <w:rPr>
          <w:color w:val="000000"/>
          <w:sz w:val="22"/>
          <w:szCs w:val="22"/>
        </w:rPr>
        <w:t xml:space="preserve">To this extent, I deploy the framework of more-than-human geopolitical ecology to </w:t>
      </w:r>
      <w:r w:rsidR="009A6C83">
        <w:rPr>
          <w:color w:val="000000"/>
          <w:sz w:val="22"/>
          <w:szCs w:val="22"/>
        </w:rPr>
        <w:t>position caviar as a geopolitical actor</w:t>
      </w:r>
      <w:r w:rsidR="00C40394">
        <w:rPr>
          <w:color w:val="000000"/>
          <w:sz w:val="22"/>
          <w:szCs w:val="22"/>
        </w:rPr>
        <w:t xml:space="preserve"> that shapes</w:t>
      </w:r>
      <w:r w:rsidR="008058C5">
        <w:rPr>
          <w:color w:val="000000"/>
          <w:sz w:val="22"/>
          <w:szCs w:val="22"/>
        </w:rPr>
        <w:t xml:space="preserve"> </w:t>
      </w:r>
      <w:r w:rsidR="00232F22">
        <w:rPr>
          <w:color w:val="000000"/>
          <w:sz w:val="22"/>
          <w:szCs w:val="22"/>
        </w:rPr>
        <w:t>the broader implications</w:t>
      </w:r>
      <w:r w:rsidR="00C40394">
        <w:rPr>
          <w:color w:val="000000"/>
          <w:sz w:val="22"/>
          <w:szCs w:val="22"/>
        </w:rPr>
        <w:t xml:space="preserve"> of the caviar trade regulations in the EU</w:t>
      </w:r>
      <w:r w:rsidR="009A6C83">
        <w:rPr>
          <w:color w:val="000000"/>
          <w:sz w:val="22"/>
          <w:szCs w:val="22"/>
        </w:rPr>
        <w:t xml:space="preserve">. I examine how caviar as a </w:t>
      </w:r>
      <w:r w:rsidR="00DC2516">
        <w:rPr>
          <w:color w:val="000000"/>
          <w:sz w:val="22"/>
          <w:szCs w:val="22"/>
        </w:rPr>
        <w:t>material, is “live, active, agent</w:t>
      </w:r>
      <w:r w:rsidR="009A6C83">
        <w:rPr>
          <w:color w:val="000000"/>
          <w:sz w:val="22"/>
          <w:szCs w:val="22"/>
        </w:rPr>
        <w:t>ic and powerful” (ibid); and I explain how</w:t>
      </w:r>
      <w:r w:rsidR="00C40394">
        <w:rPr>
          <w:color w:val="000000"/>
          <w:sz w:val="22"/>
          <w:szCs w:val="22"/>
        </w:rPr>
        <w:t xml:space="preserve"> the</w:t>
      </w:r>
      <w:r w:rsidR="00DC2516">
        <w:rPr>
          <w:color w:val="000000"/>
          <w:sz w:val="22"/>
          <w:szCs w:val="22"/>
        </w:rPr>
        <w:t xml:space="preserve"> material properties</w:t>
      </w:r>
      <w:r w:rsidR="00C40394">
        <w:rPr>
          <w:color w:val="000000"/>
          <w:sz w:val="22"/>
          <w:szCs w:val="22"/>
        </w:rPr>
        <w:t xml:space="preserve"> of caviar</w:t>
      </w:r>
      <w:r w:rsidR="00DC2516">
        <w:rPr>
          <w:color w:val="000000"/>
          <w:sz w:val="22"/>
          <w:szCs w:val="22"/>
        </w:rPr>
        <w:t xml:space="preserve"> </w:t>
      </w:r>
      <w:r w:rsidR="009A6C83">
        <w:rPr>
          <w:color w:val="000000"/>
          <w:sz w:val="22"/>
          <w:szCs w:val="22"/>
        </w:rPr>
        <w:t>disrupt the efforts made by the EU to c</w:t>
      </w:r>
      <w:r w:rsidR="00C40394">
        <w:rPr>
          <w:color w:val="000000"/>
          <w:sz w:val="22"/>
          <w:szCs w:val="22"/>
        </w:rPr>
        <w:t>ontrol the ecologies of illegal caviar trade</w:t>
      </w:r>
      <w:r w:rsidR="009A6C83">
        <w:rPr>
          <w:color w:val="000000"/>
          <w:sz w:val="22"/>
          <w:szCs w:val="22"/>
        </w:rPr>
        <w:t xml:space="preserve">. </w:t>
      </w:r>
      <w:r w:rsidR="00DC2516">
        <w:rPr>
          <w:color w:val="000000"/>
          <w:sz w:val="22"/>
          <w:szCs w:val="22"/>
        </w:rPr>
        <w:t>I</w:t>
      </w:r>
      <w:r w:rsidR="00C40394">
        <w:rPr>
          <w:color w:val="000000"/>
          <w:sz w:val="22"/>
          <w:szCs w:val="22"/>
        </w:rPr>
        <w:t>n sum, I</w:t>
      </w:r>
      <w:r w:rsidR="00DC2516">
        <w:rPr>
          <w:color w:val="000000"/>
          <w:sz w:val="22"/>
          <w:szCs w:val="22"/>
        </w:rPr>
        <w:t xml:space="preserve"> ask </w:t>
      </w:r>
      <w:r w:rsidR="000D67AD">
        <w:rPr>
          <w:color w:val="000000"/>
          <w:sz w:val="22"/>
          <w:szCs w:val="22"/>
        </w:rPr>
        <w:t xml:space="preserve">in line with Maan Barua: </w:t>
      </w:r>
      <w:r w:rsidR="000D67AD" w:rsidRPr="009730F5">
        <w:rPr>
          <w:color w:val="000000"/>
          <w:sz w:val="22"/>
          <w:szCs w:val="22"/>
        </w:rPr>
        <w:t xml:space="preserve">how would our understanding of the </w:t>
      </w:r>
      <w:r w:rsidR="000D67AD" w:rsidRPr="009730F5">
        <w:rPr>
          <w:i/>
          <w:iCs/>
          <w:color w:val="000000"/>
          <w:sz w:val="22"/>
          <w:szCs w:val="22"/>
        </w:rPr>
        <w:t>geo</w:t>
      </w:r>
      <w:r w:rsidR="000D67AD" w:rsidRPr="009730F5">
        <w:rPr>
          <w:color w:val="000000"/>
          <w:sz w:val="22"/>
          <w:szCs w:val="22"/>
        </w:rPr>
        <w:t>political-ecology of caviar trade</w:t>
      </w:r>
      <w:r w:rsidR="00DC2516">
        <w:rPr>
          <w:color w:val="000000"/>
          <w:sz w:val="22"/>
          <w:szCs w:val="22"/>
        </w:rPr>
        <w:t xml:space="preserve"> regulations</w:t>
      </w:r>
      <w:r w:rsidR="000D67AD" w:rsidRPr="009730F5">
        <w:rPr>
          <w:color w:val="000000"/>
          <w:sz w:val="22"/>
          <w:szCs w:val="22"/>
        </w:rPr>
        <w:t xml:space="preserve"> in the EU “unfold if we seriously considered the role of materials in mediating social and ecological outcomes?” (2014:1463).</w:t>
      </w:r>
    </w:p>
    <w:p w14:paraId="6D3179BA" w14:textId="1B9FA3E4" w:rsidR="00B97063" w:rsidRPr="009730F5" w:rsidRDefault="00B97063" w:rsidP="00FC70E0">
      <w:pPr>
        <w:pStyle w:val="NormalWeb"/>
        <w:spacing w:before="0" w:beforeAutospacing="0" w:after="160" w:afterAutospacing="0" w:line="360" w:lineRule="auto"/>
        <w:jc w:val="both"/>
        <w:rPr>
          <w:color w:val="000000"/>
          <w:sz w:val="22"/>
          <w:szCs w:val="22"/>
        </w:rPr>
      </w:pPr>
      <w:r w:rsidRPr="009730F5">
        <w:rPr>
          <w:color w:val="000000"/>
          <w:sz w:val="22"/>
          <w:szCs w:val="22"/>
        </w:rPr>
        <w:tab/>
        <w:t xml:space="preserve">The main argument of the thesis </w:t>
      </w:r>
      <w:r>
        <w:rPr>
          <w:color w:val="000000"/>
          <w:sz w:val="22"/>
          <w:szCs w:val="22"/>
        </w:rPr>
        <w:t>is t</w:t>
      </w:r>
      <w:r w:rsidRPr="009730F5">
        <w:rPr>
          <w:color w:val="000000"/>
          <w:sz w:val="22"/>
          <w:szCs w:val="22"/>
        </w:rPr>
        <w:t xml:space="preserve">hat regulations designed to prevent illegal caviar trade in the European Union have gaps and grey areas that have not totally prevented illegal trade, and have instead produced (unintended) geopolitical-ecological impacts. In line with this, I illustrate in this chapter how allowing one form of trade in caviar, but not another, creates </w:t>
      </w:r>
      <w:r>
        <w:rPr>
          <w:color w:val="000000"/>
          <w:sz w:val="22"/>
          <w:szCs w:val="22"/>
        </w:rPr>
        <w:t xml:space="preserve">regulatory </w:t>
      </w:r>
      <w:r w:rsidRPr="009730F5">
        <w:rPr>
          <w:color w:val="000000"/>
          <w:sz w:val="22"/>
          <w:szCs w:val="22"/>
        </w:rPr>
        <w:t xml:space="preserve">loopholes for illicit activity. </w:t>
      </w:r>
      <w:r>
        <w:rPr>
          <w:color w:val="000000"/>
          <w:sz w:val="22"/>
          <w:szCs w:val="22"/>
        </w:rPr>
        <w:t xml:space="preserve">I </w:t>
      </w:r>
      <w:r w:rsidR="00232F22">
        <w:rPr>
          <w:color w:val="000000"/>
          <w:sz w:val="22"/>
          <w:szCs w:val="22"/>
        </w:rPr>
        <w:t>explain how these emergent</w:t>
      </w:r>
      <w:r w:rsidRPr="009730F5">
        <w:rPr>
          <w:color w:val="000000"/>
          <w:sz w:val="22"/>
          <w:szCs w:val="22"/>
        </w:rPr>
        <w:t xml:space="preserve"> forms of illicit caviar trade </w:t>
      </w:r>
      <w:r w:rsidR="008058C5">
        <w:rPr>
          <w:color w:val="000000"/>
          <w:sz w:val="22"/>
          <w:szCs w:val="22"/>
        </w:rPr>
        <w:t xml:space="preserve">employ </w:t>
      </w:r>
      <w:r w:rsidRPr="009730F5">
        <w:rPr>
          <w:color w:val="000000"/>
          <w:sz w:val="22"/>
          <w:szCs w:val="22"/>
        </w:rPr>
        <w:t>the complex material properties of caviar in order to go undetected. As such, there are mac</w:t>
      </w:r>
      <w:r>
        <w:rPr>
          <w:color w:val="000000"/>
          <w:sz w:val="22"/>
          <w:szCs w:val="22"/>
        </w:rPr>
        <w:t>ropolitical impacts, whereby a grey</w:t>
      </w:r>
      <w:r w:rsidRPr="009730F5">
        <w:rPr>
          <w:color w:val="000000"/>
          <w:sz w:val="22"/>
          <w:szCs w:val="22"/>
        </w:rPr>
        <w:t xml:space="preserve"> caviar market has been brought into being</w:t>
      </w:r>
      <w:r w:rsidR="008058C5">
        <w:rPr>
          <w:color w:val="000000"/>
          <w:sz w:val="22"/>
          <w:szCs w:val="22"/>
        </w:rPr>
        <w:t xml:space="preserve"> in the EU,</w:t>
      </w:r>
      <w:r w:rsidRPr="009730F5">
        <w:rPr>
          <w:color w:val="000000"/>
          <w:sz w:val="22"/>
          <w:szCs w:val="22"/>
        </w:rPr>
        <w:t xml:space="preserve"> via the interp</w:t>
      </w:r>
      <w:r w:rsidR="008058C5">
        <w:rPr>
          <w:color w:val="000000"/>
          <w:sz w:val="22"/>
          <w:szCs w:val="22"/>
        </w:rPr>
        <w:t>lay of loopholes in regulations</w:t>
      </w:r>
      <w:r w:rsidRPr="009730F5">
        <w:rPr>
          <w:color w:val="000000"/>
          <w:sz w:val="22"/>
          <w:szCs w:val="22"/>
        </w:rPr>
        <w:t xml:space="preserve"> and the ‘unknowable’ material properties of caviar. In sum, the chapter takes seriously the vital</w:t>
      </w:r>
      <w:r>
        <w:rPr>
          <w:color w:val="000000"/>
          <w:sz w:val="22"/>
          <w:szCs w:val="22"/>
        </w:rPr>
        <w:t xml:space="preserve"> material properties of caviar in order to theorise and explain the emergence of a caviar grey market, whilst positioning this as part of the geopolitical-ecological im</w:t>
      </w:r>
      <w:r w:rsidR="00232F22">
        <w:rPr>
          <w:color w:val="000000"/>
          <w:sz w:val="22"/>
          <w:szCs w:val="22"/>
        </w:rPr>
        <w:t>plications</w:t>
      </w:r>
      <w:r>
        <w:rPr>
          <w:color w:val="000000"/>
          <w:sz w:val="22"/>
          <w:szCs w:val="22"/>
        </w:rPr>
        <w:t xml:space="preserve"> of the </w:t>
      </w:r>
      <w:r w:rsidR="00232F22">
        <w:rPr>
          <w:color w:val="000000"/>
          <w:sz w:val="22"/>
          <w:szCs w:val="22"/>
        </w:rPr>
        <w:t xml:space="preserve">EU </w:t>
      </w:r>
      <w:r>
        <w:rPr>
          <w:color w:val="000000"/>
          <w:sz w:val="22"/>
          <w:szCs w:val="22"/>
        </w:rPr>
        <w:t xml:space="preserve">caviar trade regulations. </w:t>
      </w:r>
    </w:p>
    <w:p w14:paraId="3F481019" w14:textId="18CAD2AD" w:rsidR="00C40394" w:rsidRDefault="00B97063" w:rsidP="00FC70E0">
      <w:pPr>
        <w:rPr>
          <w:rFonts w:cs="Times New Roman"/>
          <w:color w:val="000000"/>
          <w:sz w:val="22"/>
        </w:rPr>
      </w:pPr>
      <w:r w:rsidRPr="009730F5">
        <w:rPr>
          <w:rFonts w:cs="Times New Roman"/>
          <w:color w:val="000000"/>
          <w:sz w:val="22"/>
        </w:rPr>
        <w:tab/>
      </w:r>
      <w:r>
        <w:rPr>
          <w:rFonts w:cs="Times New Roman"/>
          <w:color w:val="000000"/>
          <w:sz w:val="22"/>
        </w:rPr>
        <w:t xml:space="preserve">In section 5.1 I </w:t>
      </w:r>
      <w:r w:rsidRPr="009730F5">
        <w:rPr>
          <w:rFonts w:cs="Times New Roman"/>
          <w:color w:val="000000"/>
          <w:sz w:val="22"/>
        </w:rPr>
        <w:t xml:space="preserve">first examine the complex materiality of caviar and develop the argument that caviar is materially ‘unknowable’. In </w:t>
      </w:r>
      <w:r>
        <w:rPr>
          <w:rFonts w:cs="Times New Roman"/>
          <w:color w:val="000000"/>
          <w:sz w:val="22"/>
        </w:rPr>
        <w:t xml:space="preserve">section 5.2 </w:t>
      </w:r>
      <w:r w:rsidR="00232F22">
        <w:rPr>
          <w:rFonts w:cs="Times New Roman"/>
          <w:color w:val="000000"/>
          <w:sz w:val="22"/>
        </w:rPr>
        <w:t>I examine how the ‘unknowable’</w:t>
      </w:r>
      <w:r w:rsidRPr="009730F5">
        <w:rPr>
          <w:rFonts w:cs="Times New Roman"/>
          <w:color w:val="000000"/>
          <w:sz w:val="22"/>
        </w:rPr>
        <w:t xml:space="preserve"> material properties of caviar</w:t>
      </w:r>
      <w:r w:rsidR="00232F22">
        <w:rPr>
          <w:rFonts w:cs="Times New Roman"/>
          <w:color w:val="000000"/>
          <w:sz w:val="22"/>
        </w:rPr>
        <w:t xml:space="preserve"> have</w:t>
      </w:r>
      <w:r w:rsidRPr="009730F5">
        <w:rPr>
          <w:rFonts w:cs="Times New Roman"/>
          <w:color w:val="000000"/>
          <w:sz w:val="22"/>
        </w:rPr>
        <w:t xml:space="preserve"> been pivotal in producing new forms of illicit caviar trade. </w:t>
      </w:r>
      <w:r>
        <w:rPr>
          <w:rFonts w:cs="Times New Roman"/>
          <w:color w:val="000000"/>
          <w:sz w:val="22"/>
        </w:rPr>
        <w:t>I argue that t</w:t>
      </w:r>
      <w:r w:rsidRPr="009730F5">
        <w:rPr>
          <w:rFonts w:cs="Times New Roman"/>
          <w:color w:val="000000"/>
          <w:sz w:val="22"/>
        </w:rPr>
        <w:t>hese illicit activities serve to enmesh the legal caviar market with the black market in unexpected wa</w:t>
      </w:r>
      <w:r>
        <w:rPr>
          <w:rFonts w:cs="Times New Roman"/>
          <w:color w:val="000000"/>
          <w:sz w:val="22"/>
        </w:rPr>
        <w:t xml:space="preserve">ys, and ultimately establish a grey </w:t>
      </w:r>
      <w:r w:rsidRPr="009730F5">
        <w:rPr>
          <w:rFonts w:cs="Times New Roman"/>
          <w:color w:val="000000"/>
          <w:sz w:val="22"/>
        </w:rPr>
        <w:t>caviar market. F</w:t>
      </w:r>
      <w:r>
        <w:rPr>
          <w:rFonts w:cs="Times New Roman"/>
          <w:color w:val="000000"/>
          <w:sz w:val="22"/>
        </w:rPr>
        <w:t xml:space="preserve">inally, in section 5.3 I discuss the </w:t>
      </w:r>
      <w:r w:rsidRPr="009730F5">
        <w:rPr>
          <w:rFonts w:cs="Times New Roman"/>
          <w:color w:val="000000"/>
          <w:sz w:val="22"/>
        </w:rPr>
        <w:t>implications of the relationship between caviar materiality</w:t>
      </w:r>
      <w:r>
        <w:rPr>
          <w:rFonts w:cs="Times New Roman"/>
          <w:color w:val="000000"/>
          <w:sz w:val="22"/>
        </w:rPr>
        <w:t xml:space="preserve"> and the grey caviar market, by conceptualising of caviar as an actor in the geopolitical-ecology of the caviar trade in the EU.  </w:t>
      </w:r>
    </w:p>
    <w:p w14:paraId="10EEDCD7" w14:textId="4A9E744F" w:rsidR="00B97063" w:rsidRPr="00C40394" w:rsidRDefault="00B97063" w:rsidP="00FC70E0">
      <w:pPr>
        <w:pStyle w:val="Heading2"/>
        <w:rPr>
          <w:rFonts w:cs="Times New Roman"/>
          <w:color w:val="000000"/>
          <w:sz w:val="22"/>
        </w:rPr>
      </w:pPr>
      <w:bookmarkStart w:id="65" w:name="_Toc453224224"/>
      <w:r w:rsidRPr="00384B53">
        <w:lastRenderedPageBreak/>
        <w:t>5.1 Caviar Materiality</w:t>
      </w:r>
      <w:bookmarkEnd w:id="65"/>
      <w:r w:rsidRPr="00384B53">
        <w:t xml:space="preserve"> </w:t>
      </w:r>
    </w:p>
    <w:p w14:paraId="6BBDB2C6" w14:textId="159A8A4B" w:rsidR="00B97063" w:rsidRPr="009730F5" w:rsidRDefault="00B97063" w:rsidP="00FC70E0">
      <w:pPr>
        <w:rPr>
          <w:rFonts w:cs="Times New Roman"/>
          <w:color w:val="000000"/>
          <w:sz w:val="22"/>
        </w:rPr>
      </w:pPr>
      <w:r w:rsidRPr="009730F5">
        <w:rPr>
          <w:rFonts w:cs="Times New Roman"/>
          <w:color w:val="000000"/>
          <w:sz w:val="22"/>
        </w:rPr>
        <w:t xml:space="preserve">Materiality is the quality of being composed of matter; and a material quality of a thing. The ‘matter’ of a thing refers to both living materials and non-living material. Whilst innumerable forms of matter </w:t>
      </w:r>
      <w:r w:rsidR="00232F22">
        <w:rPr>
          <w:rFonts w:cs="Times New Roman"/>
          <w:color w:val="000000"/>
          <w:sz w:val="22"/>
        </w:rPr>
        <w:t>are</w:t>
      </w:r>
      <w:r w:rsidRPr="009730F5">
        <w:rPr>
          <w:rFonts w:cs="Times New Roman"/>
          <w:color w:val="000000"/>
          <w:sz w:val="22"/>
        </w:rPr>
        <w:t xml:space="preserve"> central to the core concerns of political ecology, for the most-part poli</w:t>
      </w:r>
      <w:r w:rsidR="00C40394">
        <w:rPr>
          <w:rFonts w:cs="Times New Roman"/>
          <w:color w:val="000000"/>
          <w:sz w:val="22"/>
        </w:rPr>
        <w:t>tical ecologists have rendered “</w:t>
      </w:r>
      <w:r w:rsidRPr="009730F5">
        <w:rPr>
          <w:rFonts w:cs="Times New Roman"/>
          <w:color w:val="000000"/>
          <w:sz w:val="22"/>
        </w:rPr>
        <w:t xml:space="preserve">matter inert, reducing it to an inanimate substrate moulded and acted upon by </w:t>
      </w:r>
      <w:r w:rsidR="00C40394">
        <w:rPr>
          <w:rFonts w:cs="Times New Roman"/>
          <w:color w:val="000000"/>
          <w:sz w:val="22"/>
        </w:rPr>
        <w:t>social collectives from without”</w:t>
      </w:r>
      <w:r w:rsidRPr="009730F5">
        <w:rPr>
          <w:rFonts w:cs="Times New Roman"/>
          <w:color w:val="000000"/>
          <w:sz w:val="22"/>
        </w:rPr>
        <w:t xml:space="preserve"> (Barua, 2014: 1464). </w:t>
      </w:r>
      <w:r w:rsidR="007E3EA0">
        <w:rPr>
          <w:rFonts w:cs="Times New Roman"/>
          <w:color w:val="000000"/>
          <w:sz w:val="22"/>
        </w:rPr>
        <w:t>However as discussed in chapter two, a</w:t>
      </w:r>
      <w:r w:rsidR="00C40394">
        <w:rPr>
          <w:rFonts w:cs="Times New Roman"/>
          <w:color w:val="000000"/>
          <w:sz w:val="22"/>
        </w:rPr>
        <w:t xml:space="preserve"> burgeoning body of scholarship </w:t>
      </w:r>
      <w:r w:rsidR="007E3EA0">
        <w:rPr>
          <w:rFonts w:cs="Times New Roman"/>
          <w:color w:val="000000"/>
          <w:sz w:val="22"/>
        </w:rPr>
        <w:t>in both political ecology and to a lesser extent critical geopolitics</w:t>
      </w:r>
      <w:r w:rsidR="002413A2">
        <w:rPr>
          <w:rFonts w:cs="Times New Roman"/>
          <w:color w:val="000000"/>
          <w:sz w:val="22"/>
        </w:rPr>
        <w:t xml:space="preserve"> </w:t>
      </w:r>
      <w:r w:rsidR="002413A2">
        <w:rPr>
          <w:rFonts w:cs="Times New Roman"/>
          <w:color w:val="000000"/>
          <w:sz w:val="22"/>
        </w:rPr>
        <w:fldChar w:fldCharType="begin" w:fldLock="1"/>
      </w:r>
      <w:r w:rsidR="002413A2">
        <w:rPr>
          <w:rFonts w:cs="Times New Roman"/>
          <w:color w:val="000000"/>
          <w:sz w:val="22"/>
        </w:rPr>
        <w:instrText>ADDIN CSL_CITATION {"citationItems":[{"id":"ITEM-1","itemData":{"ISBN":"9780822346197","abstract":"\"In Vibrant Matter the political theorist Jane Bennett, renowned for her work on nature, ethics, and affect, shifts her focus from the human experience of things to things themselves. Bennett argues that political theory needs to do a better job of recognizing the active participation of nonhuman forces in events. Toward that end, she theorizes a \"vital materiality\" that runs through and across bodies, both human and nonhuman. Bennett explores how political analyses of public events might change were we to acknowledge that agency always emerges as the effect of ad hoc configurations of human and nonhuman forces. She suggests that recognizing that agency is distributed this way, and is not solely the province of humans, might spur the cultivation of a more responsible, ecologically sound politics: a politics less devoted to blaming and condemning individuals than to discerning the web of forces affecting situations and events. Bennett examines the political and theoretical implications of vital materialism through extended discussions of commonplace things and physical phenomena including stem cells, fish oils, electricity, metal, and trash. She reflects on the vital power of material formations such as landfills, which generate lively streams of chemicals, and omega-3 fatty acids, which can transform brain chemistry and mood. Along the way, she engages with the concepts and claims of Spinoza, Nietzsche, Thoreau, Darwin, Adorno, and Deleuze, disclosing a long history of thinking about vibrant matter in Western philosophy, including attempts by Kant, Bergson, and the embryologist Hans Driesch to name the \"vital force\" inherent in material forms. Bennett concludes by sketching the contours of a \"green materialist\" ecophilosophy\"--Publisher's description. The force of things -- The agency of assemblages -- Edible matter -- A life of metal -- Neither vitalism nor mechanism -- Stem cells and the culture of life -- Political ecologies -- Vitality and self-interest.","author":[{"dropping-particle":"","family":"Bennett","given":"Jane","non-dropping-particle":"","parse-names":false,"suffix":""}],"id":"ITEM-1","issued":{"date-parts":[["2010"]]},"number-of-pages":"176","publisher":"Duke University Press","title":"Vibrant matter : a political ecology of things","type":"book"},"uris":["http://www.mendeley.com/documents/?uuid=35ecb90a-8a04-3a40-8502-6782630bb72f"]},{"id":"ITEM-2","itemData":{"DOI":"10.1080/14788810.2019.1666646","ISSN":"1478-8810","author":[{"dropping-particle":"","family":"Banoub","given":"Daniel","non-dropping-particle":"","parse-names":false,"suffix":""}],"container-title":"Atlantic Studies","id":"ITEM-2","issued":{"date-parts":[["2019"]]},"page":"1-17","title":"Black Monday, 1894: Saltfish, credit, and the ecology of politics in Newfoundland","type":"article-journal"},"uris":["http://www.mendeley.com/documents/?uuid=50e3ac86-1506-3352-8641-1ee4668ef9ad"]},{"id":"ITEM-3","itemData":{"DOI":"10.1068/a46138","ISSN":"0308-518X","abstract":"Political ecology has had a long connection with materials, going back to some of its canonical concerns. Yet materials are rendered inert with no capacity to mobilize political action. Further, the influence of matter in wider ecologies of human–animal cohabitation is poorly acknowledged. This paper examines the role of materials in mediating people's relationships with elephants in rural northeast India. Drawing upon ethnographic research and ethological studies of elephants, the paper shows that human–elephant conflict is not simply a linear outcome of interactions between elephants and people. Materials, in this case alcohol, play a vital role. Alcohol binds people and elephants in unforeseen ways. The sociopolitical outcomes alcohol generates have deep impacts on the livelihoods of the rural poor and the well-being of elephants. This examination of social and political life through concerted interactions between humans, animals, and materials ecologizes politics, making it more attuned to the more-th...","author":[{"dropping-particle":"","family":"Barua","given":"Maan","non-dropping-particle":"","parse-names":false,"suffix":""}],"container-title":"Environment and Planning A","id":"ITEM-3","issue":"6","issued":{"date-parts":[["2014","6","1"]]},"page":"1462-1478","publisher":"SAGE PublicationsSage UK: London, England","title":"Volatile Ecologies: Towards a Material Politics of Human—Animal Relations","type":"article-journal","volume":"46"},"uris":["http://www.mendeley.com/documents/?uuid=41624c7b-45fc-3cee-a577-8fddf0d65969"]},{"id":"ITEM-4","itemData":{"DOI":"10.1080/00045608.2010.538323","ISSN":"1467-8306","author":[{"dropping-particle":"","family":"Sundberg","given":"Juanita","non-dropping-particle":"","parse-names":false,"suffix":""}],"container-title":"Annals of the Association of American Geographers","id":"ITEM-4","issue":"2","issued":{"date-parts":[["2011"]]},"page":"318-336","title":"Diabolic Caminos in the Desert and Cat Fights on the Río: A Posthumanist Political Ecology of Boundary Enforcement in the United States-Mexico Borderlands","type":"article-journal","volume":"101"},"uris":["http://www.mendeley.com/documents/?uuid=87d9fcca-b3b4-33ea-a05b-75f0deb6179a"]},{"id":"ITEM-5","itemData":{"DOI":"10.1080/14650045.2010.493777","ISSN":"1557-3028","author":[{"dropping-particle":"","family":"Rossiter","given":"David A","non-dropping-particle":"","parse-names":false,"suffix":""}],"container-title":"Geopolitics","id":"ITEM-5","issue":"1","issued":{"date-parts":[["2011"]]},"page":"107-120","title":"Leave the Lemons at Home: Towards a Political Ecology of Border Space","type":"article-journal","volume":"16"},"uris":["http://www.mendeley.com/documents/?uuid=7caf6e1e-92bb-30d9-b103-620c383fba89"]},{"id":"ITEM-6","itemData":{"DOI":"10.1177/1354066117710998","abstract":"This article conceptualizes how infectious microbes create real borders that are not dependent on human meaning making or identity. By territorializing interfaces between contagion and ecology, infectious agents engage in bordering practices by determining where citizens can move around safely, and thereby challenge the bordering practices and biosecurity efforts of nation-states. Based on empirical examples of microbial borders, evidence from the natural sciences, interviews with public health practitioners, and theoretical support from ethnographic encounters with Amazonian ontologies, the conceptualization links the geopolitics of microbial bordering to biodiversity loss and deforestation, and suggests that microbial bordering should prompt acknowledgment of the role humans play in ecological patterns that far exceed human control and meaning making. The concept of microbial borders is relevant to global health and security efforts in general, expands the theoretical agenda for critical border studies, and contributes to the fields of global health security and New Materialism in International Relations by highlighting that international relations include our relations with non-humans, and that how we choose to cohabitate with them has large implications for human security.","author":[{"dropping-particle":"","family":"Plessis","given":"Gitte","non-dropping-particle":"Du","parse-names":false,"suffix":""}],"container-title":"European Journal of International Relations","id":"ITEM-6","issue":"2","issued":{"date-parts":[["2018"]]},"page":"391-413","title":"When pathogens determine the territory: Toward a concept of non-human borders","type":"article-journal","volume":"24"},"uris":["http://www.mendeley.com/documents/?uuid=a39ed2d4-d20a-3b6b-8cf2-0bc58d0261e7"]},{"id":"ITEM-7","itemData":{"DOI":"10.1108/S2040-726220180000019003","ISSN":"20407270","abstract":"In this chapter, the authors use emerging works on geopolitical ecologies to analyze the relations between tourism and the transboundary haze disaster in northern Thailand. The region’s ‘smoky season’, which occurs between February and April of each year, has become a recurring seasonal haze disaster that is reported to be the combined result of biomass burning and urban air pollution. Drawing on ethnographic research among urban tourism practitioners, as well as a critical discourse analysis of popular and social media reports and commentaries, the authors argue that geopolitical discourses of transboundary haze production are shaped by tourists and the tourism industry in ways that perpetuate inequitably distributed disaster risk. Transboundary haze, the authors further contend, has become an ecological actor that co-produces discourses of escape among mobile tourists and residents. This research contributes to emerging work that conceptualises the geopolitical ecologies of transboundary environmental disasters in relation to tourism mobilities in southeast Asia.","author":[{"dropping-particle":"","family":"Mostafanezhad","given":"Mary","non-dropping-particle":"","parse-names":false,"suffix":""},{"dropping-particle":"","family":"Evrard","given":"Olivier","non-dropping-particle":"","parse-names":false,"suffix":""}],"container-title":"Community, Environment and Disaster Risk Management","id":"ITEM-7","issued":{"date-parts":[["2018"]]},"page":"53-66","title":"Geopolitical ecologies of tourism and the transboundary haze disaster in thailand, laos and myanmar","type":"article-journal","volume":"19"},"uris":["http://www.mendeley.com/documents/?uuid=7d5c13a3-7f67-49c4-a67e-ea944b8e28c4"]}],"mendeley":{"formattedCitation":"(Bennett, 2010; Rossiter, 2011; Sundberg, 2011; Barua, 2014; Du Plessis, 2018; Mostafanezhad and Evrard, 2018; Banoub, 2019)","plainTextFormattedCitation":"(Bennett, 2010; Rossiter, 2011; Sundberg, 2011; Barua, 2014; Du Plessis, 2018; Mostafanezhad and Evrard, 2018; Banoub, 2019)","previouslyFormattedCitation":"(Bennett, 2010; Rossiter, 2011; Sundberg, 2011; Barua, 2014; Du Plessis, 2018; Mostafanezhad and Evrard, 2018; Banoub, 2019)"},"properties":{"noteIndex":0},"schema":"https://github.com/citation-style-language/schema/raw/master/csl-citation.json"}</w:instrText>
      </w:r>
      <w:r w:rsidR="002413A2">
        <w:rPr>
          <w:rFonts w:cs="Times New Roman"/>
          <w:color w:val="000000"/>
          <w:sz w:val="22"/>
        </w:rPr>
        <w:fldChar w:fldCharType="separate"/>
      </w:r>
      <w:r w:rsidR="002413A2" w:rsidRPr="007E3EA0">
        <w:rPr>
          <w:rFonts w:cs="Times New Roman"/>
          <w:noProof/>
          <w:color w:val="000000"/>
          <w:sz w:val="22"/>
        </w:rPr>
        <w:t>(Bennett, 2010; Rossiter, 2011; Sundberg, 2011; Barua, 2014; Du Plessis, 2018; Mostafanezhad and Evrard, 2018; Banoub, 2019)</w:t>
      </w:r>
      <w:r w:rsidR="002413A2">
        <w:rPr>
          <w:rFonts w:cs="Times New Roman"/>
          <w:color w:val="000000"/>
          <w:sz w:val="22"/>
        </w:rPr>
        <w:fldChar w:fldCharType="end"/>
      </w:r>
      <w:r w:rsidR="007E3EA0">
        <w:rPr>
          <w:rFonts w:cs="Times New Roman"/>
          <w:color w:val="000000"/>
          <w:sz w:val="22"/>
        </w:rPr>
        <w:t xml:space="preserve">, has enlivened matter and </w:t>
      </w:r>
      <w:r w:rsidR="00917357">
        <w:rPr>
          <w:rFonts w:cs="Times New Roman"/>
          <w:color w:val="000000"/>
          <w:sz w:val="22"/>
        </w:rPr>
        <w:t xml:space="preserve">the materiality of non-humans, to study how materials actively shape relations between humans and non-humans in increasingly political ways. In line with this, I argue that materials are (geo)political; </w:t>
      </w:r>
      <w:r w:rsidRPr="009730F5">
        <w:rPr>
          <w:rFonts w:cs="Times New Roman"/>
          <w:color w:val="000000"/>
          <w:sz w:val="22"/>
        </w:rPr>
        <w:t xml:space="preserve">and any account of the geopolitical-ecology of the caviar trade within the EU, </w:t>
      </w:r>
      <w:r>
        <w:rPr>
          <w:rFonts w:cs="Times New Roman"/>
          <w:color w:val="000000"/>
          <w:sz w:val="22"/>
        </w:rPr>
        <w:t>which does not engage with the ‘</w:t>
      </w:r>
      <w:r w:rsidRPr="009730F5">
        <w:rPr>
          <w:rFonts w:cs="Times New Roman"/>
          <w:color w:val="000000"/>
          <w:sz w:val="22"/>
        </w:rPr>
        <w:t>vi</w:t>
      </w:r>
      <w:r w:rsidR="00917357">
        <w:rPr>
          <w:rFonts w:cs="Times New Roman"/>
          <w:color w:val="000000"/>
          <w:sz w:val="22"/>
        </w:rPr>
        <w:t xml:space="preserve">brant potential’ (Barua, 2014: 1464) </w:t>
      </w:r>
      <w:r w:rsidRPr="009730F5">
        <w:rPr>
          <w:rFonts w:cs="Times New Roman"/>
          <w:color w:val="000000"/>
          <w:sz w:val="22"/>
        </w:rPr>
        <w:t xml:space="preserve">and material nature of caviar itself, would be thoroughly lacking. </w:t>
      </w:r>
    </w:p>
    <w:p w14:paraId="6780530F" w14:textId="1AE21374" w:rsidR="00B97063" w:rsidRPr="009730F5" w:rsidRDefault="00B97063" w:rsidP="00FC70E0">
      <w:pPr>
        <w:ind w:firstLine="720"/>
        <w:rPr>
          <w:rFonts w:cs="Times New Roman"/>
          <w:color w:val="000000"/>
          <w:sz w:val="22"/>
        </w:rPr>
      </w:pPr>
      <w:r w:rsidRPr="009730F5">
        <w:rPr>
          <w:rFonts w:cs="Times New Roman"/>
          <w:color w:val="000000"/>
          <w:sz w:val="22"/>
        </w:rPr>
        <w:t xml:space="preserve">Thus, this chapter responds to Tolia-Kelly’s urge for scholars to “embrace the call of matter to think politically and beyond the surface” (2012: 153). </w:t>
      </w:r>
      <w:r>
        <w:rPr>
          <w:rFonts w:cs="Times New Roman"/>
          <w:color w:val="000000"/>
          <w:sz w:val="22"/>
        </w:rPr>
        <w:t>Those investigating illegal caviar</w:t>
      </w:r>
      <w:r w:rsidR="00917357">
        <w:rPr>
          <w:rFonts w:cs="Times New Roman"/>
          <w:color w:val="000000"/>
          <w:sz w:val="22"/>
        </w:rPr>
        <w:t xml:space="preserve"> trade in the EU, describe how “</w:t>
      </w:r>
      <w:r>
        <w:rPr>
          <w:rFonts w:cs="Times New Roman"/>
          <w:color w:val="000000"/>
          <w:sz w:val="22"/>
        </w:rPr>
        <w:t>whenever we have scratched the surface a little, some strange things appear</w:t>
      </w:r>
      <w:r w:rsidR="00917357">
        <w:rPr>
          <w:rFonts w:cs="Times New Roman"/>
          <w:color w:val="000000"/>
          <w:sz w:val="22"/>
        </w:rPr>
        <w:t>”</w:t>
      </w:r>
      <w:r w:rsidRPr="005B292F">
        <w:rPr>
          <w:rStyle w:val="FootnoteReference"/>
        </w:rPr>
        <w:footnoteReference w:id="110"/>
      </w:r>
      <w:r>
        <w:rPr>
          <w:rFonts w:cs="Times New Roman"/>
          <w:color w:val="000000"/>
          <w:sz w:val="22"/>
        </w:rPr>
        <w:t>. I illustrate how scratching beneath the surface of caviar to engage with its materiality – it’s properties, potentialities and energies – is imperative in order to explain these ‘strange things’</w:t>
      </w:r>
      <w:r w:rsidR="00917357">
        <w:rPr>
          <w:rFonts w:cs="Times New Roman"/>
          <w:color w:val="000000"/>
          <w:sz w:val="22"/>
        </w:rPr>
        <w:t xml:space="preserve">; and examine </w:t>
      </w:r>
      <w:r>
        <w:rPr>
          <w:rFonts w:cs="Times New Roman"/>
          <w:color w:val="000000"/>
          <w:sz w:val="22"/>
        </w:rPr>
        <w:t>how</w:t>
      </w:r>
      <w:r w:rsidR="00917357">
        <w:rPr>
          <w:rFonts w:cs="Times New Roman"/>
          <w:color w:val="000000"/>
          <w:sz w:val="22"/>
        </w:rPr>
        <w:t xml:space="preserve"> despite the regulatory frameworks,</w:t>
      </w:r>
      <w:r>
        <w:rPr>
          <w:rFonts w:cs="Times New Roman"/>
          <w:color w:val="000000"/>
          <w:sz w:val="22"/>
        </w:rPr>
        <w:t xml:space="preserve"> illicit trade in caviar continues to take place in the EU. </w:t>
      </w:r>
      <w:r w:rsidRPr="009730F5">
        <w:rPr>
          <w:rFonts w:cs="Times New Roman"/>
          <w:color w:val="000000"/>
          <w:sz w:val="22"/>
        </w:rPr>
        <w:t>In what follows, I explain why caviar is materially complex, and ultimately ‘unknowable’. I argue that the ‘unknowability’ of caviar has pertinent implications for</w:t>
      </w:r>
      <w:r>
        <w:rPr>
          <w:rFonts w:cs="Times New Roman"/>
          <w:color w:val="000000"/>
          <w:sz w:val="22"/>
        </w:rPr>
        <w:t xml:space="preserve"> both managing illicit trade and shaping the</w:t>
      </w:r>
      <w:r w:rsidRPr="009730F5">
        <w:rPr>
          <w:rFonts w:cs="Times New Roman"/>
          <w:color w:val="000000"/>
          <w:sz w:val="22"/>
        </w:rPr>
        <w:t xml:space="preserve"> mechanisms by which illicit trade takes place</w:t>
      </w:r>
      <w:r>
        <w:rPr>
          <w:rFonts w:cs="Times New Roman"/>
          <w:color w:val="000000"/>
          <w:sz w:val="22"/>
        </w:rPr>
        <w:t>.</w:t>
      </w:r>
    </w:p>
    <w:p w14:paraId="40FF4D7A" w14:textId="77777777" w:rsidR="00B97063" w:rsidRPr="009730F5" w:rsidRDefault="00B97063" w:rsidP="00FC70E0">
      <w:pPr>
        <w:rPr>
          <w:rFonts w:cs="Times New Roman"/>
          <w:color w:val="000000"/>
          <w:sz w:val="22"/>
          <w:u w:val="single"/>
        </w:rPr>
      </w:pPr>
    </w:p>
    <w:p w14:paraId="1D4C11CC" w14:textId="77777777" w:rsidR="00B97063" w:rsidRPr="009730F5" w:rsidRDefault="00B97063" w:rsidP="00FC70E0">
      <w:pPr>
        <w:pStyle w:val="Heading3"/>
      </w:pPr>
      <w:bookmarkStart w:id="66" w:name="_Toc453224225"/>
      <w:r>
        <w:t xml:space="preserve">5.1.1 </w:t>
      </w:r>
      <w:r w:rsidRPr="009730F5">
        <w:t>Visually distinguishing caviar</w:t>
      </w:r>
      <w:bookmarkEnd w:id="66"/>
      <w:r w:rsidRPr="009730F5">
        <w:t xml:space="preserve"> </w:t>
      </w:r>
    </w:p>
    <w:p w14:paraId="0A5375BC" w14:textId="76CB487B" w:rsidR="00B97063" w:rsidRPr="009730F5" w:rsidRDefault="00B97063" w:rsidP="00FC70E0">
      <w:pPr>
        <w:rPr>
          <w:rFonts w:cs="Times New Roman"/>
          <w:color w:val="000000"/>
          <w:sz w:val="22"/>
        </w:rPr>
      </w:pPr>
      <w:r w:rsidRPr="009730F5">
        <w:rPr>
          <w:rFonts w:cs="Times New Roman"/>
          <w:color w:val="000000"/>
          <w:sz w:val="22"/>
        </w:rPr>
        <w:t>Through my fieldwork experience I have now seen a lot of caviar and come to appreciate the visual variation that exists between the caviar produced by different species of sturgeon. Given that there are 27 species of sturgeon</w:t>
      </w:r>
      <w:r>
        <w:rPr>
          <w:rFonts w:cs="Times New Roman"/>
          <w:color w:val="000000"/>
          <w:sz w:val="22"/>
        </w:rPr>
        <w:t xml:space="preserve"> and paddlefish</w:t>
      </w:r>
      <w:r w:rsidRPr="009730F5">
        <w:rPr>
          <w:rFonts w:cs="Times New Roman"/>
          <w:color w:val="000000"/>
          <w:sz w:val="22"/>
        </w:rPr>
        <w:t xml:space="preserve"> it is unsurprising that different types of caviar exist, and that they look visually different. Caviar ranges in t</w:t>
      </w:r>
      <w:r w:rsidR="00232F22">
        <w:rPr>
          <w:rFonts w:cs="Times New Roman"/>
          <w:color w:val="000000"/>
          <w:sz w:val="22"/>
        </w:rPr>
        <w:t>erms of size of the eggs, with B</w:t>
      </w:r>
      <w:r w:rsidRPr="009730F5">
        <w:rPr>
          <w:rFonts w:cs="Times New Roman"/>
          <w:color w:val="000000"/>
          <w:sz w:val="22"/>
        </w:rPr>
        <w:t>eluga (</w:t>
      </w:r>
      <w:r w:rsidRPr="009730F5">
        <w:rPr>
          <w:rFonts w:cs="Times New Roman"/>
          <w:i/>
          <w:color w:val="000000"/>
          <w:sz w:val="22"/>
        </w:rPr>
        <w:t>Huso Huso</w:t>
      </w:r>
      <w:r w:rsidRPr="009730F5">
        <w:rPr>
          <w:rFonts w:cs="Times New Roman"/>
          <w:color w:val="000000"/>
          <w:sz w:val="22"/>
        </w:rPr>
        <w:t>)</w:t>
      </w:r>
      <w:r w:rsidR="00232F22">
        <w:rPr>
          <w:rFonts w:cs="Times New Roman"/>
          <w:color w:val="000000"/>
          <w:sz w:val="22"/>
        </w:rPr>
        <w:t xml:space="preserve"> producing pea-sized eggs, and S</w:t>
      </w:r>
      <w:r w:rsidRPr="009730F5">
        <w:rPr>
          <w:rFonts w:cs="Times New Roman"/>
          <w:color w:val="000000"/>
          <w:sz w:val="22"/>
        </w:rPr>
        <w:t>terlet (</w:t>
      </w:r>
      <w:r w:rsidRPr="009730F5">
        <w:rPr>
          <w:rFonts w:cs="Times New Roman"/>
          <w:i/>
          <w:color w:val="000000"/>
          <w:sz w:val="22"/>
        </w:rPr>
        <w:t>Acipenser Ruthenus</w:t>
      </w:r>
      <w:r w:rsidRPr="009730F5">
        <w:rPr>
          <w:rFonts w:cs="Times New Roman"/>
          <w:color w:val="000000"/>
          <w:sz w:val="22"/>
        </w:rPr>
        <w:t>) producing tiny grains of caviar. Caviar also ranges visually in terms of colour of the eggs. Beluga (</w:t>
      </w:r>
      <w:r w:rsidRPr="009730F5">
        <w:rPr>
          <w:rFonts w:cs="Times New Roman"/>
          <w:i/>
          <w:color w:val="000000"/>
          <w:sz w:val="22"/>
        </w:rPr>
        <w:t>Huso Huso</w:t>
      </w:r>
      <w:r w:rsidRPr="009730F5">
        <w:rPr>
          <w:rFonts w:cs="Times New Roman"/>
          <w:color w:val="000000"/>
          <w:sz w:val="22"/>
        </w:rPr>
        <w:t>) produce the famed ‘Black Pearls’, which range from silvery-grey to deep black shades; Oscietra caviar taken from Russian sturgeon (</w:t>
      </w:r>
      <w:r w:rsidRPr="00BD3A13">
        <w:rPr>
          <w:rFonts w:cs="Times New Roman"/>
          <w:i/>
          <w:color w:val="000000"/>
          <w:sz w:val="22"/>
        </w:rPr>
        <w:t xml:space="preserve">Acipenser </w:t>
      </w:r>
      <w:r w:rsidRPr="009730F5">
        <w:rPr>
          <w:rFonts w:cs="Times New Roman"/>
          <w:i/>
          <w:color w:val="000000"/>
          <w:sz w:val="22"/>
        </w:rPr>
        <w:t>Gueldenstaedtii</w:t>
      </w:r>
      <w:r w:rsidRPr="009730F5">
        <w:rPr>
          <w:rFonts w:cs="Times New Roman"/>
          <w:color w:val="000000"/>
          <w:sz w:val="22"/>
        </w:rPr>
        <w:t>) ranges from hues of grey to brown, to prized golden shades; and I even came ac</w:t>
      </w:r>
      <w:r w:rsidR="00232F22">
        <w:rPr>
          <w:rFonts w:cs="Times New Roman"/>
          <w:color w:val="000000"/>
          <w:sz w:val="22"/>
        </w:rPr>
        <w:t>ross ‘white pearls’ of caviar,</w:t>
      </w:r>
      <w:r>
        <w:rPr>
          <w:rFonts w:cs="Times New Roman"/>
          <w:color w:val="000000"/>
          <w:sz w:val="22"/>
        </w:rPr>
        <w:t xml:space="preserve"> which are produced by albino S</w:t>
      </w:r>
      <w:r w:rsidRPr="009730F5">
        <w:rPr>
          <w:rFonts w:cs="Times New Roman"/>
          <w:color w:val="000000"/>
          <w:sz w:val="22"/>
        </w:rPr>
        <w:t>terlet sturgeon (</w:t>
      </w:r>
      <w:r w:rsidRPr="009730F5">
        <w:rPr>
          <w:rFonts w:cs="Times New Roman"/>
          <w:i/>
          <w:color w:val="000000"/>
          <w:sz w:val="22"/>
        </w:rPr>
        <w:t>Acipenser Ruthenus</w:t>
      </w:r>
      <w:r w:rsidRPr="009730F5">
        <w:rPr>
          <w:rFonts w:cs="Times New Roman"/>
          <w:color w:val="000000"/>
          <w:sz w:val="22"/>
        </w:rPr>
        <w:t>) whose eggs lack pigment. </w:t>
      </w:r>
    </w:p>
    <w:p w14:paraId="3ED870BC" w14:textId="1E26AFB8" w:rsidR="00B97063" w:rsidRPr="009730F5" w:rsidRDefault="00B97063" w:rsidP="00FC70E0">
      <w:pPr>
        <w:ind w:firstLine="720"/>
        <w:rPr>
          <w:rFonts w:ascii="-webkit-standard" w:hAnsi="-webkit-standard" w:cs="Times New Roman"/>
          <w:color w:val="000000"/>
          <w:sz w:val="22"/>
        </w:rPr>
      </w:pPr>
      <w:r>
        <w:rPr>
          <w:rFonts w:cs="Times New Roman"/>
          <w:color w:val="000000"/>
          <w:sz w:val="22"/>
        </w:rPr>
        <w:lastRenderedPageBreak/>
        <w:t xml:space="preserve">The production process can also make caviar appear visually different. </w:t>
      </w:r>
      <w:r w:rsidRPr="009730F5">
        <w:rPr>
          <w:rFonts w:cs="Times New Roman"/>
          <w:color w:val="000000"/>
          <w:sz w:val="22"/>
        </w:rPr>
        <w:t>Tradition</w:t>
      </w:r>
      <w:r w:rsidR="00917357">
        <w:rPr>
          <w:rFonts w:cs="Times New Roman"/>
          <w:color w:val="000000"/>
          <w:sz w:val="22"/>
        </w:rPr>
        <w:t>a</w:t>
      </w:r>
      <w:r w:rsidR="00232F22">
        <w:rPr>
          <w:rFonts w:cs="Times New Roman"/>
          <w:color w:val="000000"/>
          <w:sz w:val="22"/>
        </w:rPr>
        <w:t>l</w:t>
      </w:r>
      <w:r w:rsidRPr="009730F5">
        <w:rPr>
          <w:rFonts w:cs="Times New Roman"/>
          <w:color w:val="000000"/>
          <w:sz w:val="22"/>
        </w:rPr>
        <w:t xml:space="preserve"> high-quality forms of caviar are known as ‘Malossol’ which refers to the low salt content used to produce this caviar, resulting in eggs that are famed for their desirable texture and ‘pop’ on the roof of the mouth. However, the low salt content makes this caviar particularly susceptible to perishing as a result of oxidation, which limits the shelf life and can affect the materiality of the caviar in terms of taste, texture and appearance. As such, caviar that is repackaged is more likely to be materially inferior, as expl</w:t>
      </w:r>
      <w:r>
        <w:rPr>
          <w:rFonts w:cs="Times New Roman"/>
          <w:color w:val="000000"/>
          <w:sz w:val="22"/>
        </w:rPr>
        <w:t>ained by caviar producer Qerene</w:t>
      </w:r>
      <w:r w:rsidR="00232F22">
        <w:rPr>
          <w:rFonts w:cs="Times New Roman"/>
          <w:color w:val="000000"/>
          <w:sz w:val="22"/>
        </w:rPr>
        <w:t xml:space="preserve"> who described how “</w:t>
      </w:r>
      <w:r w:rsidRPr="009730F5">
        <w:rPr>
          <w:rFonts w:cs="Times New Roman"/>
          <w:color w:val="000000"/>
          <w:sz w:val="22"/>
        </w:rPr>
        <w:t>a caviar changes... It becomes more mature and you get more oxidation in it, and then the taste is not so good anymore… Caviar from 2 weeks old</w:t>
      </w:r>
      <w:r w:rsidR="00232F22">
        <w:rPr>
          <w:rFonts w:cs="Times New Roman"/>
          <w:color w:val="000000"/>
          <w:sz w:val="22"/>
        </w:rPr>
        <w:t xml:space="preserve"> is completely different than </w:t>
      </w:r>
      <w:r w:rsidRPr="009730F5">
        <w:rPr>
          <w:rFonts w:cs="Times New Roman"/>
          <w:color w:val="000000"/>
          <w:sz w:val="22"/>
        </w:rPr>
        <w:t>caviar from 10 months old… I think one of the main things is that caviar is not repackaged, so the eggs will not be damaged and there is less oxidation. So the view of the eggs is nicer”</w:t>
      </w:r>
      <w:r w:rsidRPr="005B292F">
        <w:rPr>
          <w:rStyle w:val="FootnoteReference"/>
        </w:rPr>
        <w:footnoteReference w:id="111"/>
      </w:r>
      <w:r w:rsidRPr="009730F5">
        <w:rPr>
          <w:rFonts w:cs="Times New Roman"/>
          <w:color w:val="000000"/>
          <w:sz w:val="22"/>
        </w:rPr>
        <w:t>. Aside from the traditional ‘Malossol’ production method, caviar can also be pressed into a paste of mixed-grade weak or broken eggs; or it can be heat treated and pasteurised to extend the shelf-life, but this</w:t>
      </w:r>
      <w:r>
        <w:rPr>
          <w:rFonts w:cs="Times New Roman"/>
          <w:color w:val="000000"/>
          <w:sz w:val="22"/>
        </w:rPr>
        <w:t xml:space="preserve"> heat treatment</w:t>
      </w:r>
      <w:r w:rsidRPr="009730F5">
        <w:rPr>
          <w:rFonts w:cs="Times New Roman"/>
          <w:color w:val="000000"/>
          <w:sz w:val="22"/>
        </w:rPr>
        <w:t xml:space="preserve"> impacts the t</w:t>
      </w:r>
      <w:r>
        <w:rPr>
          <w:rFonts w:cs="Times New Roman"/>
          <w:color w:val="000000"/>
          <w:sz w:val="22"/>
        </w:rPr>
        <w:t xml:space="preserve">exture and flavour of the eggs </w:t>
      </w:r>
      <w:r w:rsidRPr="009730F5">
        <w:rPr>
          <w:rFonts w:cs="Times New Roman"/>
          <w:color w:val="000000"/>
          <w:sz w:val="22"/>
        </w:rPr>
        <w:t>making them much firmer than ‘Malossol’ grade caviars. </w:t>
      </w:r>
    </w:p>
    <w:p w14:paraId="1069A20F" w14:textId="77777777" w:rsidR="00B97063" w:rsidRDefault="00B97063" w:rsidP="00FC70E0">
      <w:pPr>
        <w:ind w:firstLine="720"/>
        <w:rPr>
          <w:rFonts w:cs="Times New Roman"/>
          <w:color w:val="000000"/>
          <w:sz w:val="22"/>
        </w:rPr>
      </w:pPr>
      <w:r w:rsidRPr="009730F5">
        <w:rPr>
          <w:rFonts w:cs="Times New Roman"/>
          <w:color w:val="000000"/>
          <w:sz w:val="22"/>
        </w:rPr>
        <w:t xml:space="preserve">Thus, it is possible to fairly easily distinguish between different types of caviar according to the visual differences between species </w:t>
      </w:r>
      <w:r>
        <w:rPr>
          <w:rFonts w:cs="Times New Roman"/>
          <w:color w:val="000000"/>
          <w:sz w:val="22"/>
        </w:rPr>
        <w:t xml:space="preserve">and/or production method. </w:t>
      </w:r>
      <w:r w:rsidRPr="009730F5">
        <w:rPr>
          <w:rFonts w:cs="Times New Roman"/>
          <w:color w:val="000000"/>
          <w:sz w:val="22"/>
        </w:rPr>
        <w:t xml:space="preserve">However, attempting to discern the geographic origin or whether the caviar is farmed or wild caught </w:t>
      </w:r>
      <w:r>
        <w:rPr>
          <w:rFonts w:cs="Times New Roman"/>
          <w:color w:val="000000"/>
          <w:sz w:val="22"/>
        </w:rPr>
        <w:t xml:space="preserve">is more complex. It is not possible to determine origin via only visual methods, but the origin is the vital information needed to establish the legality of caviar. </w:t>
      </w:r>
      <w:r w:rsidRPr="009730F5">
        <w:rPr>
          <w:rFonts w:cs="Times New Roman"/>
          <w:color w:val="000000"/>
          <w:sz w:val="22"/>
        </w:rPr>
        <w:t xml:space="preserve">Therefore, I argue that beyond visually determining the species or production method, caviar is to a significant extent ‘unknowable’ and indecipherable. </w:t>
      </w:r>
    </w:p>
    <w:p w14:paraId="65B28AA8" w14:textId="174CD43F" w:rsidR="00B97063" w:rsidRPr="009730F5" w:rsidRDefault="00B97063" w:rsidP="00FC70E0">
      <w:pPr>
        <w:ind w:firstLine="720"/>
        <w:rPr>
          <w:rFonts w:cs="Times New Roman"/>
          <w:color w:val="000000"/>
          <w:sz w:val="22"/>
        </w:rPr>
      </w:pPr>
      <w:r w:rsidRPr="009730F5">
        <w:rPr>
          <w:rFonts w:cs="Times New Roman"/>
          <w:color w:val="000000"/>
          <w:sz w:val="22"/>
        </w:rPr>
        <w:t>Some claim to be able to tell the difference between wild caught or</w:t>
      </w:r>
      <w:r>
        <w:rPr>
          <w:rFonts w:cs="Times New Roman"/>
          <w:color w:val="000000"/>
          <w:sz w:val="22"/>
        </w:rPr>
        <w:t xml:space="preserve"> farmed caviar according to taste</w:t>
      </w:r>
      <w:r w:rsidRPr="009730F5">
        <w:rPr>
          <w:rFonts w:cs="Times New Roman"/>
          <w:color w:val="000000"/>
          <w:sz w:val="22"/>
        </w:rPr>
        <w:t>: “With the taste you can tell… I cannot forget this taste. The taste of wild caviar is more heavy [than farmed]”</w:t>
      </w:r>
      <w:r w:rsidRPr="005B292F">
        <w:rPr>
          <w:rStyle w:val="FootnoteReference"/>
        </w:rPr>
        <w:footnoteReference w:id="112"/>
      </w:r>
      <w:r w:rsidRPr="009730F5">
        <w:rPr>
          <w:rFonts w:cs="Times New Roman"/>
          <w:color w:val="000000"/>
          <w:sz w:val="22"/>
        </w:rPr>
        <w:t>. However, the ability to taste a difference bet</w:t>
      </w:r>
      <w:r>
        <w:rPr>
          <w:rFonts w:cs="Times New Roman"/>
          <w:color w:val="000000"/>
          <w:sz w:val="22"/>
        </w:rPr>
        <w:t xml:space="preserve">ween farmed and wild caviar is </w:t>
      </w:r>
      <w:r w:rsidRPr="009730F5">
        <w:rPr>
          <w:rFonts w:cs="Times New Roman"/>
          <w:color w:val="000000"/>
          <w:sz w:val="22"/>
        </w:rPr>
        <w:t>disputed by others. Regardless, using taste to establish provenance is not viewed as a fool</w:t>
      </w:r>
      <w:r w:rsidR="00232F22">
        <w:rPr>
          <w:rFonts w:cs="Times New Roman"/>
          <w:color w:val="000000"/>
          <w:sz w:val="22"/>
        </w:rPr>
        <w:t>-</w:t>
      </w:r>
      <w:r w:rsidRPr="009730F5">
        <w:rPr>
          <w:rFonts w:cs="Times New Roman"/>
          <w:color w:val="000000"/>
          <w:sz w:val="22"/>
        </w:rPr>
        <w:t>proof enforcement mechanism (although Oliya claimed that her company</w:t>
      </w:r>
      <w:r w:rsidR="00232F22">
        <w:rPr>
          <w:rFonts w:cs="Times New Roman"/>
          <w:color w:val="000000"/>
          <w:sz w:val="22"/>
        </w:rPr>
        <w:t xml:space="preserve"> </w:t>
      </w:r>
      <w:r w:rsidRPr="009730F5">
        <w:rPr>
          <w:rFonts w:cs="Times New Roman"/>
          <w:color w:val="000000"/>
          <w:sz w:val="22"/>
        </w:rPr>
        <w:t>were routinely contacted by customs to verify whether seized caviar products were wild, and that they used taste to establish this). As such, enforcement officials are reliant upon other methods to determine and make ‘k</w:t>
      </w:r>
      <w:r>
        <w:rPr>
          <w:rFonts w:cs="Times New Roman"/>
          <w:color w:val="000000"/>
          <w:sz w:val="22"/>
        </w:rPr>
        <w:t>nowable’ the legal status of</w:t>
      </w:r>
      <w:r w:rsidRPr="009730F5">
        <w:rPr>
          <w:rFonts w:cs="Times New Roman"/>
          <w:color w:val="000000"/>
          <w:sz w:val="22"/>
        </w:rPr>
        <w:t xml:space="preserve"> caviar. However, the ease with whi</w:t>
      </w:r>
      <w:r>
        <w:rPr>
          <w:rFonts w:cs="Times New Roman"/>
          <w:color w:val="000000"/>
          <w:sz w:val="22"/>
        </w:rPr>
        <w:t>c</w:t>
      </w:r>
      <w:r w:rsidR="00232F22">
        <w:rPr>
          <w:rFonts w:cs="Times New Roman"/>
          <w:color w:val="000000"/>
          <w:sz w:val="22"/>
        </w:rPr>
        <w:t>h caviar can be made ‘knowable’</w:t>
      </w:r>
      <w:r>
        <w:rPr>
          <w:rFonts w:cs="Times New Roman"/>
          <w:color w:val="000000"/>
          <w:sz w:val="22"/>
        </w:rPr>
        <w:t xml:space="preserve"> </w:t>
      </w:r>
      <w:r w:rsidRPr="009730F5">
        <w:rPr>
          <w:rFonts w:cs="Times New Roman"/>
          <w:color w:val="000000"/>
          <w:sz w:val="22"/>
        </w:rPr>
        <w:t>is complicated by the ma</w:t>
      </w:r>
      <w:r w:rsidR="00232F22">
        <w:rPr>
          <w:rFonts w:cs="Times New Roman"/>
          <w:color w:val="000000"/>
          <w:sz w:val="22"/>
        </w:rPr>
        <w:t>terial properties of the caviar. Indeed, establishing the provenance of caviar</w:t>
      </w:r>
      <w:r>
        <w:rPr>
          <w:rFonts w:cs="Times New Roman"/>
          <w:color w:val="000000"/>
          <w:sz w:val="22"/>
        </w:rPr>
        <w:t xml:space="preserve"> </w:t>
      </w:r>
      <w:r w:rsidRPr="009730F5">
        <w:rPr>
          <w:rFonts w:cs="Times New Roman"/>
          <w:color w:val="000000"/>
          <w:sz w:val="22"/>
        </w:rPr>
        <w:t>require</w:t>
      </w:r>
      <w:r w:rsidR="00232F22">
        <w:rPr>
          <w:rFonts w:cs="Times New Roman"/>
          <w:color w:val="000000"/>
          <w:sz w:val="22"/>
        </w:rPr>
        <w:t>s</w:t>
      </w:r>
      <w:r w:rsidR="006231A5">
        <w:rPr>
          <w:rFonts w:cs="Times New Roman"/>
          <w:color w:val="000000"/>
          <w:sz w:val="22"/>
        </w:rPr>
        <w:t xml:space="preserve"> the use of complex</w:t>
      </w:r>
      <w:r w:rsidR="00232F22">
        <w:rPr>
          <w:rFonts w:cs="Times New Roman"/>
          <w:color w:val="000000"/>
          <w:sz w:val="22"/>
        </w:rPr>
        <w:t xml:space="preserve"> scientific testing methods</w:t>
      </w:r>
      <w:r>
        <w:rPr>
          <w:rFonts w:cs="Times New Roman"/>
          <w:color w:val="000000"/>
          <w:sz w:val="22"/>
        </w:rPr>
        <w:t>.</w:t>
      </w:r>
    </w:p>
    <w:p w14:paraId="0D7E2BF2" w14:textId="77777777" w:rsidR="00B97063" w:rsidRPr="009730F5" w:rsidRDefault="00B97063" w:rsidP="00FC70E0">
      <w:pPr>
        <w:pStyle w:val="Heading3"/>
      </w:pPr>
      <w:bookmarkStart w:id="67" w:name="_Toc453224226"/>
      <w:r>
        <w:lastRenderedPageBreak/>
        <w:t>5.1.2 Making caviar knowable</w:t>
      </w:r>
      <w:bookmarkEnd w:id="67"/>
      <w:r w:rsidRPr="009730F5">
        <w:t xml:space="preserve"> </w:t>
      </w:r>
    </w:p>
    <w:p w14:paraId="3C689F62" w14:textId="77777777" w:rsidR="00B97063" w:rsidRPr="009730F5" w:rsidRDefault="00B97063" w:rsidP="00FC70E0">
      <w:pPr>
        <w:rPr>
          <w:rFonts w:cs="Times New Roman"/>
          <w:color w:val="000000"/>
          <w:sz w:val="22"/>
        </w:rPr>
      </w:pPr>
      <w:r>
        <w:rPr>
          <w:rFonts w:cs="Times New Roman"/>
          <w:color w:val="000000"/>
          <w:sz w:val="22"/>
        </w:rPr>
        <w:t>Caviar defies straightforward material identification</w:t>
      </w:r>
      <w:r w:rsidRPr="009730F5">
        <w:rPr>
          <w:rFonts w:cs="Times New Roman"/>
          <w:color w:val="000000"/>
          <w:sz w:val="22"/>
        </w:rPr>
        <w:t xml:space="preserve">. </w:t>
      </w:r>
      <w:r>
        <w:rPr>
          <w:rFonts w:cs="Times New Roman"/>
          <w:color w:val="000000"/>
          <w:sz w:val="22"/>
        </w:rPr>
        <w:t xml:space="preserve">Each </w:t>
      </w:r>
      <w:r w:rsidRPr="009730F5">
        <w:rPr>
          <w:rFonts w:cs="Times New Roman"/>
          <w:color w:val="000000"/>
          <w:sz w:val="22"/>
        </w:rPr>
        <w:t xml:space="preserve">grain of caviar hides information about its provenance. Getting to the </w:t>
      </w:r>
      <w:r>
        <w:rPr>
          <w:rFonts w:cs="Times New Roman"/>
          <w:color w:val="000000"/>
          <w:sz w:val="22"/>
        </w:rPr>
        <w:t xml:space="preserve">material </w:t>
      </w:r>
      <w:r w:rsidRPr="009730F5">
        <w:rPr>
          <w:rFonts w:cs="Times New Roman"/>
          <w:color w:val="000000"/>
          <w:sz w:val="22"/>
        </w:rPr>
        <w:t xml:space="preserve">essence of the eggs and accessing this hidden information is the process that transforms the caviar from unknowable to knowable. Encoded in each individual ‘black pearl’ of caviar is </w:t>
      </w:r>
      <w:r>
        <w:rPr>
          <w:rFonts w:cs="Times New Roman"/>
          <w:color w:val="000000"/>
          <w:sz w:val="22"/>
        </w:rPr>
        <w:t xml:space="preserve">the </w:t>
      </w:r>
      <w:r w:rsidRPr="009730F5">
        <w:rPr>
          <w:rFonts w:cs="Times New Roman"/>
          <w:color w:val="000000"/>
          <w:sz w:val="22"/>
        </w:rPr>
        <w:t>genetic information about the species of sturgeon the caviar was harvested from, which can be verified using DNA</w:t>
      </w:r>
      <w:r>
        <w:rPr>
          <w:rFonts w:cs="Times New Roman"/>
          <w:color w:val="000000"/>
          <w:sz w:val="22"/>
        </w:rPr>
        <w:t xml:space="preserve"> testing methods. However, the eggs</w:t>
      </w:r>
      <w:r w:rsidRPr="009730F5">
        <w:rPr>
          <w:rFonts w:cs="Times New Roman"/>
          <w:color w:val="000000"/>
          <w:sz w:val="22"/>
        </w:rPr>
        <w:t xml:space="preserve"> </w:t>
      </w:r>
      <w:r>
        <w:rPr>
          <w:rFonts w:cs="Times New Roman"/>
          <w:color w:val="000000"/>
          <w:sz w:val="22"/>
        </w:rPr>
        <w:t xml:space="preserve">contain other </w:t>
      </w:r>
      <w:r w:rsidRPr="009730F5">
        <w:rPr>
          <w:rFonts w:cs="Times New Roman"/>
          <w:color w:val="000000"/>
          <w:sz w:val="22"/>
        </w:rPr>
        <w:t xml:space="preserve">hidden </w:t>
      </w:r>
      <w:r>
        <w:rPr>
          <w:rFonts w:cs="Times New Roman"/>
          <w:color w:val="000000"/>
          <w:sz w:val="22"/>
        </w:rPr>
        <w:t>information that typically proves more important from a law enforcement perspective</w:t>
      </w:r>
      <w:r w:rsidRPr="009730F5">
        <w:rPr>
          <w:rFonts w:cs="Times New Roman"/>
          <w:color w:val="000000"/>
          <w:sz w:val="22"/>
        </w:rPr>
        <w:t xml:space="preserve">. This information relates to where the caviar has come from </w:t>
      </w:r>
      <w:r w:rsidRPr="009730F5">
        <w:rPr>
          <w:rFonts w:cs="Times New Roman"/>
          <w:i/>
          <w:color w:val="000000"/>
          <w:sz w:val="22"/>
        </w:rPr>
        <w:t>geographically</w:t>
      </w:r>
      <w:r w:rsidRPr="009730F5">
        <w:rPr>
          <w:rFonts w:cs="Times New Roman"/>
          <w:color w:val="000000"/>
          <w:sz w:val="22"/>
        </w:rPr>
        <w:t xml:space="preserve">. </w:t>
      </w:r>
    </w:p>
    <w:p w14:paraId="770D7E54" w14:textId="10D22EA6" w:rsidR="00216489" w:rsidRPr="00216489" w:rsidRDefault="00B97063" w:rsidP="00FC70E0">
      <w:pPr>
        <w:ind w:firstLine="720"/>
        <w:rPr>
          <w:rFonts w:cs="Times New Roman"/>
          <w:color w:val="000000"/>
          <w:sz w:val="22"/>
        </w:rPr>
      </w:pPr>
      <w:r w:rsidRPr="009730F5">
        <w:rPr>
          <w:rFonts w:cs="Times New Roman"/>
          <w:color w:val="000000"/>
          <w:sz w:val="22"/>
        </w:rPr>
        <w:t xml:space="preserve">The geographic provenance of caviar is typically required to determine the </w:t>
      </w:r>
      <w:r>
        <w:rPr>
          <w:rFonts w:cs="Times New Roman"/>
          <w:color w:val="000000"/>
          <w:sz w:val="22"/>
        </w:rPr>
        <w:t>(il)</w:t>
      </w:r>
      <w:r w:rsidRPr="009730F5">
        <w:rPr>
          <w:rFonts w:cs="Times New Roman"/>
          <w:color w:val="000000"/>
          <w:sz w:val="22"/>
        </w:rPr>
        <w:t>legality of a product. To obtain details of the geographic origin of caviar, a stable isotope ratio</w:t>
      </w:r>
      <w:r>
        <w:rPr>
          <w:rFonts w:cs="Times New Roman"/>
          <w:color w:val="000000"/>
          <w:sz w:val="22"/>
        </w:rPr>
        <w:t xml:space="preserve"> analysis (SIRA) method is used. This method </w:t>
      </w:r>
      <w:r w:rsidRPr="009730F5">
        <w:rPr>
          <w:rFonts w:cs="Times New Roman"/>
          <w:color w:val="000000"/>
          <w:sz w:val="22"/>
        </w:rPr>
        <w:t>break</w:t>
      </w:r>
      <w:r>
        <w:rPr>
          <w:rFonts w:cs="Times New Roman"/>
          <w:color w:val="000000"/>
          <w:sz w:val="22"/>
        </w:rPr>
        <w:t>s</w:t>
      </w:r>
      <w:r w:rsidRPr="009730F5">
        <w:rPr>
          <w:rFonts w:cs="Times New Roman"/>
          <w:color w:val="000000"/>
          <w:sz w:val="22"/>
        </w:rPr>
        <w:t xml:space="preserve"> the caviar </w:t>
      </w:r>
      <w:r>
        <w:rPr>
          <w:rFonts w:cs="Times New Roman"/>
          <w:color w:val="000000"/>
          <w:sz w:val="22"/>
        </w:rPr>
        <w:t>down into its atoms</w:t>
      </w:r>
      <w:r w:rsidRPr="009730F5">
        <w:rPr>
          <w:rFonts w:cs="Times New Roman"/>
          <w:color w:val="000000"/>
          <w:sz w:val="22"/>
        </w:rPr>
        <w:t xml:space="preserve"> in order to analyse the following elements: carbon, oxygen, hydrogen, nitrogen and sulphur. Tom, the Operations Manager of a laboratory that conducts SIRA testing of caviar</w:t>
      </w:r>
      <w:r w:rsidR="006231A5">
        <w:rPr>
          <w:rFonts w:cs="Times New Roman"/>
          <w:color w:val="000000"/>
          <w:sz w:val="22"/>
        </w:rPr>
        <w:t>,</w:t>
      </w:r>
      <w:r w:rsidRPr="009730F5">
        <w:rPr>
          <w:rFonts w:cs="Times New Roman"/>
          <w:color w:val="000000"/>
          <w:sz w:val="22"/>
        </w:rPr>
        <w:t xml:space="preserve"> explained why the caviar is broken dow</w:t>
      </w:r>
      <w:r w:rsidR="006231A5">
        <w:rPr>
          <w:rFonts w:cs="Times New Roman"/>
          <w:color w:val="000000"/>
          <w:sz w:val="22"/>
        </w:rPr>
        <w:t>n into its constituent elements</w:t>
      </w:r>
      <w:r w:rsidRPr="009730F5">
        <w:rPr>
          <w:rFonts w:cs="Times New Roman"/>
          <w:color w:val="000000"/>
          <w:sz w:val="22"/>
        </w:rPr>
        <w:t xml:space="preserve"> and how this enables </w:t>
      </w:r>
      <w:r>
        <w:rPr>
          <w:rFonts w:cs="Times New Roman"/>
          <w:color w:val="000000"/>
          <w:sz w:val="22"/>
        </w:rPr>
        <w:t>identification of</w:t>
      </w:r>
      <w:r w:rsidRPr="009730F5">
        <w:rPr>
          <w:rFonts w:cs="Times New Roman"/>
          <w:color w:val="000000"/>
          <w:sz w:val="22"/>
        </w:rPr>
        <w:t xml:space="preserve"> the geographical origin of the sample: </w:t>
      </w:r>
    </w:p>
    <w:p w14:paraId="5B8421B2" w14:textId="027A2BFD" w:rsidR="00216489" w:rsidRPr="00101E97" w:rsidRDefault="00B97063" w:rsidP="00FC70E0">
      <w:pPr>
        <w:pStyle w:val="Quote"/>
      </w:pPr>
      <w:r w:rsidRPr="009730F5">
        <w:t>So when we are looking at caviar, you’re looking at the water that the fish has drunk, as well as the proteins that make up the actual eggs themselves: that’s come from things like the plants, or whatever it is down the food chain. And you’re looking at the nitrogen and things that make up the proteins that go in there, and the sulphur that makes up the proteins that go in there [the caviar]... And because those elements vary due to geographic processes, you can tell the difference between caviar from different places.</w:t>
      </w:r>
      <w:r w:rsidRPr="005B292F">
        <w:rPr>
          <w:rStyle w:val="FootnoteReference"/>
        </w:rPr>
        <w:footnoteReference w:id="113"/>
      </w:r>
    </w:p>
    <w:p w14:paraId="2487FC5C" w14:textId="70767972" w:rsidR="00B97063" w:rsidRDefault="00B97063" w:rsidP="00FC70E0">
      <w:pPr>
        <w:rPr>
          <w:rFonts w:cs="Times New Roman"/>
          <w:color w:val="000000"/>
          <w:sz w:val="22"/>
        </w:rPr>
      </w:pPr>
      <w:r w:rsidRPr="009730F5">
        <w:rPr>
          <w:rFonts w:cs="Times New Roman"/>
          <w:color w:val="000000"/>
          <w:sz w:val="22"/>
        </w:rPr>
        <w:t>Tom evidenced thi</w:t>
      </w:r>
      <w:r>
        <w:rPr>
          <w:rFonts w:cs="Times New Roman"/>
          <w:color w:val="000000"/>
          <w:sz w:val="22"/>
        </w:rPr>
        <w:t>s by describing a case where the</w:t>
      </w:r>
      <w:r w:rsidRPr="009730F5">
        <w:rPr>
          <w:rFonts w:cs="Times New Roman"/>
          <w:color w:val="000000"/>
          <w:sz w:val="22"/>
        </w:rPr>
        <w:t xml:space="preserve"> lab</w:t>
      </w:r>
      <w:r>
        <w:rPr>
          <w:rFonts w:cs="Times New Roman"/>
          <w:color w:val="000000"/>
          <w:sz w:val="22"/>
        </w:rPr>
        <w:t>oratory</w:t>
      </w:r>
      <w:r w:rsidRPr="009730F5">
        <w:rPr>
          <w:rFonts w:cs="Times New Roman"/>
          <w:color w:val="000000"/>
          <w:sz w:val="22"/>
        </w:rPr>
        <w:t xml:space="preserve"> proved (and their evidence was used in court) that</w:t>
      </w:r>
      <w:r>
        <w:rPr>
          <w:rFonts w:cs="Times New Roman"/>
          <w:color w:val="000000"/>
          <w:sz w:val="22"/>
        </w:rPr>
        <w:t xml:space="preserve"> a caviar farm in Germany were ‘oversupplying’</w:t>
      </w:r>
      <w:r w:rsidRPr="009730F5">
        <w:rPr>
          <w:rFonts w:cs="Times New Roman"/>
          <w:color w:val="000000"/>
          <w:sz w:val="22"/>
        </w:rPr>
        <w:t xml:space="preserve"> their stocks with wild-caught caviar originating from the Caspian Sea, but selling the caviar as farmed German product. Using the reference data that the laboratory has amassed</w:t>
      </w:r>
      <w:r w:rsidR="006231A5">
        <w:rPr>
          <w:rFonts w:cs="Times New Roman"/>
          <w:color w:val="000000"/>
          <w:sz w:val="22"/>
        </w:rPr>
        <w:t>,</w:t>
      </w:r>
      <w:r w:rsidRPr="009730F5">
        <w:rPr>
          <w:rFonts w:cs="Times New Roman"/>
          <w:color w:val="000000"/>
          <w:sz w:val="22"/>
        </w:rPr>
        <w:t xml:space="preserve"> they were able to demonstrate that the seized caviar sample was materially different in its chemical composition from farmed caviar originating in Germany, but very similar in chemical composition to the references they had</w:t>
      </w:r>
      <w:r>
        <w:rPr>
          <w:rFonts w:cs="Times New Roman"/>
          <w:color w:val="000000"/>
          <w:sz w:val="22"/>
        </w:rPr>
        <w:t xml:space="preserve"> of caviar from the Caspian Sea.</w:t>
      </w:r>
      <w:r w:rsidRPr="009730F5">
        <w:rPr>
          <w:rFonts w:cs="Times New Roman"/>
          <w:color w:val="000000"/>
          <w:sz w:val="22"/>
        </w:rPr>
        <w:t xml:space="preserve"> </w:t>
      </w:r>
      <w:r w:rsidR="006231A5">
        <w:rPr>
          <w:rFonts w:cs="Times New Roman"/>
          <w:color w:val="000000"/>
          <w:sz w:val="22"/>
        </w:rPr>
        <w:t xml:space="preserve">Therefore, </w:t>
      </w:r>
      <w:r>
        <w:rPr>
          <w:rFonts w:cs="Times New Roman"/>
          <w:color w:val="000000"/>
          <w:sz w:val="22"/>
        </w:rPr>
        <w:t xml:space="preserve">they concluded </w:t>
      </w:r>
      <w:r w:rsidRPr="009730F5">
        <w:rPr>
          <w:rFonts w:cs="Times New Roman"/>
          <w:color w:val="000000"/>
          <w:sz w:val="22"/>
        </w:rPr>
        <w:t>that the caviar was taken from wild sturgeon in the</w:t>
      </w:r>
      <w:r>
        <w:rPr>
          <w:rFonts w:cs="Times New Roman"/>
          <w:color w:val="000000"/>
          <w:sz w:val="22"/>
        </w:rPr>
        <w:t xml:space="preserve"> Caspian Sea region.</w:t>
      </w:r>
      <w:r w:rsidR="006231A5">
        <w:rPr>
          <w:rFonts w:cs="Times New Roman"/>
          <w:color w:val="000000"/>
          <w:sz w:val="22"/>
        </w:rPr>
        <w:t xml:space="preserve"> Put simply, </w:t>
      </w:r>
      <w:r w:rsidR="00101E97">
        <w:rPr>
          <w:rFonts w:cs="Times New Roman"/>
          <w:color w:val="000000"/>
          <w:sz w:val="22"/>
        </w:rPr>
        <w:t>“</w:t>
      </w:r>
      <w:r>
        <w:rPr>
          <w:rFonts w:cs="Times New Roman"/>
          <w:color w:val="000000"/>
          <w:sz w:val="22"/>
        </w:rPr>
        <w:t>i</w:t>
      </w:r>
      <w:r w:rsidRPr="009730F5">
        <w:rPr>
          <w:rFonts w:cs="Times New Roman"/>
          <w:color w:val="000000"/>
          <w:sz w:val="22"/>
        </w:rPr>
        <w:t>t’s a little bit of ‘you are what you eat’</w:t>
      </w:r>
      <w:r w:rsidR="00101E97">
        <w:rPr>
          <w:rFonts w:cs="Times New Roman"/>
          <w:color w:val="000000"/>
          <w:sz w:val="22"/>
        </w:rPr>
        <w:t>”</w:t>
      </w:r>
      <w:r w:rsidRPr="005B292F">
        <w:rPr>
          <w:rStyle w:val="FootnoteReference"/>
        </w:rPr>
        <w:footnoteReference w:id="114"/>
      </w:r>
      <w:r>
        <w:rPr>
          <w:rFonts w:cs="Times New Roman"/>
          <w:color w:val="000000"/>
          <w:sz w:val="22"/>
        </w:rPr>
        <w:t>. T</w:t>
      </w:r>
      <w:r w:rsidRPr="009730F5">
        <w:rPr>
          <w:rFonts w:cs="Times New Roman"/>
          <w:color w:val="000000"/>
          <w:sz w:val="22"/>
        </w:rPr>
        <w:t xml:space="preserve">he caviar is chemically composed of the water that the sturgeon absorbed and the organic matter that the sturgeon consumed during its lifespan, and this differs across geographies. However, without getting to the root of the hidden molecular properties of the caviar, it would have been impossible to establish the origin of the illicit caviar. </w:t>
      </w:r>
    </w:p>
    <w:p w14:paraId="0FE90A8D" w14:textId="45977C6B" w:rsidR="00B97063" w:rsidRDefault="00B97063" w:rsidP="00FC70E0">
      <w:pPr>
        <w:rPr>
          <w:rFonts w:cs="Times New Roman"/>
          <w:color w:val="000000"/>
          <w:sz w:val="22"/>
        </w:rPr>
      </w:pPr>
      <w:r>
        <w:rPr>
          <w:rFonts w:cs="Times New Roman"/>
          <w:color w:val="000000"/>
          <w:sz w:val="22"/>
        </w:rPr>
        <w:tab/>
        <w:t xml:space="preserve">The explanation of the SIRA method elucidates the complex material nature of caviar, and why it is often unknowable. The SIRA test breaks the caviar down into chemical information that reveals the past liveliness and </w:t>
      </w:r>
      <w:r w:rsidR="00101E97">
        <w:rPr>
          <w:rFonts w:cs="Times New Roman"/>
          <w:color w:val="000000"/>
          <w:sz w:val="22"/>
        </w:rPr>
        <w:t xml:space="preserve">behaviours </w:t>
      </w:r>
      <w:r>
        <w:rPr>
          <w:rFonts w:cs="Times New Roman"/>
          <w:color w:val="000000"/>
          <w:sz w:val="22"/>
        </w:rPr>
        <w:t xml:space="preserve">of the sturgeon, in terms of what they ate and where. This </w:t>
      </w:r>
      <w:r>
        <w:rPr>
          <w:rFonts w:cs="Times New Roman"/>
          <w:color w:val="000000"/>
          <w:sz w:val="22"/>
        </w:rPr>
        <w:lastRenderedPageBreak/>
        <w:t>information is not accessible or legible without laboratory interventions to make sense of the properties of the caviar. Vitalist traditions in geography emphasise the need to recognise the material liveliness and agency of nonhuman beings in order to make sense of social phenomena and ‘worlds’. They stress that being attuned to nonhuman agency and material</w:t>
      </w:r>
      <w:r w:rsidR="00CC01F9">
        <w:rPr>
          <w:rFonts w:cs="Times New Roman"/>
          <w:color w:val="000000"/>
          <w:sz w:val="22"/>
        </w:rPr>
        <w:t xml:space="preserve">ity illustrates that sometimes “worlds are sensed and not seen” </w:t>
      </w:r>
      <w:r w:rsidR="00CC01F9">
        <w:rPr>
          <w:rFonts w:cs="Times New Roman"/>
          <w:color w:val="000000"/>
          <w:sz w:val="22"/>
        </w:rPr>
        <w:fldChar w:fldCharType="begin" w:fldLock="1"/>
      </w:r>
      <w:r w:rsidR="009717EB">
        <w:rPr>
          <w:rFonts w:cs="Times New Roman"/>
          <w:color w:val="000000"/>
          <w:sz w:val="22"/>
        </w:rPr>
        <w:instrText>ADDIN CSL_CITATION {"citationItems":[{"id":"ITEM-1","itemData":{"ISBN":"9781409408963","author":[{"dropping-particle":"","family":"Greenhough","given":"Beth","non-dropping-particle":"","parse-names":false,"suffix":""}],"container-title":"Taking-Place: Non-Representational Theories and Geography","id":"ITEM-1","issue":"May","issued":{"date-parts":[["2012"]]},"page":"37-54","title":"Vitalist geographies: Life and the more-than-human","type":"article-journal"},"uris":["http://www.mendeley.com/documents/?uuid=11b4a0bc-2076-4aa4-a3cb-10f4471b266f"]}],"mendeley":{"formattedCitation":"(Greenhough, 2012)","manualFormatting":"(Greenhough, 2016:43)","plainTextFormattedCitation":"(Greenhough, 2012)","previouslyFormattedCitation":"(Greenhough, 2012)"},"properties":{"noteIndex":0},"schema":"https://github.com/citation-style-language/schema/raw/master/csl-citation.json"}</w:instrText>
      </w:r>
      <w:r w:rsidR="00CC01F9">
        <w:rPr>
          <w:rFonts w:cs="Times New Roman"/>
          <w:color w:val="000000"/>
          <w:sz w:val="22"/>
        </w:rPr>
        <w:fldChar w:fldCharType="separate"/>
      </w:r>
      <w:r w:rsidR="00A1092A">
        <w:rPr>
          <w:rFonts w:cs="Times New Roman"/>
          <w:noProof/>
          <w:color w:val="000000"/>
          <w:sz w:val="22"/>
        </w:rPr>
        <w:t>(Greenhough, 2016</w:t>
      </w:r>
      <w:r w:rsidR="00CC01F9">
        <w:rPr>
          <w:rFonts w:cs="Times New Roman"/>
          <w:noProof/>
          <w:color w:val="000000"/>
          <w:sz w:val="22"/>
        </w:rPr>
        <w:t>:43</w:t>
      </w:r>
      <w:r w:rsidR="00CC01F9" w:rsidRPr="00CC01F9">
        <w:rPr>
          <w:rFonts w:cs="Times New Roman"/>
          <w:noProof/>
          <w:color w:val="000000"/>
          <w:sz w:val="22"/>
        </w:rPr>
        <w:t>)</w:t>
      </w:r>
      <w:r w:rsidR="00CC01F9">
        <w:rPr>
          <w:rFonts w:cs="Times New Roman"/>
          <w:color w:val="000000"/>
          <w:sz w:val="22"/>
        </w:rPr>
        <w:fldChar w:fldCharType="end"/>
      </w:r>
      <w:r w:rsidR="00CC01F9">
        <w:rPr>
          <w:rFonts w:cs="Times New Roman"/>
          <w:color w:val="000000"/>
          <w:sz w:val="22"/>
        </w:rPr>
        <w:t xml:space="preserve">. </w:t>
      </w:r>
      <w:r>
        <w:rPr>
          <w:rFonts w:cs="Times New Roman"/>
          <w:color w:val="000000"/>
          <w:sz w:val="22"/>
        </w:rPr>
        <w:t>In the case of caviar, its material properties are sensed rather than seen in a straightforward sense. The properties are made knowable through an assemblage of actors, technologies</w:t>
      </w:r>
      <w:r w:rsidR="00CC01F9">
        <w:rPr>
          <w:rFonts w:cs="Times New Roman"/>
          <w:color w:val="000000"/>
          <w:sz w:val="22"/>
        </w:rPr>
        <w:t>,</w:t>
      </w:r>
      <w:r>
        <w:rPr>
          <w:rFonts w:cs="Times New Roman"/>
          <w:color w:val="000000"/>
          <w:sz w:val="22"/>
        </w:rPr>
        <w:t xml:space="preserve"> and processes that combine to exceed the capacity of human visibility alone. </w:t>
      </w:r>
    </w:p>
    <w:p w14:paraId="7A467CC4" w14:textId="77538386" w:rsidR="00B97063" w:rsidRPr="000A5BD8" w:rsidRDefault="00B97063" w:rsidP="00FC70E0">
      <w:pPr>
        <w:rPr>
          <w:rFonts w:cs="Times New Roman"/>
          <w:color w:val="000000"/>
          <w:sz w:val="22"/>
        </w:rPr>
      </w:pPr>
      <w:r>
        <w:rPr>
          <w:rFonts w:cs="Times New Roman"/>
          <w:color w:val="000000"/>
          <w:sz w:val="22"/>
        </w:rPr>
        <w:tab/>
        <w:t xml:space="preserve">Moreover, vitalist geographers </w:t>
      </w:r>
      <w:r w:rsidR="00CC01F9">
        <w:rPr>
          <w:rFonts w:cs="Times New Roman"/>
          <w:color w:val="000000"/>
          <w:sz w:val="22"/>
        </w:rPr>
        <w:t>argue that there is a need to take</w:t>
      </w:r>
      <w:r>
        <w:rPr>
          <w:rFonts w:cs="Times New Roman"/>
          <w:color w:val="000000"/>
          <w:sz w:val="22"/>
        </w:rPr>
        <w:t xml:space="preserve"> </w:t>
      </w:r>
      <w:r w:rsidR="00CC01F9">
        <w:rPr>
          <w:rFonts w:cs="Times New Roman"/>
          <w:color w:val="000000"/>
          <w:sz w:val="22"/>
        </w:rPr>
        <w:t>“</w:t>
      </w:r>
      <w:r>
        <w:rPr>
          <w:rFonts w:cs="Times New Roman"/>
          <w:color w:val="000000"/>
          <w:sz w:val="22"/>
        </w:rPr>
        <w:t>seriously how worlds are formed through the constant interplay of li</w:t>
      </w:r>
      <w:r w:rsidR="00A1092A">
        <w:rPr>
          <w:rFonts w:cs="Times New Roman"/>
          <w:color w:val="000000"/>
          <w:sz w:val="22"/>
        </w:rPr>
        <w:t>fe and matter” (Greenhough, 2016</w:t>
      </w:r>
      <w:r>
        <w:rPr>
          <w:rFonts w:cs="Times New Roman"/>
          <w:color w:val="000000"/>
          <w:sz w:val="22"/>
        </w:rPr>
        <w:t>:51). This is true in the case of caviar, where the past liveliness of sturgeon and their energies as living beings, is interwoven into the matter of the caviar. The past energy of sturgeon is re-enlivened by the interplay that occurs when humans and technologies intervene at the molecular level of caviar, in order to attempt to make sense of its physical properties. Accessing this liveliness is the key to bringing the worlds of legal and illegal caviar trade into being. However in the case of caviar, part of the complex interplay between life and matter is that caviar often exceeds human efforts to make its material proper</w:t>
      </w:r>
      <w:r w:rsidR="006231A5">
        <w:rPr>
          <w:rFonts w:cs="Times New Roman"/>
          <w:color w:val="000000"/>
          <w:sz w:val="22"/>
        </w:rPr>
        <w:t xml:space="preserve">ties legible. A result of this </w:t>
      </w:r>
      <w:r>
        <w:rPr>
          <w:rFonts w:cs="Times New Roman"/>
          <w:color w:val="000000"/>
          <w:sz w:val="22"/>
        </w:rPr>
        <w:t xml:space="preserve">is that the grey caviar market is a world brought into being by the complex materiality of caviar, and the constant interplay of life and matter. </w:t>
      </w:r>
    </w:p>
    <w:p w14:paraId="7D2D5838" w14:textId="749EECFB" w:rsidR="00B97063" w:rsidRPr="009730F5" w:rsidRDefault="00B97063" w:rsidP="00FC70E0">
      <w:pPr>
        <w:ind w:firstLine="720"/>
        <w:rPr>
          <w:rFonts w:ascii="-webkit-standard" w:hAnsi="-webkit-standard" w:cs="Times New Roman"/>
          <w:color w:val="000000"/>
          <w:sz w:val="22"/>
        </w:rPr>
      </w:pPr>
      <w:r w:rsidRPr="009730F5">
        <w:rPr>
          <w:rFonts w:cs="Times New Roman"/>
          <w:color w:val="000000"/>
          <w:sz w:val="22"/>
        </w:rPr>
        <w:t xml:space="preserve">In sum, SIRA testing methods </w:t>
      </w:r>
      <w:r>
        <w:rPr>
          <w:rFonts w:cs="Times New Roman"/>
          <w:color w:val="000000"/>
          <w:sz w:val="22"/>
        </w:rPr>
        <w:t xml:space="preserve">can </w:t>
      </w:r>
      <w:r w:rsidRPr="009730F5">
        <w:rPr>
          <w:rFonts w:cs="Times New Roman"/>
          <w:color w:val="000000"/>
          <w:sz w:val="22"/>
        </w:rPr>
        <w:t xml:space="preserve">make the unknowable </w:t>
      </w:r>
      <w:r w:rsidR="006231A5">
        <w:rPr>
          <w:rFonts w:cs="Times New Roman"/>
          <w:color w:val="000000"/>
          <w:sz w:val="22"/>
        </w:rPr>
        <w:t xml:space="preserve">geographical </w:t>
      </w:r>
      <w:r w:rsidRPr="009730F5">
        <w:rPr>
          <w:rFonts w:cs="Times New Roman"/>
          <w:color w:val="000000"/>
          <w:sz w:val="22"/>
        </w:rPr>
        <w:t>properties of caviar knowable. These tests unearth the ‘liveliness’ of the caviar that is hidden in each egg, and forcefully demonstrate both the complex materiality of the caviar, but also demonstrate how vital it is for humans to intervene at a material level in order to make caviar ‘known’. </w:t>
      </w:r>
    </w:p>
    <w:p w14:paraId="4F9E67A3" w14:textId="34276F67" w:rsidR="00B97063" w:rsidRPr="009730F5" w:rsidRDefault="00B97063" w:rsidP="00FC70E0">
      <w:pPr>
        <w:ind w:firstLine="720"/>
        <w:rPr>
          <w:rFonts w:cs="Times New Roman"/>
          <w:color w:val="000000"/>
          <w:sz w:val="22"/>
        </w:rPr>
      </w:pPr>
      <w:r w:rsidRPr="009730F5">
        <w:rPr>
          <w:rFonts w:cs="Times New Roman"/>
          <w:color w:val="000000"/>
          <w:sz w:val="22"/>
        </w:rPr>
        <w:t>However, despite the evidence that suggests it is im</w:t>
      </w:r>
      <w:r>
        <w:rPr>
          <w:rFonts w:cs="Times New Roman"/>
          <w:color w:val="000000"/>
          <w:sz w:val="22"/>
        </w:rPr>
        <w:t xml:space="preserve">perative to get to the molecular </w:t>
      </w:r>
      <w:r w:rsidRPr="009730F5">
        <w:rPr>
          <w:rFonts w:cs="Times New Roman"/>
          <w:color w:val="000000"/>
          <w:sz w:val="22"/>
        </w:rPr>
        <w:t>essence of caviar in order to make it truly knowable, the deployment of these testing methods for enfor</w:t>
      </w:r>
      <w:r>
        <w:rPr>
          <w:rFonts w:cs="Times New Roman"/>
          <w:color w:val="000000"/>
          <w:sz w:val="22"/>
        </w:rPr>
        <w:t xml:space="preserve">cement is far from routine. Tom explained that the laboratory </w:t>
      </w:r>
      <w:r w:rsidRPr="009730F5">
        <w:rPr>
          <w:rFonts w:cs="Times New Roman"/>
          <w:color w:val="000000"/>
          <w:sz w:val="22"/>
        </w:rPr>
        <w:t>rarely test</w:t>
      </w:r>
      <w:r>
        <w:rPr>
          <w:rFonts w:cs="Times New Roman"/>
          <w:color w:val="000000"/>
          <w:sz w:val="22"/>
        </w:rPr>
        <w:t xml:space="preserve">s caviar - </w:t>
      </w:r>
      <w:r w:rsidRPr="009730F5">
        <w:rPr>
          <w:rFonts w:cs="Times New Roman"/>
          <w:color w:val="000000"/>
          <w:sz w:val="22"/>
        </w:rPr>
        <w:t xml:space="preserve">more frequently carrying out tests on timber and </w:t>
      </w:r>
      <w:r w:rsidR="00CC01F9">
        <w:rPr>
          <w:rFonts w:cs="Times New Roman"/>
          <w:color w:val="000000"/>
          <w:sz w:val="22"/>
        </w:rPr>
        <w:t xml:space="preserve">other </w:t>
      </w:r>
      <w:r w:rsidRPr="009730F5">
        <w:rPr>
          <w:rFonts w:cs="Times New Roman"/>
          <w:color w:val="000000"/>
          <w:sz w:val="22"/>
        </w:rPr>
        <w:t>food products - and that their involvement in testing caviar has been based upon the infrequent request of German customs. UK enforcement officials cited “manpower and cost”</w:t>
      </w:r>
      <w:r w:rsidRPr="005B292F">
        <w:rPr>
          <w:rStyle w:val="FootnoteReference"/>
        </w:rPr>
        <w:footnoteReference w:id="115"/>
      </w:r>
      <w:r w:rsidRPr="009730F5">
        <w:rPr>
          <w:rFonts w:cs="Times New Roman"/>
          <w:color w:val="000000"/>
          <w:sz w:val="22"/>
        </w:rPr>
        <w:t xml:space="preserve"> as preventing them from engaging in random-testing of caviar shipments, explaining that “there’s a big cost element and we usually only do testing if we need back-up for some reason, and if there is any reason we should be testing it. We don’t test indiscriminately”</w:t>
      </w:r>
      <w:r w:rsidRPr="005B292F">
        <w:rPr>
          <w:rStyle w:val="FootnoteReference"/>
        </w:rPr>
        <w:footnoteReference w:id="116"/>
      </w:r>
      <w:r w:rsidRPr="009730F5">
        <w:rPr>
          <w:rFonts w:cs="Times New Roman"/>
          <w:color w:val="000000"/>
          <w:sz w:val="22"/>
        </w:rPr>
        <w:t>. Similarly, when asking Belgian customs if they ever tested their caviar shipments to distinguish between legal and illegal product, they said “No… It’s too expensive. And it’s not necessary”</w:t>
      </w:r>
      <w:r w:rsidRPr="005B292F">
        <w:rPr>
          <w:rStyle w:val="FootnoteReference"/>
        </w:rPr>
        <w:footnoteReference w:id="117"/>
      </w:r>
      <w:r w:rsidRPr="009730F5">
        <w:rPr>
          <w:rFonts w:cs="Times New Roman"/>
          <w:color w:val="000000"/>
          <w:sz w:val="22"/>
        </w:rPr>
        <w:t xml:space="preserve">. Belgian Customs explained that if caviar shipments </w:t>
      </w:r>
      <w:r>
        <w:rPr>
          <w:rFonts w:cs="Times New Roman"/>
          <w:color w:val="000000"/>
          <w:sz w:val="22"/>
        </w:rPr>
        <w:t>appear to have</w:t>
      </w:r>
      <w:r w:rsidRPr="009730F5">
        <w:rPr>
          <w:rFonts w:cs="Times New Roman"/>
          <w:color w:val="000000"/>
          <w:sz w:val="22"/>
        </w:rPr>
        <w:t xml:space="preserve"> the correct labels and CITES documentation they would never </w:t>
      </w:r>
      <w:r w:rsidRPr="009730F5">
        <w:rPr>
          <w:rFonts w:cs="Times New Roman"/>
          <w:color w:val="000000"/>
          <w:sz w:val="22"/>
        </w:rPr>
        <w:lastRenderedPageBreak/>
        <w:t xml:space="preserve">test it, and if it is unmarked caviar then it is </w:t>
      </w:r>
      <w:r>
        <w:rPr>
          <w:rFonts w:cs="Times New Roman"/>
          <w:color w:val="000000"/>
          <w:sz w:val="22"/>
        </w:rPr>
        <w:t>simply seized and destroyed</w:t>
      </w:r>
      <w:r w:rsidRPr="009730F5">
        <w:rPr>
          <w:rFonts w:cs="Times New Roman"/>
          <w:color w:val="000000"/>
          <w:sz w:val="22"/>
        </w:rPr>
        <w:t xml:space="preserve"> without testing. This stance greatly worried Joseph, CEO of the testing laboratory, who exclaimed: “You’ve got to look at the paperwork and what that means and its implications, </w:t>
      </w:r>
      <w:r w:rsidRPr="009730F5">
        <w:rPr>
          <w:rFonts w:cs="Times New Roman"/>
          <w:i/>
          <w:iCs/>
          <w:color w:val="000000"/>
          <w:sz w:val="22"/>
        </w:rPr>
        <w:t xml:space="preserve">and </w:t>
      </w:r>
      <w:r w:rsidRPr="009730F5">
        <w:rPr>
          <w:rFonts w:cs="Times New Roman"/>
          <w:color w:val="000000"/>
          <w:sz w:val="22"/>
        </w:rPr>
        <w:t xml:space="preserve">also the product itself! You simply cannot </w:t>
      </w:r>
      <w:r w:rsidRPr="009730F5">
        <w:rPr>
          <w:rFonts w:cs="Times New Roman"/>
          <w:i/>
          <w:iCs/>
          <w:color w:val="000000"/>
          <w:sz w:val="22"/>
        </w:rPr>
        <w:t xml:space="preserve">not </w:t>
      </w:r>
      <w:r w:rsidRPr="009730F5">
        <w:rPr>
          <w:rFonts w:cs="Times New Roman"/>
          <w:color w:val="000000"/>
          <w:sz w:val="22"/>
        </w:rPr>
        <w:t>do some analysis”</w:t>
      </w:r>
      <w:r w:rsidRPr="005B292F">
        <w:rPr>
          <w:rStyle w:val="FootnoteReference"/>
        </w:rPr>
        <w:footnoteReference w:id="118"/>
      </w:r>
      <w:r w:rsidRPr="009730F5">
        <w:rPr>
          <w:rFonts w:cs="Times New Roman"/>
          <w:color w:val="000000"/>
          <w:sz w:val="22"/>
        </w:rPr>
        <w:t xml:space="preserve">. </w:t>
      </w:r>
    </w:p>
    <w:p w14:paraId="0AFAA578" w14:textId="01589999" w:rsidR="00B97063" w:rsidRDefault="00B97063" w:rsidP="00FC70E0">
      <w:pPr>
        <w:ind w:firstLine="720"/>
        <w:rPr>
          <w:rFonts w:cs="Times New Roman"/>
          <w:color w:val="000000"/>
          <w:sz w:val="22"/>
        </w:rPr>
      </w:pPr>
      <w:r w:rsidRPr="009730F5">
        <w:rPr>
          <w:rFonts w:cs="Times New Roman"/>
          <w:color w:val="000000"/>
          <w:sz w:val="22"/>
        </w:rPr>
        <w:t>The lack of widespre</w:t>
      </w:r>
      <w:r w:rsidR="00F67750">
        <w:rPr>
          <w:rFonts w:cs="Times New Roman"/>
          <w:color w:val="000000"/>
          <w:sz w:val="22"/>
        </w:rPr>
        <w:t xml:space="preserve">ad testing of caviar shipments </w:t>
      </w:r>
      <w:r>
        <w:rPr>
          <w:rFonts w:cs="Times New Roman"/>
          <w:color w:val="000000"/>
          <w:sz w:val="22"/>
        </w:rPr>
        <w:t xml:space="preserve">reflects a general faith in the </w:t>
      </w:r>
      <w:r w:rsidR="00F67750">
        <w:rPr>
          <w:rFonts w:cs="Times New Roman"/>
          <w:color w:val="000000"/>
          <w:sz w:val="22"/>
        </w:rPr>
        <w:t xml:space="preserve">CITES </w:t>
      </w:r>
      <w:r w:rsidRPr="009730F5">
        <w:rPr>
          <w:rFonts w:cs="Times New Roman"/>
          <w:color w:val="000000"/>
          <w:sz w:val="22"/>
        </w:rPr>
        <w:t xml:space="preserve">paperwork </w:t>
      </w:r>
      <w:r>
        <w:rPr>
          <w:rFonts w:cs="Times New Roman"/>
          <w:color w:val="000000"/>
          <w:sz w:val="22"/>
        </w:rPr>
        <w:t xml:space="preserve">system, which in turn </w:t>
      </w:r>
      <w:r w:rsidRPr="009730F5">
        <w:rPr>
          <w:rFonts w:cs="Times New Roman"/>
          <w:color w:val="000000"/>
          <w:sz w:val="22"/>
        </w:rPr>
        <w:t xml:space="preserve">produces a potential loophole for illicit activities. Indeed, NGOs undertaking market surveys of caviar and sturgeon products for sale across European markets, have demonstrated the need for conducting testing to verify that materially caviar </w:t>
      </w:r>
      <w:r w:rsidRPr="009730F5">
        <w:rPr>
          <w:rFonts w:cs="Times New Roman"/>
          <w:i/>
          <w:iCs/>
          <w:color w:val="000000"/>
          <w:sz w:val="22"/>
        </w:rPr>
        <w:t>is</w:t>
      </w:r>
      <w:r w:rsidRPr="009730F5">
        <w:rPr>
          <w:rFonts w:cs="Times New Roman"/>
          <w:color w:val="000000"/>
          <w:sz w:val="22"/>
        </w:rPr>
        <w:t xml:space="preserve"> what it says it is on the tin</w:t>
      </w:r>
      <w:r w:rsidR="0009234F" w:rsidRPr="005B292F">
        <w:rPr>
          <w:rStyle w:val="FootnoteReference"/>
        </w:rPr>
        <w:footnoteReference w:id="119"/>
      </w:r>
      <w:r w:rsidRPr="009730F5">
        <w:rPr>
          <w:rFonts w:cs="Times New Roman"/>
          <w:color w:val="000000"/>
          <w:sz w:val="22"/>
        </w:rPr>
        <w:t>. Coordinated market survey</w:t>
      </w:r>
      <w:r>
        <w:rPr>
          <w:rFonts w:cs="Times New Roman"/>
          <w:color w:val="000000"/>
          <w:sz w:val="22"/>
        </w:rPr>
        <w:t xml:space="preserve">s across different national NGO </w:t>
      </w:r>
      <w:r w:rsidRPr="009730F5">
        <w:rPr>
          <w:rFonts w:cs="Times New Roman"/>
          <w:color w:val="000000"/>
          <w:sz w:val="22"/>
        </w:rPr>
        <w:t>offices (Romania, Bulgaria, Ukraine and Serbia) have involved buying sturgeon meat and caviar from markets and testing the tins “to see if the species is what they say it is, and if they are from aquaculture or not”</w:t>
      </w:r>
      <w:r w:rsidRPr="005B292F">
        <w:rPr>
          <w:rStyle w:val="FootnoteReference"/>
        </w:rPr>
        <w:footnoteReference w:id="120"/>
      </w:r>
      <w:r w:rsidRPr="009730F5">
        <w:rPr>
          <w:rFonts w:cs="Times New Roman"/>
          <w:color w:val="000000"/>
          <w:sz w:val="22"/>
        </w:rPr>
        <w:t>. The results have demonstrated that poached meat and caviar is being sold as farmed product, and also that “many of the labels are not according to the CITES recommendations”</w:t>
      </w:r>
      <w:r w:rsidRPr="005B292F">
        <w:rPr>
          <w:rStyle w:val="FootnoteReference"/>
        </w:rPr>
        <w:footnoteReference w:id="121"/>
      </w:r>
      <w:r w:rsidRPr="009730F5">
        <w:rPr>
          <w:rFonts w:cs="Times New Roman"/>
          <w:color w:val="000000"/>
          <w:sz w:val="22"/>
        </w:rPr>
        <w:t xml:space="preserve">. </w:t>
      </w:r>
      <w:r>
        <w:rPr>
          <w:rFonts w:cs="Times New Roman"/>
          <w:color w:val="000000"/>
          <w:sz w:val="22"/>
        </w:rPr>
        <w:t xml:space="preserve">This </w:t>
      </w:r>
      <w:r w:rsidR="00F2195A">
        <w:rPr>
          <w:rFonts w:cs="Times New Roman"/>
          <w:color w:val="000000"/>
          <w:sz w:val="22"/>
        </w:rPr>
        <w:t xml:space="preserve">points to a gap in enforcement </w:t>
      </w:r>
      <w:r>
        <w:rPr>
          <w:rFonts w:cs="Times New Roman"/>
          <w:color w:val="000000"/>
          <w:sz w:val="22"/>
        </w:rPr>
        <w:t>and a need for more widespread SIRA testing of caviar</w:t>
      </w:r>
      <w:r w:rsidR="00F2195A">
        <w:rPr>
          <w:rFonts w:cs="Times New Roman"/>
          <w:color w:val="000000"/>
          <w:sz w:val="22"/>
        </w:rPr>
        <w:t>,</w:t>
      </w:r>
      <w:r>
        <w:rPr>
          <w:rFonts w:cs="Times New Roman"/>
          <w:color w:val="000000"/>
          <w:sz w:val="22"/>
        </w:rPr>
        <w:t xml:space="preserve"> or illegal trade can continue undetected. </w:t>
      </w:r>
    </w:p>
    <w:p w14:paraId="4A5B323C" w14:textId="6E043B34" w:rsidR="00B97063" w:rsidRPr="00F2195A" w:rsidRDefault="00B97063" w:rsidP="00FC70E0">
      <w:pPr>
        <w:ind w:firstLine="720"/>
        <w:rPr>
          <w:rFonts w:cs="Times New Roman"/>
          <w:color w:val="000000"/>
          <w:sz w:val="22"/>
        </w:rPr>
      </w:pPr>
      <w:r>
        <w:rPr>
          <w:rFonts w:cs="Times New Roman"/>
          <w:color w:val="000000"/>
          <w:sz w:val="22"/>
        </w:rPr>
        <w:t>But at the same time, there have</w:t>
      </w:r>
      <w:r w:rsidRPr="009730F5">
        <w:rPr>
          <w:rFonts w:cs="Times New Roman"/>
          <w:color w:val="000000"/>
          <w:sz w:val="22"/>
        </w:rPr>
        <w:t xml:space="preserve"> been </w:t>
      </w:r>
      <w:r>
        <w:rPr>
          <w:rFonts w:cs="Times New Roman"/>
          <w:color w:val="000000"/>
          <w:sz w:val="22"/>
        </w:rPr>
        <w:t xml:space="preserve">incidences of </w:t>
      </w:r>
      <w:r w:rsidRPr="009730F5">
        <w:rPr>
          <w:rFonts w:cs="Times New Roman"/>
          <w:color w:val="000000"/>
          <w:sz w:val="22"/>
        </w:rPr>
        <w:t>unexpected and problematic results that have emerged from the tes</w:t>
      </w:r>
      <w:r w:rsidR="00F67750">
        <w:rPr>
          <w:rFonts w:cs="Times New Roman"/>
          <w:color w:val="000000"/>
          <w:sz w:val="22"/>
        </w:rPr>
        <w:t xml:space="preserve">ting of caviar obtained during </w:t>
      </w:r>
      <w:r>
        <w:rPr>
          <w:rFonts w:cs="Times New Roman"/>
          <w:color w:val="000000"/>
          <w:sz w:val="22"/>
        </w:rPr>
        <w:t xml:space="preserve">NGO </w:t>
      </w:r>
      <w:r w:rsidRPr="009730F5">
        <w:rPr>
          <w:rFonts w:cs="Times New Roman"/>
          <w:color w:val="000000"/>
          <w:sz w:val="22"/>
        </w:rPr>
        <w:t>market surveys. NGO Project Manager</w:t>
      </w:r>
      <w:r w:rsidR="00F67750">
        <w:rPr>
          <w:rFonts w:cs="Times New Roman"/>
          <w:color w:val="000000"/>
          <w:sz w:val="22"/>
        </w:rPr>
        <w:t xml:space="preserve"> Sigrid</w:t>
      </w:r>
      <w:r w:rsidRPr="009730F5">
        <w:rPr>
          <w:rFonts w:cs="Times New Roman"/>
          <w:color w:val="000000"/>
          <w:sz w:val="22"/>
        </w:rPr>
        <w:t xml:space="preserve"> explained a situation that she called a “major problem”, whereby results from the market survey </w:t>
      </w:r>
      <w:r w:rsidR="00F67750">
        <w:rPr>
          <w:rFonts w:cs="Times New Roman"/>
          <w:color w:val="000000"/>
          <w:sz w:val="22"/>
        </w:rPr>
        <w:t>identified a sample of</w:t>
      </w:r>
      <w:r>
        <w:rPr>
          <w:rFonts w:cs="Times New Roman"/>
          <w:color w:val="000000"/>
          <w:sz w:val="22"/>
        </w:rPr>
        <w:t xml:space="preserve"> caviar produced by an </w:t>
      </w:r>
      <w:r w:rsidRPr="009730F5">
        <w:rPr>
          <w:rFonts w:cs="Times New Roman"/>
          <w:color w:val="000000"/>
          <w:sz w:val="22"/>
        </w:rPr>
        <w:t>aquaculture facil</w:t>
      </w:r>
      <w:r w:rsidR="00F67750">
        <w:rPr>
          <w:rFonts w:cs="Times New Roman"/>
          <w:color w:val="000000"/>
          <w:sz w:val="22"/>
        </w:rPr>
        <w:t xml:space="preserve">ity in Ukraine, as </w:t>
      </w:r>
      <w:r w:rsidRPr="009730F5">
        <w:rPr>
          <w:rFonts w:cs="Times New Roman"/>
          <w:color w:val="000000"/>
          <w:sz w:val="22"/>
        </w:rPr>
        <w:t xml:space="preserve">illegally sourced from the Black Sea region. </w:t>
      </w:r>
      <w:r>
        <w:rPr>
          <w:rFonts w:cs="Times New Roman"/>
          <w:color w:val="000000"/>
          <w:sz w:val="22"/>
        </w:rPr>
        <w:t>Sigrid explained that following these results:</w:t>
      </w:r>
    </w:p>
    <w:p w14:paraId="12595B43" w14:textId="77777777" w:rsidR="00FC70E0" w:rsidRDefault="00F2195A" w:rsidP="00FC70E0">
      <w:pPr>
        <w:pStyle w:val="Quote"/>
      </w:pPr>
      <w:r>
        <w:t>O</w:t>
      </w:r>
      <w:r w:rsidR="00B97063" w:rsidRPr="00216489">
        <w:t>ur colleagues from Ukraine said: ‘but we don’t believe it that this is really poached caviar. We know the company. We really trust the company.’ And so they went there again to this aquaculture facility and found that they are actually feeding their sturgeons with wild-caught fish from the Black Sea. And this could be a reason why the isotope ratio looks like the caviar was actually from wild sturgeons</w:t>
      </w:r>
      <w:r>
        <w:t>.</w:t>
      </w:r>
      <w:r w:rsidRPr="005B292F">
        <w:rPr>
          <w:rStyle w:val="FootnoteReference"/>
        </w:rPr>
        <w:footnoteReference w:id="122"/>
      </w:r>
      <w:r w:rsidR="00B97063" w:rsidRPr="00216489">
        <w:t xml:space="preserve"> </w:t>
      </w:r>
    </w:p>
    <w:p w14:paraId="77A04E05" w14:textId="77777777" w:rsidR="00FC70E0" w:rsidRDefault="00B97063" w:rsidP="00FC70E0">
      <w:pPr>
        <w:rPr>
          <w:rFonts w:cs="Times New Roman"/>
          <w:color w:val="000000"/>
          <w:sz w:val="22"/>
        </w:rPr>
      </w:pPr>
      <w:r w:rsidRPr="009730F5">
        <w:rPr>
          <w:rFonts w:cs="Times New Roman"/>
          <w:color w:val="000000"/>
          <w:sz w:val="22"/>
        </w:rPr>
        <w:t>This is a forceful demonstration of the micropolitical impact of the “constant interplay of life and matter”</w:t>
      </w:r>
      <w:r w:rsidR="00A1092A">
        <w:rPr>
          <w:rFonts w:cs="Times New Roman"/>
          <w:color w:val="000000"/>
          <w:sz w:val="22"/>
        </w:rPr>
        <w:t xml:space="preserve"> (Greenhough, 2016</w:t>
      </w:r>
      <w:r w:rsidR="00F2195A">
        <w:rPr>
          <w:rFonts w:cs="Times New Roman"/>
          <w:color w:val="000000"/>
          <w:sz w:val="22"/>
        </w:rPr>
        <w:t xml:space="preserve">:51), </w:t>
      </w:r>
      <w:r w:rsidRPr="009730F5">
        <w:rPr>
          <w:rFonts w:cs="Times New Roman"/>
          <w:color w:val="000000"/>
          <w:sz w:val="22"/>
        </w:rPr>
        <w:t>whereby the lives of sturgeon directly impacts the properties of caviar, and this can have unexpected political consequences. </w:t>
      </w:r>
    </w:p>
    <w:p w14:paraId="52A1B1AA" w14:textId="5BDE0622" w:rsidR="00B97063" w:rsidRPr="00FC70E0" w:rsidRDefault="00B97063" w:rsidP="00FC70E0">
      <w:pPr>
        <w:ind w:firstLine="720"/>
        <w:rPr>
          <w:rFonts w:cs="Times New Roman"/>
          <w:color w:val="000000"/>
          <w:sz w:val="22"/>
        </w:rPr>
      </w:pPr>
      <w:r w:rsidRPr="009730F5">
        <w:rPr>
          <w:rFonts w:cs="Times New Roman"/>
          <w:color w:val="000000"/>
          <w:sz w:val="22"/>
        </w:rPr>
        <w:lastRenderedPageBreak/>
        <w:t>The above example thus casts doubt over the efficacy of the SIRA testing method in making caviar truly knowable. UK Customs Officer Vince also expressed his concerns about the tests, saying “I’m not sure the stable isotopes is good enough to see where the caviar came from, whether it’s from the Caspian or wherever. I’m not sure that technology is in place”</w:t>
      </w:r>
      <w:r w:rsidRPr="005B292F">
        <w:rPr>
          <w:rStyle w:val="FootnoteReference"/>
        </w:rPr>
        <w:footnoteReference w:id="123"/>
      </w:r>
      <w:r w:rsidRPr="009730F5">
        <w:rPr>
          <w:rFonts w:cs="Times New Roman"/>
          <w:color w:val="000000"/>
          <w:sz w:val="22"/>
        </w:rPr>
        <w:t>. The example therefore disrupts the notion that the material origin of caviar can be made totally legible. Despite the human interventions designed to make the physical properties of caviar knowable, ultimately the complex material nature of caviar obfuscates testing mechanisms, and defies straightforward identification. As it stands, there does not exist a totally fool</w:t>
      </w:r>
      <w:r w:rsidR="00F67750">
        <w:rPr>
          <w:rFonts w:cs="Times New Roman"/>
          <w:color w:val="000000"/>
          <w:sz w:val="22"/>
        </w:rPr>
        <w:t>-</w:t>
      </w:r>
      <w:r w:rsidRPr="009730F5">
        <w:rPr>
          <w:rFonts w:cs="Times New Roman"/>
          <w:color w:val="000000"/>
          <w:sz w:val="22"/>
        </w:rPr>
        <w:t xml:space="preserve">proof way of </w:t>
      </w:r>
      <w:r w:rsidR="00F67750">
        <w:rPr>
          <w:rFonts w:cs="Times New Roman"/>
          <w:color w:val="000000"/>
          <w:sz w:val="22"/>
        </w:rPr>
        <w:t>establishing</w:t>
      </w:r>
      <w:r w:rsidRPr="009730F5">
        <w:rPr>
          <w:rFonts w:cs="Times New Roman"/>
          <w:color w:val="000000"/>
          <w:sz w:val="22"/>
        </w:rPr>
        <w:t xml:space="preserve"> b</w:t>
      </w:r>
      <w:r w:rsidR="00F67750">
        <w:rPr>
          <w:rFonts w:cs="Times New Roman"/>
          <w:color w:val="000000"/>
          <w:sz w:val="22"/>
        </w:rPr>
        <w:t>eyond doubt</w:t>
      </w:r>
      <w:r w:rsidRPr="009730F5">
        <w:rPr>
          <w:rFonts w:cs="Times New Roman"/>
          <w:color w:val="000000"/>
          <w:sz w:val="22"/>
        </w:rPr>
        <w:t xml:space="preserve"> the material origin of a sample of caviar. Thus, in some instances caviar remains materially unknowable. This ‘unknowability’ points to the vitality of caviar as a m</w:t>
      </w:r>
      <w:r w:rsidR="00802242">
        <w:rPr>
          <w:rFonts w:cs="Times New Roman"/>
          <w:color w:val="000000"/>
          <w:sz w:val="22"/>
        </w:rPr>
        <w:t>aterial, and demonstrates that “</w:t>
      </w:r>
      <w:r w:rsidRPr="009730F5">
        <w:rPr>
          <w:rFonts w:cs="Times New Roman"/>
          <w:color w:val="000000"/>
          <w:sz w:val="22"/>
        </w:rPr>
        <w:t>materials are vibrant: they are not infinitely malleable, they retain certain independence from humans, and they influence outcomes through conne</w:t>
      </w:r>
      <w:r w:rsidR="00802242">
        <w:rPr>
          <w:rFonts w:cs="Times New Roman"/>
          <w:color w:val="000000"/>
          <w:sz w:val="22"/>
        </w:rPr>
        <w:t xml:space="preserve">ctions, disruptions, and flows” </w:t>
      </w:r>
      <w:r w:rsidRPr="009730F5">
        <w:rPr>
          <w:rFonts w:cs="Times New Roman"/>
          <w:color w:val="000000"/>
          <w:sz w:val="22"/>
        </w:rPr>
        <w:t>(Bennett, 2010 in Barua, 2014: 14</w:t>
      </w:r>
      <w:r w:rsidR="00802242">
        <w:rPr>
          <w:rFonts w:cs="Times New Roman"/>
          <w:color w:val="000000"/>
          <w:sz w:val="22"/>
        </w:rPr>
        <w:t>64). The caviar possesses some “</w:t>
      </w:r>
      <w:r w:rsidRPr="009730F5">
        <w:rPr>
          <w:rFonts w:cs="Times New Roman"/>
          <w:color w:val="000000"/>
          <w:sz w:val="22"/>
        </w:rPr>
        <w:t>properties, energies, potential</w:t>
      </w:r>
      <w:r w:rsidR="00802242">
        <w:rPr>
          <w:rFonts w:cs="Times New Roman"/>
          <w:color w:val="000000"/>
          <w:sz w:val="22"/>
        </w:rPr>
        <w:t>ities, affects and affordances”</w:t>
      </w:r>
      <w:r>
        <w:rPr>
          <w:rFonts w:cs="Times New Roman"/>
          <w:color w:val="000000"/>
          <w:sz w:val="22"/>
        </w:rPr>
        <w:t xml:space="preserve"> </w:t>
      </w:r>
      <w:r w:rsidRPr="009730F5">
        <w:rPr>
          <w:rFonts w:cs="Times New Roman"/>
          <w:color w:val="000000"/>
          <w:sz w:val="22"/>
        </w:rPr>
        <w:t xml:space="preserve">(Sundberg, 2011: 322) that exceed human efforts to make the material properties of caviar legible. </w:t>
      </w:r>
    </w:p>
    <w:p w14:paraId="20299F7A" w14:textId="0079EBAC" w:rsidR="00B97063" w:rsidRDefault="00B97063" w:rsidP="00FC70E0">
      <w:pPr>
        <w:rPr>
          <w:rFonts w:eastAsia="Times New Roman" w:cs="Times New Roman"/>
          <w:sz w:val="22"/>
        </w:rPr>
      </w:pPr>
      <w:r w:rsidRPr="009730F5">
        <w:rPr>
          <w:rFonts w:eastAsia="Times New Roman" w:cs="Times New Roman"/>
          <w:sz w:val="22"/>
        </w:rPr>
        <w:tab/>
        <w:t xml:space="preserve">Engaging seriously with caviar as a material has revealed that caviar possesses complex physical properties that even the latest technological developments cannot always </w:t>
      </w:r>
      <w:r w:rsidR="00F67750">
        <w:rPr>
          <w:rFonts w:eastAsia="Times New Roman" w:cs="Times New Roman"/>
          <w:sz w:val="22"/>
        </w:rPr>
        <w:t xml:space="preserve">decipher or </w:t>
      </w:r>
      <w:r w:rsidRPr="009730F5">
        <w:rPr>
          <w:rFonts w:eastAsia="Times New Roman" w:cs="Times New Roman"/>
          <w:sz w:val="22"/>
        </w:rPr>
        <w:t>make knowable. This in turn produces gaps in the enfo</w:t>
      </w:r>
      <w:r>
        <w:rPr>
          <w:rFonts w:eastAsia="Times New Roman" w:cs="Times New Roman"/>
          <w:sz w:val="22"/>
        </w:rPr>
        <w:t xml:space="preserve">rcement chain where caviar is not </w:t>
      </w:r>
      <w:r w:rsidRPr="009730F5">
        <w:rPr>
          <w:rFonts w:eastAsia="Times New Roman" w:cs="Times New Roman"/>
          <w:sz w:val="22"/>
        </w:rPr>
        <w:t>tested</w:t>
      </w:r>
      <w:r>
        <w:rPr>
          <w:rFonts w:eastAsia="Times New Roman" w:cs="Times New Roman"/>
          <w:sz w:val="22"/>
        </w:rPr>
        <w:t>, or the results are unclear</w:t>
      </w:r>
      <w:r w:rsidRPr="009730F5">
        <w:rPr>
          <w:rFonts w:eastAsia="Times New Roman" w:cs="Times New Roman"/>
          <w:sz w:val="22"/>
        </w:rPr>
        <w:t xml:space="preserve">. Thus, caviar exceeds human efforts to make its material provenance legible – and this has macropolitical impacts. </w:t>
      </w:r>
      <w:r>
        <w:rPr>
          <w:rFonts w:eastAsia="Times New Roman" w:cs="Times New Roman"/>
          <w:sz w:val="22"/>
        </w:rPr>
        <w:t xml:space="preserve">I argue that the unknowable materiality of caviar is central to the formation of the caviar </w:t>
      </w:r>
      <w:r w:rsidR="00F67750">
        <w:rPr>
          <w:rFonts w:eastAsia="Times New Roman" w:cs="Times New Roman"/>
          <w:sz w:val="22"/>
        </w:rPr>
        <w:t>grey market in the EU; and I develop</w:t>
      </w:r>
      <w:r>
        <w:rPr>
          <w:rFonts w:eastAsia="Times New Roman" w:cs="Times New Roman"/>
          <w:sz w:val="22"/>
        </w:rPr>
        <w:t xml:space="preserve"> </w:t>
      </w:r>
      <w:r w:rsidRPr="009730F5">
        <w:rPr>
          <w:rFonts w:eastAsia="Times New Roman" w:cs="Times New Roman"/>
          <w:sz w:val="22"/>
        </w:rPr>
        <w:t xml:space="preserve">MacKenzie and Yates’ (2017) threefold distinction of ‘greyness’ </w:t>
      </w:r>
      <w:r>
        <w:rPr>
          <w:rFonts w:eastAsia="Times New Roman" w:cs="Times New Roman"/>
          <w:sz w:val="22"/>
        </w:rPr>
        <w:t xml:space="preserve">to theorise caviar materiality and the grey market. </w:t>
      </w:r>
    </w:p>
    <w:p w14:paraId="77D7C131" w14:textId="5BB46675" w:rsidR="00B97063" w:rsidRDefault="00216489" w:rsidP="00216489">
      <w:pPr>
        <w:pStyle w:val="Heading2"/>
      </w:pPr>
      <w:bookmarkStart w:id="68" w:name="_Toc453224227"/>
      <w:r>
        <w:t xml:space="preserve">5.2 </w:t>
      </w:r>
      <w:r w:rsidR="00B97063" w:rsidRPr="00850D7C">
        <w:t>Illicit Activities and the Caviar Grey Market</w:t>
      </w:r>
      <w:bookmarkEnd w:id="68"/>
    </w:p>
    <w:p w14:paraId="2B1B65A5" w14:textId="7CC437D1" w:rsidR="00B97063" w:rsidRPr="00216489" w:rsidRDefault="00216489" w:rsidP="00216489">
      <w:pPr>
        <w:pStyle w:val="Heading3"/>
      </w:pPr>
      <w:bookmarkStart w:id="69" w:name="_Toc453224228"/>
      <w:r w:rsidRPr="00216489">
        <w:t xml:space="preserve">5.2.1 </w:t>
      </w:r>
      <w:r w:rsidR="00B97063" w:rsidRPr="00216489">
        <w:t>Grey Markets</w:t>
      </w:r>
      <w:bookmarkEnd w:id="69"/>
    </w:p>
    <w:p w14:paraId="551733B2" w14:textId="64004CAF" w:rsidR="00B97063" w:rsidRPr="00850D7C" w:rsidRDefault="00B97063" w:rsidP="00FC70E0">
      <w:pPr>
        <w:rPr>
          <w:rFonts w:eastAsia="Times New Roman" w:cs="Times New Roman"/>
          <w:b/>
          <w:sz w:val="22"/>
        </w:rPr>
      </w:pPr>
      <w:r w:rsidRPr="00850D7C">
        <w:rPr>
          <w:rFonts w:cs="Times New Roman"/>
          <w:sz w:val="22"/>
        </w:rPr>
        <w:t xml:space="preserve">I argue that the caviar trade in the European Union is a ‘grey market’. Moreover, I make the case that it is the unknowable material properties of caviar that prove integral in co-producing the ‘greyness’ of the activities that consolidate the </w:t>
      </w:r>
      <w:r w:rsidR="002814D0">
        <w:rPr>
          <w:rFonts w:cs="Times New Roman"/>
          <w:sz w:val="22"/>
        </w:rPr>
        <w:t xml:space="preserve">EU </w:t>
      </w:r>
      <w:r w:rsidRPr="00850D7C">
        <w:rPr>
          <w:rFonts w:cs="Times New Roman"/>
          <w:sz w:val="22"/>
        </w:rPr>
        <w:t xml:space="preserve">caviar market as a grey one. The notion of grey market employed here differs from the typical economic use of the term, in which a grey market is a shadow economy or parallel market which is not illegal, but where the objects in international trade are not authorised for sale in particular international markets. Instead, the notion of the grey market which I </w:t>
      </w:r>
      <w:r w:rsidR="005507BD">
        <w:rPr>
          <w:rFonts w:cs="Times New Roman"/>
          <w:sz w:val="22"/>
        </w:rPr>
        <w:t>deploy</w:t>
      </w:r>
      <w:r w:rsidRPr="00850D7C">
        <w:rPr>
          <w:rFonts w:cs="Times New Roman"/>
          <w:sz w:val="22"/>
        </w:rPr>
        <w:t xml:space="preserve">, is one that has been applied extensively to the illicit trade in antiquities – although interestingly not to illegal wildlife trade. Using MacKenzie and Yates’ (2017) framework, I demonstrate how the concept of ‘greyness’ and the ‘grey market’ is directly applicable to the characteristics and the functioning of the illicit trade in caviar in the European Union. I therefore show that their framework has wider purchase beyond a focus on illicit antiquities. </w:t>
      </w:r>
    </w:p>
    <w:p w14:paraId="70B27D21" w14:textId="7D5C5C86" w:rsidR="002814D0" w:rsidRDefault="00B97063" w:rsidP="00FC70E0">
      <w:pPr>
        <w:rPr>
          <w:rFonts w:cs="Times New Roman"/>
          <w:sz w:val="22"/>
        </w:rPr>
      </w:pPr>
      <w:r w:rsidRPr="009730F5">
        <w:rPr>
          <w:rFonts w:cs="Times New Roman"/>
          <w:sz w:val="22"/>
        </w:rPr>
        <w:lastRenderedPageBreak/>
        <w:tab/>
        <w:t>MacKenzie and Yates</w:t>
      </w:r>
      <w:r w:rsidR="005507BD">
        <w:rPr>
          <w:rFonts w:cs="Times New Roman"/>
          <w:sz w:val="22"/>
        </w:rPr>
        <w:t xml:space="preserve"> (2017)</w:t>
      </w:r>
      <w:r>
        <w:rPr>
          <w:rFonts w:cs="Times New Roman"/>
          <w:sz w:val="22"/>
        </w:rPr>
        <w:t xml:space="preserve"> state that usually the term grey market</w:t>
      </w:r>
      <w:r w:rsidRPr="009730F5">
        <w:rPr>
          <w:rFonts w:cs="Times New Roman"/>
          <w:sz w:val="22"/>
        </w:rPr>
        <w:t xml:space="preserve"> refers to the mixing of looted antiquities with those that can be sold legally. This</w:t>
      </w:r>
      <w:r>
        <w:rPr>
          <w:rFonts w:cs="Times New Roman"/>
          <w:sz w:val="22"/>
        </w:rPr>
        <w:t xml:space="preserve"> mixing</w:t>
      </w:r>
      <w:r w:rsidRPr="009730F5">
        <w:rPr>
          <w:rFonts w:cs="Times New Roman"/>
          <w:sz w:val="22"/>
        </w:rPr>
        <w:t xml:space="preserve"> process is routinely witnessed in the caviar trade. However, they also demonstr</w:t>
      </w:r>
      <w:r>
        <w:rPr>
          <w:rFonts w:cs="Times New Roman"/>
          <w:sz w:val="22"/>
        </w:rPr>
        <w:t>ate that grey markets</w:t>
      </w:r>
      <w:r w:rsidR="005507BD">
        <w:rPr>
          <w:rFonts w:cs="Times New Roman"/>
          <w:sz w:val="22"/>
        </w:rPr>
        <w:t xml:space="preserve"> are characterised</w:t>
      </w:r>
      <w:r w:rsidRPr="009730F5">
        <w:rPr>
          <w:rFonts w:cs="Times New Roman"/>
          <w:sz w:val="22"/>
        </w:rPr>
        <w:t xml:space="preserve"> b</w:t>
      </w:r>
      <w:r>
        <w:rPr>
          <w:rFonts w:cs="Times New Roman"/>
          <w:sz w:val="22"/>
        </w:rPr>
        <w:t xml:space="preserve">y further nuanced forms of greyness </w:t>
      </w:r>
      <w:r w:rsidRPr="009730F5">
        <w:rPr>
          <w:rFonts w:cs="Times New Roman"/>
          <w:sz w:val="22"/>
        </w:rPr>
        <w:t>that take place at the interface</w:t>
      </w:r>
      <w:r>
        <w:rPr>
          <w:rFonts w:cs="Times New Roman"/>
          <w:sz w:val="22"/>
        </w:rPr>
        <w:t>s</w:t>
      </w:r>
      <w:r w:rsidRPr="009730F5">
        <w:rPr>
          <w:rFonts w:cs="Times New Roman"/>
          <w:sz w:val="22"/>
        </w:rPr>
        <w:t xml:space="preserve"> between legality and illegalit</w:t>
      </w:r>
      <w:r w:rsidR="002814D0">
        <w:rPr>
          <w:rFonts w:cs="Times New Roman"/>
          <w:sz w:val="22"/>
        </w:rPr>
        <w:t>y. They explain that greyness:</w:t>
      </w:r>
      <w:r>
        <w:rPr>
          <w:rFonts w:cs="Times New Roman"/>
          <w:sz w:val="22"/>
        </w:rPr>
        <w:t xml:space="preserve"> </w:t>
      </w:r>
    </w:p>
    <w:p w14:paraId="7A8AC810" w14:textId="05E3F99B" w:rsidR="005507BD" w:rsidRPr="005507BD" w:rsidRDefault="002814D0" w:rsidP="00FC70E0">
      <w:pPr>
        <w:pStyle w:val="Quote"/>
        <w:rPr>
          <w:rFonts w:cs="Times New Roman"/>
        </w:rPr>
      </w:pPr>
      <w:r>
        <w:t>F</w:t>
      </w:r>
      <w:r w:rsidR="00B97063" w:rsidRPr="002814D0">
        <w:t>irst seems a somewhat straightforward and perhaps self-evident adjective to describ</w:t>
      </w:r>
      <w:r>
        <w:t>e the global antiquities market…</w:t>
      </w:r>
      <w:r w:rsidR="00B97063" w:rsidRPr="002814D0">
        <w:t>closer analysis finds several layers of meaning which allude to the multiple ways in which the interface between il/legal, il/legi</w:t>
      </w:r>
      <w:r w:rsidR="005507BD">
        <w:t>timate and in/appropriate works</w:t>
      </w:r>
      <w:r w:rsidR="00B97063" w:rsidRPr="002814D0">
        <w:t xml:space="preserve"> in this marketplace (</w:t>
      </w:r>
      <w:r w:rsidR="005507BD">
        <w:t xml:space="preserve">Mackenzie &amp; Yates, </w:t>
      </w:r>
      <w:r w:rsidR="00B97063" w:rsidRPr="002814D0">
        <w:t>2017: 84).</w:t>
      </w:r>
      <w:r w:rsidR="00B97063" w:rsidRPr="009730F5">
        <w:rPr>
          <w:rFonts w:cs="Times New Roman"/>
        </w:rPr>
        <w:t xml:space="preserve"> </w:t>
      </w:r>
    </w:p>
    <w:p w14:paraId="76271BD0" w14:textId="6F9460C4" w:rsidR="00B97063" w:rsidRPr="009730F5" w:rsidRDefault="00B97063" w:rsidP="00FC70E0">
      <w:pPr>
        <w:rPr>
          <w:rFonts w:cs="Times New Roman"/>
          <w:sz w:val="22"/>
        </w:rPr>
      </w:pPr>
      <w:r w:rsidRPr="009730F5">
        <w:rPr>
          <w:rFonts w:cs="Times New Roman"/>
          <w:sz w:val="22"/>
        </w:rPr>
        <w:t>Important</w:t>
      </w:r>
      <w:r>
        <w:rPr>
          <w:rFonts w:cs="Times New Roman"/>
          <w:sz w:val="22"/>
        </w:rPr>
        <w:t>ly, I make the case that these ‘</w:t>
      </w:r>
      <w:r w:rsidRPr="009730F5">
        <w:rPr>
          <w:rFonts w:cs="Times New Roman"/>
          <w:sz w:val="22"/>
        </w:rPr>
        <w:t>several layers of me</w:t>
      </w:r>
      <w:r>
        <w:rPr>
          <w:rFonts w:cs="Times New Roman"/>
          <w:sz w:val="22"/>
        </w:rPr>
        <w:t>aning’ of greyness</w:t>
      </w:r>
      <w:r w:rsidRPr="009730F5">
        <w:rPr>
          <w:rFonts w:cs="Times New Roman"/>
          <w:sz w:val="22"/>
        </w:rPr>
        <w:t xml:space="preserve"> are present in the functioning of the European caviar market. The EU caviar market is not just ‘grey’ because of the intermixi</w:t>
      </w:r>
      <w:r>
        <w:rPr>
          <w:rFonts w:cs="Times New Roman"/>
          <w:sz w:val="22"/>
        </w:rPr>
        <w:t>ng of legal and illegal caviar</w:t>
      </w:r>
      <w:r w:rsidRPr="009730F5">
        <w:rPr>
          <w:rFonts w:cs="Times New Roman"/>
          <w:sz w:val="22"/>
        </w:rPr>
        <w:t>– although this is an important component of the grey caviar market – but bec</w:t>
      </w:r>
      <w:r w:rsidR="002814D0">
        <w:rPr>
          <w:rFonts w:cs="Times New Roman"/>
          <w:sz w:val="22"/>
        </w:rPr>
        <w:t>ause of a “particular cocktail”</w:t>
      </w:r>
      <w:r w:rsidR="005507BD">
        <w:rPr>
          <w:rFonts w:cs="Times New Roman"/>
          <w:sz w:val="22"/>
        </w:rPr>
        <w:t xml:space="preserve"> (Mackenzie &amp; Yates, 2017</w:t>
      </w:r>
      <w:r w:rsidRPr="009730F5">
        <w:rPr>
          <w:rFonts w:cs="Times New Roman"/>
          <w:sz w:val="22"/>
        </w:rPr>
        <w:t>:83) of grey activities related to caviar (and its material properties) that exist at the interface between il/legality.</w:t>
      </w:r>
    </w:p>
    <w:p w14:paraId="5562E6D5" w14:textId="4B0DBDB6" w:rsidR="00B97063" w:rsidRPr="009730F5" w:rsidRDefault="00B97063" w:rsidP="00FC70E0">
      <w:pPr>
        <w:rPr>
          <w:rFonts w:cs="Times New Roman"/>
          <w:sz w:val="22"/>
        </w:rPr>
      </w:pPr>
      <w:r w:rsidRPr="009730F5">
        <w:rPr>
          <w:rFonts w:cs="Times New Roman"/>
          <w:sz w:val="22"/>
        </w:rPr>
        <w:tab/>
      </w:r>
      <w:r>
        <w:rPr>
          <w:rFonts w:cs="Times New Roman"/>
          <w:sz w:val="22"/>
        </w:rPr>
        <w:t>Unlike</w:t>
      </w:r>
      <w:r w:rsidRPr="009730F5">
        <w:rPr>
          <w:rFonts w:cs="Times New Roman"/>
          <w:sz w:val="22"/>
        </w:rPr>
        <w:t xml:space="preserve"> scholars such as </w:t>
      </w:r>
      <w:r w:rsidRPr="009730F5">
        <w:rPr>
          <w:rFonts w:cs="Times New Roman"/>
          <w:sz w:val="22"/>
        </w:rPr>
        <w:fldChar w:fldCharType="begin" w:fldLock="1"/>
      </w:r>
      <w:r w:rsidR="00EC7F7E">
        <w:rPr>
          <w:rFonts w:cs="Times New Roman"/>
          <w:sz w:val="22"/>
        </w:rPr>
        <w:instrText>ADDIN CSL_CITATION {"citationItems":[{"id":"ITEM-1","itemData":{"DOI":"10.1080/17440572.2013.828999","ISSN":"1744-0572","abstract":"If as suspected, criminal enterprise feeds off legal trade, then anti-crime policy must target the points at which legal and illicit markets intersect. This study offers a strategy to pinpoint and ...","author":[{"dropping-particle":"","family":"Bichler","given":"Gisela","non-dropping-particle":"","parse-names":false,"suffix":""},{"dropping-particle":"","family":"Bush","given":"Stacy","non-dropping-particle":"","parse-names":false,"suffix":""},{"dropping-particle":"","family":"Malm","given":"Aili","non-dropping-particle":"","parse-names":false,"suffix":""}],"container-title":"Global Crime","id":"ITEM-1","issue":"4","issued":{"date-parts":[["2013","11"]]},"page":"359-385","publisher":"Routledge","title":"Bad actors and faulty props: unlocking legal and illicit art trade","type":"article-journal","volume":"14"},"uris":["http://www.mendeley.com/documents/?uuid=2ed4b40c-f1f6-3a4d-ad17-f78d44048a1f"]}],"mendeley":{"formattedCitation":"(Bichler, Bush and Malm, 2013)","manualFormatting":"Bichler, Bush and Malm (2013)","plainTextFormattedCitation":"(Bichler, Bush and Malm, 2013)","previouslyFormattedCitation":"(Bichler, Bush and Malm, 2013)"},"properties":{"noteIndex":0},"schema":"https://github.com/citation-style-language/schema/raw/master/csl-citation.json"}</w:instrText>
      </w:r>
      <w:r w:rsidRPr="009730F5">
        <w:rPr>
          <w:rFonts w:cs="Times New Roman"/>
          <w:sz w:val="22"/>
        </w:rPr>
        <w:fldChar w:fldCharType="separate"/>
      </w:r>
      <w:r w:rsidRPr="009730F5">
        <w:rPr>
          <w:rFonts w:cs="Times New Roman"/>
          <w:noProof/>
          <w:sz w:val="22"/>
        </w:rPr>
        <w:t>Bichler, Bush and Malm (2013)</w:t>
      </w:r>
      <w:r w:rsidRPr="009730F5">
        <w:rPr>
          <w:rFonts w:cs="Times New Roman"/>
          <w:sz w:val="22"/>
        </w:rPr>
        <w:fldChar w:fldCharType="end"/>
      </w:r>
      <w:r w:rsidRPr="009730F5">
        <w:rPr>
          <w:rFonts w:cs="Times New Roman"/>
          <w:sz w:val="22"/>
        </w:rPr>
        <w:t xml:space="preserve"> who </w:t>
      </w:r>
      <w:r>
        <w:rPr>
          <w:rFonts w:cs="Times New Roman"/>
          <w:sz w:val="22"/>
        </w:rPr>
        <w:t xml:space="preserve">suggest </w:t>
      </w:r>
      <w:r w:rsidRPr="009730F5">
        <w:rPr>
          <w:rFonts w:cs="Times New Roman"/>
          <w:sz w:val="22"/>
        </w:rPr>
        <w:t>that the grey market ex</w:t>
      </w:r>
      <w:r>
        <w:rPr>
          <w:rFonts w:cs="Times New Roman"/>
          <w:sz w:val="22"/>
        </w:rPr>
        <w:t>ists separately from the legal and illicit</w:t>
      </w:r>
      <w:r w:rsidRPr="009730F5">
        <w:rPr>
          <w:rFonts w:cs="Times New Roman"/>
          <w:sz w:val="22"/>
        </w:rPr>
        <w:t xml:space="preserve"> market; I argue that the grey caviar market does not exist as a distinct entity in a zone between a licit ‘white’ market, and an illicit ‘black’ market, where ‘grey’ transactions take place that are </w:t>
      </w:r>
      <w:r w:rsidR="00EB03C9">
        <w:rPr>
          <w:rFonts w:cs="Times New Roman"/>
          <w:sz w:val="22"/>
        </w:rPr>
        <w:t>neither part of</w:t>
      </w:r>
      <w:r w:rsidRPr="009730F5">
        <w:rPr>
          <w:rFonts w:cs="Times New Roman"/>
          <w:sz w:val="22"/>
        </w:rPr>
        <w:t xml:space="preserve"> the legal or illegal zones of trade. Rather, I demonstrate that the European </w:t>
      </w:r>
      <w:r>
        <w:rPr>
          <w:rFonts w:cs="Times New Roman"/>
          <w:sz w:val="22"/>
        </w:rPr>
        <w:t>caviar trade is a grey market</w:t>
      </w:r>
      <w:r w:rsidR="002814D0">
        <w:rPr>
          <w:rFonts w:cs="Times New Roman"/>
          <w:sz w:val="22"/>
        </w:rPr>
        <w:t xml:space="preserve"> as</w:t>
      </w:r>
      <w:r w:rsidRPr="009730F5">
        <w:rPr>
          <w:rFonts w:cs="Times New Roman"/>
          <w:sz w:val="22"/>
        </w:rPr>
        <w:t xml:space="preserve"> it is </w:t>
      </w:r>
      <w:r w:rsidR="002814D0">
        <w:rPr>
          <w:rFonts w:cs="Times New Roman"/>
          <w:sz w:val="22"/>
        </w:rPr>
        <w:t>largely im</w:t>
      </w:r>
      <w:r w:rsidRPr="009730F5">
        <w:rPr>
          <w:rFonts w:cs="Times New Roman"/>
          <w:sz w:val="22"/>
        </w:rPr>
        <w:t xml:space="preserve">possible to distinguish between an entirely ‘white’ market or ‘black’ market in caviar, but that the two are so intrinsically intertwined as to make the whole market ‘grey’. </w:t>
      </w:r>
    </w:p>
    <w:p w14:paraId="4E3E655A" w14:textId="20BE3336" w:rsidR="00B97063" w:rsidRPr="009730F5" w:rsidRDefault="00B97063" w:rsidP="00FC70E0">
      <w:pPr>
        <w:rPr>
          <w:rFonts w:cs="Times New Roman"/>
          <w:sz w:val="22"/>
        </w:rPr>
      </w:pPr>
      <w:r w:rsidRPr="009730F5">
        <w:rPr>
          <w:rFonts w:cs="Times New Roman"/>
          <w:sz w:val="22"/>
        </w:rPr>
        <w:tab/>
        <w:t>Further, I make the case that efforts to restrict the black market in caviar</w:t>
      </w:r>
      <w:r>
        <w:rPr>
          <w:rFonts w:cs="Times New Roman"/>
          <w:sz w:val="22"/>
        </w:rPr>
        <w:t xml:space="preserve"> and to establish a regulated legal </w:t>
      </w:r>
      <w:r w:rsidRPr="009730F5">
        <w:rPr>
          <w:rFonts w:cs="Times New Roman"/>
          <w:sz w:val="22"/>
        </w:rPr>
        <w:t>market built on aquaculture, have produced opportuniti</w:t>
      </w:r>
      <w:r>
        <w:rPr>
          <w:rFonts w:cs="Times New Roman"/>
          <w:sz w:val="22"/>
        </w:rPr>
        <w:t xml:space="preserve">es for ‘greyness’ in the market. New </w:t>
      </w:r>
      <w:r w:rsidRPr="009730F5">
        <w:rPr>
          <w:rFonts w:cs="Times New Roman"/>
          <w:sz w:val="22"/>
        </w:rPr>
        <w:t xml:space="preserve">forms of illicit behaviour have emerged and become widespread – many of which are </w:t>
      </w:r>
      <w:r w:rsidR="00EB03C9">
        <w:rPr>
          <w:rFonts w:cs="Times New Roman"/>
          <w:sz w:val="22"/>
        </w:rPr>
        <w:t xml:space="preserve">exploit </w:t>
      </w:r>
      <w:r w:rsidRPr="009730F5">
        <w:rPr>
          <w:rFonts w:cs="Times New Roman"/>
          <w:sz w:val="22"/>
        </w:rPr>
        <w:t>the unknowa</w:t>
      </w:r>
      <w:r w:rsidR="00410AD8">
        <w:rPr>
          <w:rFonts w:cs="Times New Roman"/>
          <w:sz w:val="22"/>
        </w:rPr>
        <w:t xml:space="preserve">ble material nature of caviar. </w:t>
      </w:r>
      <w:r w:rsidRPr="009730F5">
        <w:rPr>
          <w:rFonts w:cs="Times New Roman"/>
          <w:sz w:val="22"/>
        </w:rPr>
        <w:t xml:space="preserve">The material indecipherability of caviar serves to make illicit </w:t>
      </w:r>
      <w:r w:rsidR="00410AD8">
        <w:rPr>
          <w:rFonts w:cs="Times New Roman"/>
          <w:sz w:val="22"/>
        </w:rPr>
        <w:t xml:space="preserve">caviar </w:t>
      </w:r>
      <w:r w:rsidRPr="009730F5">
        <w:rPr>
          <w:rFonts w:cs="Times New Roman"/>
          <w:sz w:val="22"/>
        </w:rPr>
        <w:t xml:space="preserve">trade harder to detect and locate, particularly as it is increasingly intertwined with ostensibly legal products and markets. </w:t>
      </w:r>
    </w:p>
    <w:p w14:paraId="358C5562" w14:textId="44F21C58" w:rsidR="00B97063" w:rsidRDefault="00EB03C9" w:rsidP="00FC70E0">
      <w:pPr>
        <w:ind w:firstLine="720"/>
        <w:rPr>
          <w:rFonts w:cs="Times New Roman"/>
          <w:sz w:val="22"/>
        </w:rPr>
      </w:pPr>
      <w:r>
        <w:rPr>
          <w:rFonts w:cs="Times New Roman"/>
          <w:sz w:val="22"/>
        </w:rPr>
        <w:t xml:space="preserve">MacKenzie and Yates </w:t>
      </w:r>
      <w:r w:rsidR="00B97063">
        <w:rPr>
          <w:rFonts w:cs="Times New Roman"/>
          <w:sz w:val="22"/>
        </w:rPr>
        <w:t>(2017) make</w:t>
      </w:r>
      <w:r w:rsidR="00B97063" w:rsidRPr="009730F5">
        <w:rPr>
          <w:rFonts w:cs="Times New Roman"/>
          <w:sz w:val="22"/>
        </w:rPr>
        <w:t xml:space="preserve"> a threef</w:t>
      </w:r>
      <w:r w:rsidR="00B97063">
        <w:rPr>
          <w:rFonts w:cs="Times New Roman"/>
          <w:sz w:val="22"/>
        </w:rPr>
        <w:t>old distinction to explain how greyness</w:t>
      </w:r>
      <w:r w:rsidR="00B97063" w:rsidRPr="009730F5">
        <w:rPr>
          <w:rFonts w:cs="Times New Roman"/>
          <w:sz w:val="22"/>
        </w:rPr>
        <w:t xml:space="preserve"> variably manifests in the antiquities trade. I subsequently demonstrate with empirical examples how this threefold framework applies to the </w:t>
      </w:r>
      <w:r>
        <w:rPr>
          <w:rFonts w:cs="Times New Roman"/>
          <w:sz w:val="22"/>
        </w:rPr>
        <w:t xml:space="preserve">EU </w:t>
      </w:r>
      <w:r w:rsidR="00B97063" w:rsidRPr="009730F5">
        <w:rPr>
          <w:rFonts w:cs="Times New Roman"/>
          <w:sz w:val="22"/>
        </w:rPr>
        <w:t>cav</w:t>
      </w:r>
      <w:r w:rsidR="00B97063">
        <w:rPr>
          <w:rFonts w:cs="Times New Roman"/>
          <w:sz w:val="22"/>
        </w:rPr>
        <w:t>iar trade. I show how</w:t>
      </w:r>
      <w:r w:rsidR="00B97063" w:rsidRPr="009730F5">
        <w:rPr>
          <w:rFonts w:cs="Times New Roman"/>
          <w:sz w:val="22"/>
        </w:rPr>
        <w:t xml:space="preserve"> the material indecipherab</w:t>
      </w:r>
      <w:r w:rsidR="00B97063">
        <w:rPr>
          <w:rFonts w:cs="Times New Roman"/>
          <w:sz w:val="22"/>
        </w:rPr>
        <w:t>ility of caviar is enrolled in grey</w:t>
      </w:r>
      <w:r w:rsidR="00B97063" w:rsidRPr="009730F5">
        <w:rPr>
          <w:rFonts w:cs="Times New Roman"/>
          <w:sz w:val="22"/>
        </w:rPr>
        <w:t xml:space="preserve"> activities and serves to establish the international cavia</w:t>
      </w:r>
      <w:r w:rsidR="00B97063">
        <w:rPr>
          <w:rFonts w:cs="Times New Roman"/>
          <w:sz w:val="22"/>
        </w:rPr>
        <w:t>r trade as a grey market. The distinction that MacKenzie and Yates (2017)</w:t>
      </w:r>
      <w:r w:rsidR="00B97063" w:rsidRPr="009730F5">
        <w:rPr>
          <w:rFonts w:cs="Times New Roman"/>
          <w:sz w:val="22"/>
        </w:rPr>
        <w:t xml:space="preserve"> make between forms of greyness </w:t>
      </w:r>
      <w:r w:rsidR="00B97063">
        <w:rPr>
          <w:rFonts w:cs="Times New Roman"/>
          <w:sz w:val="22"/>
        </w:rPr>
        <w:t xml:space="preserve">in the </w:t>
      </w:r>
      <w:r w:rsidR="00B97063" w:rsidRPr="009730F5">
        <w:rPr>
          <w:rFonts w:cs="Times New Roman"/>
          <w:sz w:val="22"/>
        </w:rPr>
        <w:t xml:space="preserve">illicit </w:t>
      </w:r>
      <w:r w:rsidR="00B97063">
        <w:rPr>
          <w:rFonts w:cs="Times New Roman"/>
          <w:sz w:val="22"/>
        </w:rPr>
        <w:t xml:space="preserve">antiquities trade is as </w:t>
      </w:r>
      <w:r w:rsidR="00410AD8">
        <w:rPr>
          <w:rFonts w:cs="Times New Roman"/>
          <w:sz w:val="22"/>
        </w:rPr>
        <w:t>follows. Firstly, “</w:t>
      </w:r>
      <w:r w:rsidR="00B97063" w:rsidRPr="009730F5">
        <w:rPr>
          <w:rFonts w:cs="Times New Roman"/>
          <w:sz w:val="22"/>
        </w:rPr>
        <w:t>an uncertainty or contest in the ethical, legal, or norm</w:t>
      </w:r>
      <w:r w:rsidR="00410AD8">
        <w:rPr>
          <w:rFonts w:cs="Times New Roman"/>
          <w:sz w:val="22"/>
        </w:rPr>
        <w:t>ative construction of the issue”</w:t>
      </w:r>
      <w:r w:rsidR="00B97063" w:rsidRPr="009730F5">
        <w:rPr>
          <w:rFonts w:cs="Times New Roman"/>
          <w:sz w:val="22"/>
        </w:rPr>
        <w:t xml:space="preserve"> (</w:t>
      </w:r>
      <w:r>
        <w:rPr>
          <w:rFonts w:cs="Times New Roman"/>
          <w:sz w:val="22"/>
        </w:rPr>
        <w:t xml:space="preserve">Mackenzie &amp; Yates, </w:t>
      </w:r>
      <w:r w:rsidR="00B97063" w:rsidRPr="009730F5">
        <w:rPr>
          <w:rFonts w:cs="Times New Roman"/>
          <w:sz w:val="22"/>
        </w:rPr>
        <w:t xml:space="preserve">2017:71). Put simply, this refers to how participants </w:t>
      </w:r>
      <w:r w:rsidR="00410AD8">
        <w:rPr>
          <w:rFonts w:cs="Times New Roman"/>
          <w:sz w:val="22"/>
        </w:rPr>
        <w:t>in the illicit trade engage in “</w:t>
      </w:r>
      <w:r w:rsidR="00B97063" w:rsidRPr="009730F5">
        <w:rPr>
          <w:rFonts w:cs="Times New Roman"/>
          <w:sz w:val="22"/>
        </w:rPr>
        <w:t>active greying of the</w:t>
      </w:r>
      <w:r w:rsidR="00410AD8">
        <w:rPr>
          <w:rFonts w:cs="Times New Roman"/>
          <w:sz w:val="22"/>
        </w:rPr>
        <w:t xml:space="preserve"> binary right/wrong distinction” </w:t>
      </w:r>
      <w:r w:rsidR="00B97063" w:rsidRPr="009730F5">
        <w:rPr>
          <w:rFonts w:cs="Times New Roman"/>
          <w:sz w:val="22"/>
        </w:rPr>
        <w:t xml:space="preserve">(ibid:84) and employ discourses to neutralize or contest that their activities </w:t>
      </w:r>
      <w:r w:rsidR="00B97063">
        <w:rPr>
          <w:rFonts w:cs="Times New Roman"/>
          <w:sz w:val="22"/>
        </w:rPr>
        <w:t xml:space="preserve">are </w:t>
      </w:r>
      <w:r w:rsidR="00B97063" w:rsidRPr="009730F5">
        <w:rPr>
          <w:rFonts w:cs="Times New Roman"/>
          <w:sz w:val="22"/>
        </w:rPr>
        <w:t xml:space="preserve">illegal. Secondly, the </w:t>
      </w:r>
      <w:r w:rsidR="00B97063" w:rsidRPr="009730F5">
        <w:rPr>
          <w:rFonts w:cs="Times New Roman"/>
          <w:sz w:val="22"/>
        </w:rPr>
        <w:lastRenderedPageBreak/>
        <w:t>threefold dist</w:t>
      </w:r>
      <w:r w:rsidR="00410AD8">
        <w:rPr>
          <w:rFonts w:cs="Times New Roman"/>
          <w:sz w:val="22"/>
        </w:rPr>
        <w:t>inction of greyness recognises “</w:t>
      </w:r>
      <w:r w:rsidR="00B97063" w:rsidRPr="009730F5">
        <w:rPr>
          <w:rFonts w:cs="Times New Roman"/>
          <w:sz w:val="22"/>
        </w:rPr>
        <w:t>the practical mixing of lic</w:t>
      </w:r>
      <w:r w:rsidR="00410AD8">
        <w:rPr>
          <w:rFonts w:cs="Times New Roman"/>
          <w:sz w:val="22"/>
        </w:rPr>
        <w:t>it and illicit chains of supply”</w:t>
      </w:r>
      <w:r w:rsidR="00B97063" w:rsidRPr="009730F5">
        <w:rPr>
          <w:rFonts w:cs="Times New Roman"/>
          <w:sz w:val="22"/>
        </w:rPr>
        <w:t xml:space="preserve"> (ibid). And the fin</w:t>
      </w:r>
      <w:r w:rsidR="00B97063">
        <w:rPr>
          <w:rFonts w:cs="Times New Roman"/>
          <w:sz w:val="22"/>
        </w:rPr>
        <w:t xml:space="preserve">al </w:t>
      </w:r>
      <w:r w:rsidR="00410AD8">
        <w:rPr>
          <w:rFonts w:cs="Times New Roman"/>
          <w:sz w:val="22"/>
        </w:rPr>
        <w:t>distinction of greyness is, “</w:t>
      </w:r>
      <w:r w:rsidR="00B97063" w:rsidRPr="009730F5">
        <w:rPr>
          <w:rFonts w:cs="Times New Roman"/>
          <w:sz w:val="22"/>
        </w:rPr>
        <w:t>the changing social/market and legal classification of individual artefacts as they are laundered through multiple transacti</w:t>
      </w:r>
      <w:r w:rsidR="00410AD8">
        <w:rPr>
          <w:rFonts w:cs="Times New Roman"/>
          <w:sz w:val="22"/>
        </w:rPr>
        <w:t>ons and jurisdictions over time”</w:t>
      </w:r>
      <w:r w:rsidR="00B97063" w:rsidRPr="009730F5">
        <w:rPr>
          <w:rFonts w:cs="Times New Roman"/>
          <w:sz w:val="22"/>
        </w:rPr>
        <w:t xml:space="preserve"> (ibid). To var</w:t>
      </w:r>
      <w:r w:rsidR="00B97063">
        <w:rPr>
          <w:rFonts w:cs="Times New Roman"/>
          <w:sz w:val="22"/>
        </w:rPr>
        <w:t>ious extents these elements of greyness</w:t>
      </w:r>
      <w:r w:rsidR="00B97063" w:rsidRPr="009730F5">
        <w:rPr>
          <w:rFonts w:cs="Times New Roman"/>
          <w:sz w:val="22"/>
        </w:rPr>
        <w:t xml:space="preserve"> are exhibited in the functioning of the illicit caviar trade</w:t>
      </w:r>
      <w:r w:rsidR="00B97063">
        <w:rPr>
          <w:rFonts w:cs="Times New Roman"/>
          <w:sz w:val="22"/>
        </w:rPr>
        <w:t xml:space="preserve"> in the EU</w:t>
      </w:r>
      <w:r w:rsidR="00B97063" w:rsidRPr="009730F5">
        <w:rPr>
          <w:rFonts w:cs="Times New Roman"/>
          <w:sz w:val="22"/>
        </w:rPr>
        <w:t xml:space="preserve">. </w:t>
      </w:r>
    </w:p>
    <w:p w14:paraId="3AB23805" w14:textId="77777777" w:rsidR="00410AD8" w:rsidRPr="009730F5" w:rsidRDefault="00410AD8" w:rsidP="00410AD8">
      <w:pPr>
        <w:ind w:firstLine="720"/>
        <w:rPr>
          <w:rFonts w:cs="Times New Roman"/>
          <w:sz w:val="22"/>
        </w:rPr>
      </w:pPr>
    </w:p>
    <w:p w14:paraId="63B46CC3" w14:textId="77777777" w:rsidR="00B97063" w:rsidRPr="00216489" w:rsidRDefault="00B97063" w:rsidP="00216489">
      <w:pPr>
        <w:pStyle w:val="Heading3"/>
      </w:pPr>
      <w:bookmarkStart w:id="70" w:name="_Toc453224229"/>
      <w:r w:rsidRPr="00216489">
        <w:t>5.2.2 The Caviar Grey Market</w:t>
      </w:r>
      <w:bookmarkEnd w:id="70"/>
    </w:p>
    <w:p w14:paraId="1BBD5EB7" w14:textId="160014C5" w:rsidR="00B97063" w:rsidRPr="009730F5" w:rsidRDefault="00B97063" w:rsidP="00B97063">
      <w:pPr>
        <w:rPr>
          <w:rFonts w:cs="Times New Roman"/>
          <w:sz w:val="22"/>
        </w:rPr>
      </w:pPr>
      <w:r>
        <w:rPr>
          <w:rFonts w:cs="Times New Roman"/>
          <w:sz w:val="22"/>
        </w:rPr>
        <w:t>Unlike CITES restrictions that prohibit all trade in some endangered species and their derivatives, with caviar</w:t>
      </w:r>
      <w:r w:rsidRPr="009730F5">
        <w:rPr>
          <w:rFonts w:cs="Times New Roman"/>
          <w:sz w:val="22"/>
        </w:rPr>
        <w:t xml:space="preserve"> “we’re not talking about illegal trade where there should be no trade”</w:t>
      </w:r>
      <w:r w:rsidR="00DA6ED2" w:rsidRPr="005B292F">
        <w:rPr>
          <w:rStyle w:val="FootnoteReference"/>
        </w:rPr>
        <w:footnoteReference w:id="124"/>
      </w:r>
      <w:r w:rsidR="00EB03C9">
        <w:rPr>
          <w:rFonts w:cs="Times New Roman"/>
          <w:sz w:val="22"/>
        </w:rPr>
        <w:t>.</w:t>
      </w:r>
      <w:r w:rsidRPr="009730F5">
        <w:rPr>
          <w:rFonts w:cs="Times New Roman"/>
          <w:sz w:val="22"/>
        </w:rPr>
        <w:t xml:space="preserve"> </w:t>
      </w:r>
      <w:r>
        <w:rPr>
          <w:rFonts w:cs="Times New Roman"/>
          <w:sz w:val="22"/>
        </w:rPr>
        <w:t xml:space="preserve">Instead, in allowing some forms of caviar trade but not others, </w:t>
      </w:r>
      <w:r w:rsidRPr="009730F5">
        <w:rPr>
          <w:rFonts w:cs="Times New Roman"/>
          <w:sz w:val="22"/>
        </w:rPr>
        <w:t>there simultaneously exists both a legal and illegal caviar market. Y</w:t>
      </w:r>
      <w:r w:rsidR="00FD585E">
        <w:rPr>
          <w:rFonts w:cs="Times New Roman"/>
          <w:sz w:val="22"/>
        </w:rPr>
        <w:t xml:space="preserve">var confirmed that an </w:t>
      </w:r>
      <w:r>
        <w:rPr>
          <w:rFonts w:cs="Times New Roman"/>
          <w:sz w:val="22"/>
        </w:rPr>
        <w:t>‘active’</w:t>
      </w:r>
      <w:r w:rsidRPr="009730F5">
        <w:rPr>
          <w:rFonts w:cs="Times New Roman"/>
          <w:sz w:val="22"/>
        </w:rPr>
        <w:t xml:space="preserve"> black market for caviar </w:t>
      </w:r>
      <w:r>
        <w:rPr>
          <w:rFonts w:cs="Times New Roman"/>
          <w:sz w:val="22"/>
        </w:rPr>
        <w:t>exists,</w:t>
      </w:r>
      <w:r w:rsidRPr="009730F5">
        <w:rPr>
          <w:rFonts w:cs="Times New Roman"/>
          <w:sz w:val="22"/>
        </w:rPr>
        <w:t xml:space="preserve"> but operate</w:t>
      </w:r>
      <w:r>
        <w:rPr>
          <w:rFonts w:cs="Times New Roman"/>
          <w:sz w:val="22"/>
        </w:rPr>
        <w:t>s</w:t>
      </w:r>
      <w:r w:rsidR="00EB03C9">
        <w:rPr>
          <w:rFonts w:cs="Times New Roman"/>
          <w:sz w:val="22"/>
        </w:rPr>
        <w:t xml:space="preserve"> almost exclusively</w:t>
      </w:r>
      <w:r w:rsidRPr="009730F5">
        <w:rPr>
          <w:rFonts w:cs="Times New Roman"/>
          <w:sz w:val="22"/>
        </w:rPr>
        <w:t xml:space="preserve"> underground amo</w:t>
      </w:r>
      <w:r w:rsidR="0083052D">
        <w:rPr>
          <w:rFonts w:cs="Times New Roman"/>
          <w:sz w:val="22"/>
        </w:rPr>
        <w:t>ngst individuals who have been “</w:t>
      </w:r>
      <w:r w:rsidRPr="009730F5">
        <w:rPr>
          <w:rFonts w:cs="Times New Roman"/>
          <w:sz w:val="22"/>
        </w:rPr>
        <w:t>involved with the criminal networks already for a long time</w:t>
      </w:r>
      <w:r w:rsidR="0083052D">
        <w:rPr>
          <w:rFonts w:cs="Times New Roman"/>
          <w:sz w:val="22"/>
        </w:rPr>
        <w:t>”</w:t>
      </w:r>
      <w:r w:rsidRPr="005B292F">
        <w:rPr>
          <w:rStyle w:val="FootnoteReference"/>
        </w:rPr>
        <w:footnoteReference w:id="125"/>
      </w:r>
      <w:r w:rsidRPr="009730F5">
        <w:rPr>
          <w:rFonts w:cs="Times New Roman"/>
          <w:sz w:val="22"/>
        </w:rPr>
        <w:t xml:space="preserve">, and is therefore fairly impenetrable. </w:t>
      </w:r>
      <w:r>
        <w:rPr>
          <w:rFonts w:cs="Times New Roman"/>
          <w:sz w:val="22"/>
        </w:rPr>
        <w:t xml:space="preserve">Whilst a black market in the traditional sense exists for caviar in the EU, the zero export quotas and fishing bans have not driven all illegal trade in wild caviar underground. On the contrary, </w:t>
      </w:r>
      <w:r w:rsidRPr="009730F5">
        <w:rPr>
          <w:rFonts w:cs="Times New Roman"/>
          <w:sz w:val="22"/>
        </w:rPr>
        <w:t>the fact that there exists a legal, regulated market has meant that criminals have identi</w:t>
      </w:r>
      <w:r>
        <w:rPr>
          <w:rFonts w:cs="Times New Roman"/>
          <w:sz w:val="22"/>
        </w:rPr>
        <w:t>fied ways of infiltrating the legal</w:t>
      </w:r>
      <w:r w:rsidRPr="009730F5">
        <w:rPr>
          <w:rFonts w:cs="Times New Roman"/>
          <w:sz w:val="22"/>
        </w:rPr>
        <w:t xml:space="preserve"> market with their illegal caviar product. MacKenzie and Yates </w:t>
      </w:r>
      <w:r>
        <w:rPr>
          <w:rFonts w:cs="Times New Roman"/>
          <w:sz w:val="22"/>
        </w:rPr>
        <w:t>argue</w:t>
      </w:r>
      <w:r w:rsidRPr="009730F5">
        <w:rPr>
          <w:rFonts w:cs="Times New Roman"/>
          <w:sz w:val="22"/>
        </w:rPr>
        <w:t xml:space="preserve"> </w:t>
      </w:r>
      <w:r w:rsidR="0083052D">
        <w:rPr>
          <w:rFonts w:cs="Times New Roman"/>
          <w:sz w:val="22"/>
        </w:rPr>
        <w:t>that “</w:t>
      </w:r>
      <w:r w:rsidRPr="009730F5">
        <w:rPr>
          <w:rFonts w:cs="Times New Roman"/>
          <w:sz w:val="22"/>
        </w:rPr>
        <w:t>where there is a legal trade there will be an undercurrent of illicit activity which interfaces with it and exploits the pro</w:t>
      </w:r>
      <w:r w:rsidR="0083052D">
        <w:rPr>
          <w:rFonts w:cs="Times New Roman"/>
          <w:sz w:val="22"/>
        </w:rPr>
        <w:t>fit opportunities it presents”</w:t>
      </w:r>
      <w:r>
        <w:rPr>
          <w:rFonts w:cs="Times New Roman"/>
          <w:sz w:val="22"/>
        </w:rPr>
        <w:t xml:space="preserve"> </w:t>
      </w:r>
      <w:r w:rsidRPr="009730F5">
        <w:rPr>
          <w:rFonts w:cs="Times New Roman"/>
          <w:sz w:val="22"/>
        </w:rPr>
        <w:t xml:space="preserve">(2017:81). This is certainly true of the </w:t>
      </w:r>
      <w:r>
        <w:rPr>
          <w:rFonts w:cs="Times New Roman"/>
          <w:sz w:val="22"/>
        </w:rPr>
        <w:t>legal</w:t>
      </w:r>
      <w:r w:rsidRPr="009730F5">
        <w:rPr>
          <w:rFonts w:cs="Times New Roman"/>
          <w:sz w:val="22"/>
        </w:rPr>
        <w:t xml:space="preserve"> caviar market which has un</w:t>
      </w:r>
      <w:r>
        <w:rPr>
          <w:rFonts w:cs="Times New Roman"/>
          <w:sz w:val="22"/>
        </w:rPr>
        <w:t>dergone a greying and become polluted</w:t>
      </w:r>
      <w:r w:rsidRPr="009730F5">
        <w:rPr>
          <w:rFonts w:cs="Times New Roman"/>
          <w:sz w:val="22"/>
        </w:rPr>
        <w:t>, thereby exe</w:t>
      </w:r>
      <w:r>
        <w:rPr>
          <w:rFonts w:cs="Times New Roman"/>
          <w:sz w:val="22"/>
        </w:rPr>
        <w:t>mplifyin</w:t>
      </w:r>
      <w:r w:rsidR="00DA6ED2">
        <w:rPr>
          <w:rFonts w:cs="Times New Roman"/>
          <w:sz w:val="22"/>
        </w:rPr>
        <w:t>g Tom’s assertion that “</w:t>
      </w:r>
      <w:r w:rsidRPr="009730F5">
        <w:rPr>
          <w:rFonts w:cs="Times New Roman"/>
          <w:sz w:val="22"/>
        </w:rPr>
        <w:t>when you allow a certain form of trade, but not another, it creates all these grey areas and loopholes</w:t>
      </w:r>
      <w:r w:rsidR="00DA6ED2">
        <w:rPr>
          <w:rFonts w:cs="Times New Roman"/>
          <w:sz w:val="22"/>
        </w:rPr>
        <w:t>”</w:t>
      </w:r>
      <w:r w:rsidRPr="005B292F">
        <w:rPr>
          <w:rStyle w:val="FootnoteReference"/>
        </w:rPr>
        <w:footnoteReference w:id="126"/>
      </w:r>
      <w:r w:rsidRPr="009730F5">
        <w:rPr>
          <w:rFonts w:cs="Times New Roman"/>
          <w:sz w:val="22"/>
        </w:rPr>
        <w:t xml:space="preserve"> for illicit practices to flourish.</w:t>
      </w:r>
    </w:p>
    <w:p w14:paraId="6B843FE5" w14:textId="70F4689F" w:rsidR="0083052D" w:rsidRDefault="00B97063" w:rsidP="00B97063">
      <w:pPr>
        <w:rPr>
          <w:rFonts w:cs="Times New Roman"/>
          <w:sz w:val="22"/>
        </w:rPr>
      </w:pPr>
      <w:r w:rsidRPr="009730F5">
        <w:rPr>
          <w:rFonts w:cs="Times New Roman"/>
          <w:sz w:val="22"/>
        </w:rPr>
        <w:tab/>
        <w:t xml:space="preserve">For the most-part the illicit </w:t>
      </w:r>
      <w:r>
        <w:rPr>
          <w:rFonts w:cs="Times New Roman"/>
          <w:sz w:val="22"/>
        </w:rPr>
        <w:t>grey</w:t>
      </w:r>
      <w:r w:rsidRPr="009730F5">
        <w:rPr>
          <w:rFonts w:cs="Times New Roman"/>
          <w:sz w:val="22"/>
        </w:rPr>
        <w:t xml:space="preserve"> practices that have emerged, transform illegal caviar into legal product. However, to complicate matters more, the reverse has also been noted: legal product being transformed in</w:t>
      </w:r>
      <w:r>
        <w:rPr>
          <w:rFonts w:cs="Times New Roman"/>
          <w:sz w:val="22"/>
        </w:rPr>
        <w:t>to illegal</w:t>
      </w:r>
      <w:r w:rsidRPr="009730F5">
        <w:rPr>
          <w:rFonts w:cs="Times New Roman"/>
          <w:sz w:val="22"/>
        </w:rPr>
        <w:t xml:space="preserve"> product. Sigrid has conducted surveys on the availability of caviar and sturgeon products with illicit origins</w:t>
      </w:r>
      <w:r w:rsidR="0083052D">
        <w:rPr>
          <w:rFonts w:cs="Times New Roman"/>
          <w:sz w:val="22"/>
        </w:rPr>
        <w:t xml:space="preserve"> on the EU market</w:t>
      </w:r>
      <w:r w:rsidRPr="009730F5">
        <w:rPr>
          <w:rFonts w:cs="Times New Roman"/>
          <w:sz w:val="22"/>
        </w:rPr>
        <w:t>, and explained the NGO’s findings</w:t>
      </w:r>
      <w:r>
        <w:rPr>
          <w:rFonts w:cs="Times New Roman"/>
          <w:sz w:val="22"/>
        </w:rPr>
        <w:t xml:space="preserve">: </w:t>
      </w:r>
    </w:p>
    <w:p w14:paraId="73F6E668" w14:textId="61F2288D" w:rsidR="00856103" w:rsidRPr="00856103" w:rsidRDefault="0083052D" w:rsidP="00856103">
      <w:pPr>
        <w:pStyle w:val="Quote"/>
      </w:pPr>
      <w:r>
        <w:t>W</w:t>
      </w:r>
      <w:r w:rsidR="00B97063" w:rsidRPr="009730F5">
        <w:t xml:space="preserve">hat we really found was that there </w:t>
      </w:r>
      <w:r w:rsidR="00B97063" w:rsidRPr="009730F5">
        <w:rPr>
          <w:i/>
        </w:rPr>
        <w:t>was</w:t>
      </w:r>
      <w:r w:rsidR="00B97063" w:rsidRPr="009730F5">
        <w:t xml:space="preserve"> wild sturgeon product sold as wild, but there was something that was sold as wild and was actually farmed. And the other way around again! So </w:t>
      </w:r>
      <w:r w:rsidR="00B97063" w:rsidRPr="009730F5">
        <w:lastRenderedPageBreak/>
        <w:t>that it was of course wild, sold as farmed. So really there is blackwashing going on and there is whitewashing going on!</w:t>
      </w:r>
      <w:r w:rsidR="005D27C5" w:rsidRPr="005B292F">
        <w:rPr>
          <w:rStyle w:val="FootnoteReference"/>
        </w:rPr>
        <w:footnoteReference w:id="127"/>
      </w:r>
    </w:p>
    <w:p w14:paraId="7ED12D92" w14:textId="0BB0B68E" w:rsidR="000B08BF" w:rsidRDefault="00B97063" w:rsidP="00B97063">
      <w:pPr>
        <w:rPr>
          <w:rFonts w:cs="Times New Roman"/>
          <w:sz w:val="22"/>
        </w:rPr>
      </w:pPr>
      <w:r w:rsidRPr="009730F5">
        <w:rPr>
          <w:rFonts w:cs="Times New Roman"/>
          <w:sz w:val="22"/>
        </w:rPr>
        <w:t>These illicit practices - which I interrogate in turn -are predicated upon the abili</w:t>
      </w:r>
      <w:r w:rsidR="00EB03C9">
        <w:rPr>
          <w:rFonts w:cs="Times New Roman"/>
          <w:sz w:val="22"/>
        </w:rPr>
        <w:t>ty of caviar to confound and elu</w:t>
      </w:r>
      <w:r w:rsidRPr="009730F5">
        <w:rPr>
          <w:rFonts w:cs="Times New Roman"/>
          <w:sz w:val="22"/>
        </w:rPr>
        <w:t>de material definition. As such, it is possible for one type of caviar to ‘transform’ into other type(s) of caviar, potentially numerous times.</w:t>
      </w:r>
    </w:p>
    <w:p w14:paraId="39CE348C" w14:textId="77777777" w:rsidR="000B08BF" w:rsidRPr="009730F5" w:rsidRDefault="000B08BF" w:rsidP="00B97063">
      <w:pPr>
        <w:rPr>
          <w:rFonts w:cs="Times New Roman"/>
          <w:sz w:val="22"/>
        </w:rPr>
      </w:pPr>
    </w:p>
    <w:p w14:paraId="098CC065" w14:textId="77777777" w:rsidR="00B97063" w:rsidRPr="009730F5" w:rsidRDefault="00B97063" w:rsidP="00216489">
      <w:pPr>
        <w:pStyle w:val="Notasubsection"/>
      </w:pPr>
      <w:r w:rsidRPr="009730F5">
        <w:t>Whitewashing</w:t>
      </w:r>
    </w:p>
    <w:p w14:paraId="77BD95B7" w14:textId="39F87692" w:rsidR="00B97063" w:rsidRPr="009730F5" w:rsidRDefault="00B97063" w:rsidP="00B97063">
      <w:pPr>
        <w:rPr>
          <w:rFonts w:cs="Times New Roman"/>
          <w:sz w:val="22"/>
        </w:rPr>
      </w:pPr>
      <w:r w:rsidRPr="009730F5">
        <w:rPr>
          <w:rFonts w:cs="Times New Roman"/>
          <w:sz w:val="22"/>
        </w:rPr>
        <w:t>Whitewashing is the process by which criminal actors are able to transform an illegal commodity or product into something that appears legal. Whitewashing was frequently mentioned as the primary mechanism by which illegal caviar</w:t>
      </w:r>
      <w:r>
        <w:rPr>
          <w:rFonts w:cs="Times New Roman"/>
          <w:sz w:val="22"/>
        </w:rPr>
        <w:t xml:space="preserve"> product is hidden on </w:t>
      </w:r>
      <w:r w:rsidRPr="009730F5">
        <w:rPr>
          <w:rFonts w:cs="Times New Roman"/>
          <w:sz w:val="22"/>
        </w:rPr>
        <w:t xml:space="preserve">legal markets as ostensibly legal product. </w:t>
      </w:r>
      <w:r>
        <w:rPr>
          <w:rFonts w:cs="Times New Roman"/>
          <w:sz w:val="22"/>
        </w:rPr>
        <w:t xml:space="preserve">Caviar whitewashing </w:t>
      </w:r>
      <w:r w:rsidRPr="009730F5">
        <w:rPr>
          <w:rFonts w:cs="Times New Roman"/>
          <w:sz w:val="22"/>
        </w:rPr>
        <w:t xml:space="preserve">typically involves wild caught caviar being laundered into the stocks of aquaculture facilities. </w:t>
      </w:r>
      <w:r>
        <w:rPr>
          <w:rFonts w:cs="Times New Roman"/>
          <w:sz w:val="22"/>
        </w:rPr>
        <w:t>T</w:t>
      </w:r>
      <w:r w:rsidRPr="009730F5">
        <w:rPr>
          <w:rFonts w:cs="Times New Roman"/>
          <w:sz w:val="22"/>
        </w:rPr>
        <w:t>his represents the obvious example of ‘greyness’,</w:t>
      </w:r>
      <w:r>
        <w:rPr>
          <w:rFonts w:cs="Times New Roman"/>
          <w:sz w:val="22"/>
        </w:rPr>
        <w:t xml:space="preserve"> described by Mac</w:t>
      </w:r>
      <w:r w:rsidR="000A0D4E">
        <w:rPr>
          <w:rFonts w:cs="Times New Roman"/>
          <w:sz w:val="22"/>
        </w:rPr>
        <w:t>Kenzie and Yates, which is the “</w:t>
      </w:r>
      <w:r w:rsidRPr="009730F5">
        <w:rPr>
          <w:rFonts w:cs="Times New Roman"/>
          <w:sz w:val="22"/>
        </w:rPr>
        <w:t>practical mixing of lic</w:t>
      </w:r>
      <w:r w:rsidR="000A0D4E">
        <w:rPr>
          <w:rFonts w:cs="Times New Roman"/>
          <w:sz w:val="22"/>
        </w:rPr>
        <w:t>it and illicit chains of supply”</w:t>
      </w:r>
      <w:r w:rsidRPr="009730F5">
        <w:rPr>
          <w:rFonts w:cs="Times New Roman"/>
          <w:sz w:val="22"/>
        </w:rPr>
        <w:t xml:space="preserve"> (2017:71).  There are a number of mechanisms by which the caviar market is pol</w:t>
      </w:r>
      <w:r>
        <w:rPr>
          <w:rFonts w:cs="Times New Roman"/>
          <w:sz w:val="22"/>
        </w:rPr>
        <w:t>luted through these mixing and whitewashing</w:t>
      </w:r>
      <w:r w:rsidRPr="009730F5">
        <w:rPr>
          <w:rFonts w:cs="Times New Roman"/>
          <w:sz w:val="22"/>
        </w:rPr>
        <w:t xml:space="preserve"> processes. </w:t>
      </w:r>
    </w:p>
    <w:p w14:paraId="3F258212" w14:textId="0C8D3539" w:rsidR="00B97063" w:rsidRPr="009730F5" w:rsidRDefault="00B97063" w:rsidP="00B97063">
      <w:pPr>
        <w:rPr>
          <w:rFonts w:cs="Times New Roman"/>
          <w:sz w:val="22"/>
        </w:rPr>
      </w:pPr>
      <w:r w:rsidRPr="009730F5">
        <w:rPr>
          <w:rFonts w:cs="Times New Roman"/>
          <w:sz w:val="22"/>
        </w:rPr>
        <w:tab/>
        <w:t xml:space="preserve">Firstly, given the portability of caviar it is most common that after the caviar has been </w:t>
      </w:r>
      <w:r>
        <w:rPr>
          <w:rFonts w:cs="Times New Roman"/>
          <w:sz w:val="22"/>
        </w:rPr>
        <w:t>illegally harvested from</w:t>
      </w:r>
      <w:r w:rsidRPr="009730F5">
        <w:rPr>
          <w:rFonts w:cs="Times New Roman"/>
          <w:sz w:val="22"/>
        </w:rPr>
        <w:t xml:space="preserve"> wild sturgeon, it is then laundered into the legal stocks of an aquaculture facility. </w:t>
      </w:r>
      <w:r>
        <w:rPr>
          <w:rFonts w:cs="Times New Roman"/>
          <w:sz w:val="22"/>
        </w:rPr>
        <w:t>Yvar and others, recounted</w:t>
      </w:r>
      <w:r w:rsidRPr="009730F5">
        <w:rPr>
          <w:rFonts w:cs="Times New Roman"/>
          <w:sz w:val="22"/>
        </w:rPr>
        <w:t xml:space="preserve"> instances that pro</w:t>
      </w:r>
      <w:r w:rsidR="000A0D4E">
        <w:rPr>
          <w:rFonts w:cs="Times New Roman"/>
          <w:sz w:val="22"/>
        </w:rPr>
        <w:t>ved, “</w:t>
      </w:r>
      <w:r w:rsidRPr="009730F5">
        <w:rPr>
          <w:rFonts w:cs="Times New Roman"/>
          <w:sz w:val="22"/>
        </w:rPr>
        <w:t>that at least in the past they [European farms] were laundering with illegal caviar</w:t>
      </w:r>
      <w:r w:rsidR="000A0D4E">
        <w:rPr>
          <w:rFonts w:cs="Times New Roman"/>
          <w:sz w:val="22"/>
        </w:rPr>
        <w:t>”</w:t>
      </w:r>
      <w:r w:rsidRPr="005B292F">
        <w:rPr>
          <w:rStyle w:val="FootnoteReference"/>
        </w:rPr>
        <w:footnoteReference w:id="128"/>
      </w:r>
      <w:r w:rsidRPr="009730F5">
        <w:rPr>
          <w:rFonts w:cs="Times New Roman"/>
          <w:sz w:val="22"/>
        </w:rPr>
        <w:t xml:space="preserve">. </w:t>
      </w:r>
      <w:r>
        <w:rPr>
          <w:rFonts w:cs="Times New Roman"/>
          <w:sz w:val="22"/>
        </w:rPr>
        <w:t>For example, in the</w:t>
      </w:r>
      <w:r w:rsidR="00576E52">
        <w:rPr>
          <w:rFonts w:cs="Times New Roman"/>
          <w:sz w:val="22"/>
        </w:rPr>
        <w:t xml:space="preserve"> aforementioned</w:t>
      </w:r>
      <w:r>
        <w:rPr>
          <w:rFonts w:cs="Times New Roman"/>
          <w:sz w:val="22"/>
        </w:rPr>
        <w:t xml:space="preserve"> German case that was prosecuted, Tom and Joseph explained that the company used a sturgeon farm in Germany as</w:t>
      </w:r>
      <w:r w:rsidR="000A0D4E">
        <w:rPr>
          <w:rFonts w:cs="Times New Roman"/>
          <w:sz w:val="22"/>
        </w:rPr>
        <w:t xml:space="preserve"> a ‘front’ and the owners were “just topping everything up”</w:t>
      </w:r>
      <w:r>
        <w:rPr>
          <w:rFonts w:cs="Times New Roman"/>
          <w:sz w:val="22"/>
        </w:rPr>
        <w:t xml:space="preserve"> with wild caviar that they were whitewashing</w:t>
      </w:r>
      <w:r w:rsidRPr="005B292F">
        <w:rPr>
          <w:rStyle w:val="FootnoteReference"/>
        </w:rPr>
        <w:footnoteReference w:id="129"/>
      </w:r>
      <w:r>
        <w:rPr>
          <w:rFonts w:cs="Times New Roman"/>
          <w:sz w:val="22"/>
        </w:rPr>
        <w:t xml:space="preserve">. </w:t>
      </w:r>
      <w:r w:rsidRPr="009730F5">
        <w:rPr>
          <w:rFonts w:cs="Times New Roman"/>
          <w:sz w:val="22"/>
        </w:rPr>
        <w:t xml:space="preserve">Less common is the laundering of live </w:t>
      </w:r>
      <w:r w:rsidR="00576E52">
        <w:rPr>
          <w:rFonts w:cs="Times New Roman"/>
          <w:sz w:val="22"/>
        </w:rPr>
        <w:t xml:space="preserve">wild </w:t>
      </w:r>
      <w:r w:rsidRPr="009730F5">
        <w:rPr>
          <w:rFonts w:cs="Times New Roman"/>
          <w:sz w:val="22"/>
        </w:rPr>
        <w:t>fish into aquaculture facilities. However, one c</w:t>
      </w:r>
      <w:r w:rsidR="00DA49D6">
        <w:rPr>
          <w:rFonts w:cs="Times New Roman"/>
          <w:sz w:val="22"/>
        </w:rPr>
        <w:t>aviar producer recognised that “</w:t>
      </w:r>
      <w:r w:rsidRPr="009730F5">
        <w:rPr>
          <w:rFonts w:cs="Times New Roman"/>
          <w:sz w:val="22"/>
        </w:rPr>
        <w:t>illegal catches still exist. They can switch ‘W’ to ‘C’ [on a tin of caviar] just by taking them [sturgeon] out of a river system and placing them in some aquaculture place</w:t>
      </w:r>
      <w:r w:rsidR="00DA49D6">
        <w:rPr>
          <w:rFonts w:cs="Times New Roman"/>
          <w:sz w:val="22"/>
        </w:rPr>
        <w:t>”</w:t>
      </w:r>
      <w:r w:rsidRPr="005B292F">
        <w:rPr>
          <w:rStyle w:val="FootnoteReference"/>
        </w:rPr>
        <w:footnoteReference w:id="130"/>
      </w:r>
      <w:r w:rsidRPr="009730F5">
        <w:rPr>
          <w:rFonts w:cs="Times New Roman"/>
          <w:sz w:val="22"/>
        </w:rPr>
        <w:t xml:space="preserve"> – although this is a much rarer phenomenon as it is dependent upon a caviar aquaculture facility being in close geographical proximity to the native habitats of sturgeon, such as the Black Sea and Danube River. </w:t>
      </w:r>
    </w:p>
    <w:p w14:paraId="1CFBB84B" w14:textId="409CED20" w:rsidR="00B97063" w:rsidRDefault="00B97063" w:rsidP="00B97063">
      <w:pPr>
        <w:rPr>
          <w:rFonts w:cs="Times New Roman"/>
          <w:sz w:val="22"/>
        </w:rPr>
      </w:pPr>
      <w:r w:rsidRPr="009730F5">
        <w:rPr>
          <w:rFonts w:cs="Times New Roman"/>
          <w:sz w:val="22"/>
        </w:rPr>
        <w:lastRenderedPageBreak/>
        <w:tab/>
        <w:t>Caviar producers also noted that whitewashing of cavia</w:t>
      </w:r>
      <w:r>
        <w:rPr>
          <w:rFonts w:cs="Times New Roman"/>
          <w:sz w:val="22"/>
        </w:rPr>
        <w:t>r takes place further up</w:t>
      </w:r>
      <w:r w:rsidR="00576E52">
        <w:rPr>
          <w:rFonts w:cs="Times New Roman"/>
          <w:sz w:val="22"/>
        </w:rPr>
        <w:t xml:space="preserve"> the supply chain,</w:t>
      </w:r>
      <w:r w:rsidRPr="009730F5">
        <w:rPr>
          <w:rFonts w:cs="Times New Roman"/>
          <w:sz w:val="22"/>
        </w:rPr>
        <w:t xml:space="preserve"> away from the source where the caviar was harvested, or away from caviar production facilities. Typically, this form of wh</w:t>
      </w:r>
      <w:r>
        <w:rPr>
          <w:rFonts w:cs="Times New Roman"/>
          <w:sz w:val="22"/>
        </w:rPr>
        <w:t>itewashing occurs at facilities</w:t>
      </w:r>
      <w:r w:rsidRPr="009730F5">
        <w:rPr>
          <w:rFonts w:cs="Times New Roman"/>
          <w:sz w:val="22"/>
        </w:rPr>
        <w:t xml:space="preserve"> that are registered to repackage large tins</w:t>
      </w:r>
      <w:r w:rsidRPr="005B292F">
        <w:rPr>
          <w:rStyle w:val="FootnoteReference"/>
        </w:rPr>
        <w:footnoteReference w:id="131"/>
      </w:r>
      <w:r w:rsidRPr="009730F5">
        <w:rPr>
          <w:rFonts w:cs="Times New Roman"/>
          <w:sz w:val="22"/>
        </w:rPr>
        <w:t xml:space="preserve"> of caviar into smaller tins, which are then distributed to wholesalers, retailers, and restaurants. As such, mechanisms exist whereby illegally harvested caviar is brought to registered repackaging facilities and mixed into legal shipments</w:t>
      </w:r>
      <w:r>
        <w:rPr>
          <w:rFonts w:cs="Times New Roman"/>
          <w:sz w:val="22"/>
        </w:rPr>
        <w:t>. This may happen without the knowledge of the legitimate companies whose caviar is mixed with illicit product</w:t>
      </w:r>
      <w:r w:rsidRPr="009730F5">
        <w:rPr>
          <w:rFonts w:cs="Times New Roman"/>
          <w:sz w:val="22"/>
        </w:rPr>
        <w:t>.</w:t>
      </w:r>
    </w:p>
    <w:p w14:paraId="3BFBFD73" w14:textId="54CBEEB9" w:rsidR="00B97063" w:rsidRDefault="00B97063" w:rsidP="00DA49D6">
      <w:pPr>
        <w:ind w:firstLine="720"/>
        <w:rPr>
          <w:rFonts w:cs="Times New Roman"/>
          <w:sz w:val="22"/>
        </w:rPr>
      </w:pPr>
      <w:r w:rsidRPr="009730F5">
        <w:rPr>
          <w:rFonts w:cs="Times New Roman"/>
          <w:sz w:val="22"/>
        </w:rPr>
        <w:t>Ir</w:t>
      </w:r>
      <w:r w:rsidR="00DA49D6">
        <w:rPr>
          <w:rFonts w:cs="Times New Roman"/>
          <w:sz w:val="22"/>
        </w:rPr>
        <w:t xml:space="preserve">ini </w:t>
      </w:r>
      <w:r w:rsidR="00576E52">
        <w:rPr>
          <w:rFonts w:cs="Times New Roman"/>
          <w:sz w:val="22"/>
        </w:rPr>
        <w:t>outlined NGO suspicions</w:t>
      </w:r>
      <w:r w:rsidRPr="009730F5">
        <w:rPr>
          <w:rFonts w:cs="Times New Roman"/>
          <w:sz w:val="22"/>
        </w:rPr>
        <w:t xml:space="preserve"> </w:t>
      </w:r>
      <w:r>
        <w:rPr>
          <w:rFonts w:cs="Times New Roman"/>
          <w:sz w:val="22"/>
        </w:rPr>
        <w:t xml:space="preserve">that </w:t>
      </w:r>
      <w:r w:rsidRPr="009730F5">
        <w:rPr>
          <w:rFonts w:cs="Times New Roman"/>
          <w:sz w:val="22"/>
        </w:rPr>
        <w:t>caviar harvested illegally in</w:t>
      </w:r>
      <w:r>
        <w:rPr>
          <w:rFonts w:cs="Times New Roman"/>
          <w:sz w:val="22"/>
        </w:rPr>
        <w:t xml:space="preserve"> Romania is being laundered </w:t>
      </w:r>
      <w:r w:rsidRPr="009730F5">
        <w:rPr>
          <w:rFonts w:cs="Times New Roman"/>
          <w:sz w:val="22"/>
        </w:rPr>
        <w:t>over the border into Bulgaria and mixed at regi</w:t>
      </w:r>
      <w:r w:rsidR="00DA49D6">
        <w:rPr>
          <w:rFonts w:cs="Times New Roman"/>
          <w:sz w:val="22"/>
        </w:rPr>
        <w:t>stered repackaging facilities: “</w:t>
      </w:r>
      <w:r w:rsidRPr="009730F5">
        <w:rPr>
          <w:rFonts w:cs="Times New Roman"/>
          <w:sz w:val="22"/>
        </w:rPr>
        <w:t>If it’s a big amount of caviar, then we have some suggestions that they are going to Bulgaria to do whitewashing. To put the labelling on and to put it into the tins, and go on the legal market</w:t>
      </w:r>
      <w:r w:rsidR="00DA49D6">
        <w:rPr>
          <w:rFonts w:cs="Times New Roman"/>
          <w:sz w:val="22"/>
        </w:rPr>
        <w:t>”</w:t>
      </w:r>
      <w:r w:rsidRPr="005B292F">
        <w:rPr>
          <w:rStyle w:val="FootnoteReference"/>
        </w:rPr>
        <w:footnoteReference w:id="132"/>
      </w:r>
      <w:r w:rsidRPr="009730F5">
        <w:rPr>
          <w:rFonts w:cs="Times New Roman"/>
          <w:sz w:val="22"/>
        </w:rPr>
        <w:t>. Repackaging of caviar is commonplace, but provides loopholes for illicit activities as caviar can be repackaged multiple times by middlemen, in third or even fourth countries</w:t>
      </w:r>
      <w:r w:rsidRPr="005B292F">
        <w:rPr>
          <w:rStyle w:val="FootnoteReference"/>
        </w:rPr>
        <w:footnoteReference w:id="133"/>
      </w:r>
      <w:r w:rsidRPr="009730F5">
        <w:rPr>
          <w:rFonts w:cs="Times New Roman"/>
          <w:sz w:val="22"/>
        </w:rPr>
        <w:t>. Indeed</w:t>
      </w:r>
      <w:r w:rsidR="007C09EA">
        <w:rPr>
          <w:rFonts w:cs="Times New Roman"/>
          <w:sz w:val="22"/>
        </w:rPr>
        <w:t xml:space="preserve"> Qerene emphasised that she is “</w:t>
      </w:r>
      <w:r w:rsidRPr="009730F5">
        <w:rPr>
          <w:rFonts w:cs="Times New Roman"/>
          <w:sz w:val="22"/>
        </w:rPr>
        <w:t>convinced that there are some who have a lucrative business in questionable repacking practices</w:t>
      </w:r>
      <w:r w:rsidR="007C09EA">
        <w:rPr>
          <w:rFonts w:cs="Times New Roman"/>
          <w:sz w:val="22"/>
        </w:rPr>
        <w:t>”</w:t>
      </w:r>
      <w:r w:rsidRPr="005B292F">
        <w:rPr>
          <w:rStyle w:val="FootnoteReference"/>
        </w:rPr>
        <w:footnoteReference w:id="134"/>
      </w:r>
      <w:r w:rsidR="007C09EA">
        <w:rPr>
          <w:rFonts w:cs="Times New Roman"/>
          <w:sz w:val="22"/>
        </w:rPr>
        <w:t>, explaining how the middlemen “</w:t>
      </w:r>
      <w:r w:rsidRPr="009730F5">
        <w:rPr>
          <w:rFonts w:cs="Times New Roman"/>
          <w:sz w:val="22"/>
        </w:rPr>
        <w:t>officiall</w:t>
      </w:r>
      <w:r w:rsidR="007C09EA">
        <w:rPr>
          <w:rFonts w:cs="Times New Roman"/>
          <w:sz w:val="22"/>
        </w:rPr>
        <w:t>y buy 100kg and they sell 120kg”</w:t>
      </w:r>
      <w:r w:rsidRPr="009730F5">
        <w:rPr>
          <w:rFonts w:cs="Times New Roman"/>
          <w:sz w:val="22"/>
        </w:rPr>
        <w:t>, without anyone in an enforcement capacity realising or asking where the extra 20kg of caviar is comin</w:t>
      </w:r>
      <w:r w:rsidR="007C09EA">
        <w:rPr>
          <w:rFonts w:cs="Times New Roman"/>
          <w:sz w:val="22"/>
        </w:rPr>
        <w:t>g from. Qerene is adamant that “</w:t>
      </w:r>
      <w:r w:rsidRPr="009730F5">
        <w:rPr>
          <w:rFonts w:cs="Times New Roman"/>
          <w:sz w:val="22"/>
        </w:rPr>
        <w:t>as long as there is repacking there will be illegal things happening</w:t>
      </w:r>
      <w:r w:rsidR="007C09EA">
        <w:rPr>
          <w:rFonts w:cs="Times New Roman"/>
          <w:sz w:val="22"/>
        </w:rPr>
        <w:t>”</w:t>
      </w:r>
      <w:r w:rsidRPr="005B292F">
        <w:rPr>
          <w:rStyle w:val="FootnoteReference"/>
        </w:rPr>
        <w:footnoteReference w:id="135"/>
      </w:r>
      <w:r w:rsidRPr="009730F5">
        <w:rPr>
          <w:rFonts w:cs="Times New Roman"/>
          <w:sz w:val="22"/>
        </w:rPr>
        <w:t xml:space="preserve">. </w:t>
      </w:r>
    </w:p>
    <w:p w14:paraId="0DA029CF" w14:textId="77E02A16" w:rsidR="00DA49D6" w:rsidRDefault="00DA49D6" w:rsidP="00FD585E">
      <w:pPr>
        <w:ind w:firstLine="720"/>
        <w:rPr>
          <w:rFonts w:cs="Times New Roman"/>
          <w:sz w:val="22"/>
        </w:rPr>
      </w:pPr>
      <w:r>
        <w:rPr>
          <w:rFonts w:cs="Times New Roman"/>
          <w:sz w:val="22"/>
        </w:rPr>
        <w:t>First and foremost, whitewashing of caviar is an example of the greyness associated with the mixing of legal and illegal supply chains. However there are other aspects of greyness intrinsic to the whitewashing</w:t>
      </w:r>
      <w:r w:rsidR="00576E52">
        <w:rPr>
          <w:rFonts w:cs="Times New Roman"/>
          <w:sz w:val="22"/>
        </w:rPr>
        <w:t xml:space="preserve"> of</w:t>
      </w:r>
      <w:r>
        <w:rPr>
          <w:rFonts w:cs="Times New Roman"/>
          <w:sz w:val="22"/>
        </w:rPr>
        <w:t xml:space="preserve"> caviar. In disentangling these further aspects of g</w:t>
      </w:r>
      <w:r w:rsidR="00FD585E">
        <w:rPr>
          <w:rFonts w:cs="Times New Roman"/>
          <w:sz w:val="22"/>
        </w:rPr>
        <w:t>reyness, this illustrates that “</w:t>
      </w:r>
      <w:r w:rsidRPr="009730F5">
        <w:rPr>
          <w:rFonts w:cs="Times New Roman"/>
          <w:sz w:val="22"/>
        </w:rPr>
        <w:t>more sense and usefulness can be made of this ‘mixing streams’ idea when we combine tha</w:t>
      </w:r>
      <w:r w:rsidR="00FD585E">
        <w:rPr>
          <w:rFonts w:cs="Times New Roman"/>
          <w:sz w:val="22"/>
        </w:rPr>
        <w:t>t type of greyness with others”</w:t>
      </w:r>
      <w:r>
        <w:rPr>
          <w:rFonts w:cs="Times New Roman"/>
          <w:sz w:val="22"/>
        </w:rPr>
        <w:t xml:space="preserve"> </w:t>
      </w:r>
      <w:r w:rsidRPr="009730F5">
        <w:rPr>
          <w:rFonts w:cs="Times New Roman"/>
          <w:sz w:val="22"/>
        </w:rPr>
        <w:t>(</w:t>
      </w:r>
      <w:r>
        <w:rPr>
          <w:rFonts w:cs="Times New Roman"/>
          <w:sz w:val="22"/>
        </w:rPr>
        <w:t xml:space="preserve">MacKenzie &amp; Yates, 2017:81). </w:t>
      </w:r>
      <w:r w:rsidR="00FD585E">
        <w:rPr>
          <w:rFonts w:cs="Times New Roman"/>
          <w:sz w:val="22"/>
        </w:rPr>
        <w:t>I</w:t>
      </w:r>
      <w:r w:rsidRPr="009730F5">
        <w:rPr>
          <w:rFonts w:cs="Times New Roman"/>
          <w:sz w:val="22"/>
        </w:rPr>
        <w:t xml:space="preserve">llicit repacking of caviar also </w:t>
      </w:r>
      <w:r>
        <w:rPr>
          <w:rFonts w:cs="Times New Roman"/>
          <w:sz w:val="22"/>
        </w:rPr>
        <w:t>exhibits</w:t>
      </w:r>
      <w:r w:rsidRPr="009730F5">
        <w:rPr>
          <w:rFonts w:cs="Times New Roman"/>
          <w:sz w:val="22"/>
        </w:rPr>
        <w:t xml:space="preserve"> </w:t>
      </w:r>
      <w:r>
        <w:rPr>
          <w:rFonts w:cs="Times New Roman"/>
          <w:sz w:val="22"/>
        </w:rPr>
        <w:t>‘gre</w:t>
      </w:r>
      <w:r w:rsidR="00FD585E">
        <w:rPr>
          <w:rFonts w:cs="Times New Roman"/>
          <w:sz w:val="22"/>
        </w:rPr>
        <w:t>yness’ in that it demonstrates “t</w:t>
      </w:r>
      <w:r w:rsidRPr="009730F5">
        <w:rPr>
          <w:rFonts w:cs="Times New Roman"/>
          <w:sz w:val="22"/>
        </w:rPr>
        <w:t>he changing social/market and legal classification of individual artefacts as they are laundered through multiple transacti</w:t>
      </w:r>
      <w:r w:rsidR="00FD585E">
        <w:rPr>
          <w:rFonts w:cs="Times New Roman"/>
          <w:sz w:val="22"/>
        </w:rPr>
        <w:t>ons and jurisdictions over time”</w:t>
      </w:r>
      <w:r w:rsidRPr="009730F5">
        <w:rPr>
          <w:rFonts w:cs="Times New Roman"/>
          <w:sz w:val="22"/>
        </w:rPr>
        <w:t xml:space="preserve"> (ibid: 71). For example, </w:t>
      </w:r>
      <w:r>
        <w:rPr>
          <w:rFonts w:cs="Times New Roman"/>
          <w:sz w:val="22"/>
        </w:rPr>
        <w:t>those engaging in illicit repacking will mix illegal caviar into legal batches (where one batch is normally the caviar from a single fish)</w:t>
      </w:r>
      <w:r w:rsidR="00FD585E" w:rsidRPr="005B292F">
        <w:rPr>
          <w:rStyle w:val="FootnoteReference"/>
        </w:rPr>
        <w:footnoteReference w:id="136"/>
      </w:r>
      <w:r>
        <w:rPr>
          <w:rFonts w:cs="Times New Roman"/>
          <w:sz w:val="22"/>
        </w:rPr>
        <w:t xml:space="preserve">. As this caviar is repackaged (sometimes multiple times) into smaller tins, </w:t>
      </w:r>
      <w:r w:rsidRPr="009730F5">
        <w:rPr>
          <w:rFonts w:cs="Times New Roman"/>
          <w:sz w:val="22"/>
        </w:rPr>
        <w:t xml:space="preserve">at different repackaging facilities, </w:t>
      </w:r>
      <w:r>
        <w:rPr>
          <w:rFonts w:cs="Times New Roman"/>
          <w:sz w:val="22"/>
        </w:rPr>
        <w:t xml:space="preserve">often </w:t>
      </w:r>
      <w:r w:rsidRPr="009730F5">
        <w:rPr>
          <w:rFonts w:cs="Times New Roman"/>
          <w:sz w:val="22"/>
        </w:rPr>
        <w:t>in different cou</w:t>
      </w:r>
      <w:r w:rsidR="00FD585E">
        <w:rPr>
          <w:rFonts w:cs="Times New Roman"/>
          <w:sz w:val="22"/>
        </w:rPr>
        <w:t>ntries, the illicit product is “</w:t>
      </w:r>
      <w:r w:rsidRPr="009730F5">
        <w:rPr>
          <w:rFonts w:cs="Times New Roman"/>
          <w:sz w:val="22"/>
        </w:rPr>
        <w:t>slowly cleaned as it passes through different hands; moving towards the white (licit)</w:t>
      </w:r>
      <w:r>
        <w:rPr>
          <w:rFonts w:cs="Times New Roman"/>
          <w:sz w:val="22"/>
        </w:rPr>
        <w:t xml:space="preserve"> but </w:t>
      </w:r>
      <w:r w:rsidR="00576E52">
        <w:rPr>
          <w:rFonts w:cs="Times New Roman"/>
          <w:sz w:val="22"/>
        </w:rPr>
        <w:lastRenderedPageBreak/>
        <w:t xml:space="preserve">most likely ending up grey” </w:t>
      </w:r>
      <w:r w:rsidRPr="009730F5">
        <w:rPr>
          <w:rFonts w:cs="Times New Roman"/>
          <w:sz w:val="22"/>
        </w:rPr>
        <w:t xml:space="preserve">(ibid:82) as it acquires further </w:t>
      </w:r>
      <w:r>
        <w:rPr>
          <w:rFonts w:cs="Times New Roman"/>
          <w:sz w:val="22"/>
        </w:rPr>
        <w:t xml:space="preserve">official </w:t>
      </w:r>
      <w:r w:rsidRPr="009730F5">
        <w:rPr>
          <w:rFonts w:cs="Times New Roman"/>
          <w:sz w:val="22"/>
        </w:rPr>
        <w:t xml:space="preserve">documentation and export certificates whilst passing through multiple nodes in the supply chain. </w:t>
      </w:r>
    </w:p>
    <w:p w14:paraId="4D370163" w14:textId="77777777" w:rsidR="00B97063" w:rsidRDefault="00B97063" w:rsidP="00B97063">
      <w:pPr>
        <w:rPr>
          <w:rFonts w:cs="Times New Roman"/>
          <w:sz w:val="22"/>
        </w:rPr>
      </w:pPr>
      <w:r>
        <w:rPr>
          <w:rFonts w:cs="Times New Roman"/>
          <w:noProof/>
          <w:sz w:val="22"/>
          <w:lang w:val="en-US" w:eastAsia="en-US"/>
        </w:rPr>
        <w:drawing>
          <wp:inline distT="0" distB="0" distL="0" distR="0" wp14:anchorId="5F35A98D" wp14:editId="6149128E">
            <wp:extent cx="5600700" cy="420086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ar mother tins 2.jpg"/>
                    <pic:cNvPicPr/>
                  </pic:nvPicPr>
                  <pic:blipFill>
                    <a:blip r:embed="rId24">
                      <a:extLst>
                        <a:ext uri="{28A0092B-C50C-407E-A947-70E740481C1C}">
                          <a14:useLocalDpi xmlns:a14="http://schemas.microsoft.com/office/drawing/2010/main" val="0"/>
                        </a:ext>
                      </a:extLst>
                    </a:blip>
                    <a:stretch>
                      <a:fillRect/>
                    </a:stretch>
                  </pic:blipFill>
                  <pic:spPr>
                    <a:xfrm>
                      <a:off x="0" y="0"/>
                      <a:ext cx="5601599" cy="4201536"/>
                    </a:xfrm>
                    <a:prstGeom prst="rect">
                      <a:avLst/>
                    </a:prstGeom>
                  </pic:spPr>
                </pic:pic>
              </a:graphicData>
            </a:graphic>
          </wp:inline>
        </w:drawing>
      </w:r>
    </w:p>
    <w:p w14:paraId="5C1EEDD0" w14:textId="22FE34CB" w:rsidR="00DA49D6" w:rsidRDefault="00B97063" w:rsidP="00DA49D6">
      <w:pPr>
        <w:pStyle w:val="Heading5"/>
      </w:pPr>
      <w:bookmarkStart w:id="71" w:name="_Toc453224278"/>
      <w:r>
        <w:t>Image</w:t>
      </w:r>
      <w:r w:rsidR="00DA49D6">
        <w:t xml:space="preserve"> 5.1: </w:t>
      </w:r>
      <w:r>
        <w:t xml:space="preserve">Traditional ‘Mother Tins’ of </w:t>
      </w:r>
      <w:r w:rsidR="00DA49D6">
        <w:t>caviar</w:t>
      </w:r>
      <w:bookmarkEnd w:id="71"/>
    </w:p>
    <w:p w14:paraId="0E0C6AE3" w14:textId="53E230FC" w:rsidR="00B97063" w:rsidRPr="00FD585E" w:rsidRDefault="00DA49D6" w:rsidP="00B97063">
      <w:pPr>
        <w:rPr>
          <w:rFonts w:cs="Times New Roman"/>
          <w:sz w:val="20"/>
          <w:szCs w:val="20"/>
        </w:rPr>
      </w:pPr>
      <w:r w:rsidRPr="00DA49D6">
        <w:rPr>
          <w:rFonts w:cs="Times New Roman"/>
          <w:sz w:val="20"/>
          <w:szCs w:val="20"/>
        </w:rPr>
        <w:t xml:space="preserve">These are </w:t>
      </w:r>
      <w:r w:rsidR="00B97063" w:rsidRPr="00DA49D6">
        <w:rPr>
          <w:rFonts w:cs="Times New Roman"/>
          <w:sz w:val="20"/>
          <w:szCs w:val="20"/>
        </w:rPr>
        <w:t>1.8kg and 1kg</w:t>
      </w:r>
      <w:r w:rsidRPr="00DA49D6">
        <w:rPr>
          <w:rFonts w:cs="Times New Roman"/>
          <w:sz w:val="20"/>
          <w:szCs w:val="20"/>
        </w:rPr>
        <w:t xml:space="preserve"> tins</w:t>
      </w:r>
      <w:r w:rsidR="00B97063" w:rsidRPr="00DA49D6">
        <w:rPr>
          <w:rFonts w:cs="Times New Roman"/>
          <w:sz w:val="20"/>
          <w:szCs w:val="20"/>
        </w:rPr>
        <w:t xml:space="preserve"> that caviar is</w:t>
      </w:r>
      <w:r w:rsidRPr="00DA49D6">
        <w:rPr>
          <w:rFonts w:cs="Times New Roman"/>
          <w:sz w:val="20"/>
          <w:szCs w:val="20"/>
        </w:rPr>
        <w:t xml:space="preserve"> </w:t>
      </w:r>
      <w:r w:rsidR="00B97063" w:rsidRPr="00DA49D6">
        <w:rPr>
          <w:rFonts w:cs="Times New Roman"/>
          <w:sz w:val="20"/>
          <w:szCs w:val="20"/>
        </w:rPr>
        <w:t>repackaged into smaller containers from. Source: Author’s photograph</w:t>
      </w:r>
    </w:p>
    <w:p w14:paraId="32AAE058" w14:textId="6DBB7E02" w:rsidR="00B97063" w:rsidRPr="009730F5" w:rsidRDefault="00B97063" w:rsidP="00B97063">
      <w:pPr>
        <w:ind w:firstLine="720"/>
        <w:rPr>
          <w:rFonts w:cs="Times New Roman"/>
          <w:sz w:val="22"/>
        </w:rPr>
      </w:pPr>
      <w:r w:rsidRPr="009730F5">
        <w:rPr>
          <w:rFonts w:cs="Times New Roman"/>
          <w:sz w:val="22"/>
        </w:rPr>
        <w:t xml:space="preserve">Thus, through multiple intermediaries and repacking stages, </w:t>
      </w:r>
      <w:r>
        <w:rPr>
          <w:rFonts w:cs="Times New Roman"/>
          <w:sz w:val="22"/>
        </w:rPr>
        <w:t>the batch of illegal caviar undergoes a ‘</w:t>
      </w:r>
      <w:r w:rsidRPr="009730F5">
        <w:rPr>
          <w:rFonts w:cs="Times New Roman"/>
          <w:sz w:val="22"/>
        </w:rPr>
        <w:t>cleaning process</w:t>
      </w:r>
      <w:r>
        <w:rPr>
          <w:rFonts w:cs="Times New Roman"/>
          <w:sz w:val="22"/>
        </w:rPr>
        <w:t>’</w:t>
      </w:r>
      <w:r w:rsidRPr="009730F5">
        <w:rPr>
          <w:rFonts w:cs="Times New Roman"/>
          <w:sz w:val="22"/>
        </w:rPr>
        <w:t xml:space="preserve"> whereby the illicit product becomes deeply embedded into the normal market supply chains, and is ultimately rendered ‘legal’ in the sense that it is bought and sold openly via legal channels</w:t>
      </w:r>
      <w:r>
        <w:rPr>
          <w:rFonts w:cs="Times New Roman"/>
          <w:sz w:val="22"/>
        </w:rPr>
        <w:t xml:space="preserve"> and with correct documentation</w:t>
      </w:r>
      <w:r w:rsidRPr="009730F5">
        <w:rPr>
          <w:rFonts w:cs="Times New Roman"/>
          <w:sz w:val="22"/>
        </w:rPr>
        <w:t xml:space="preserve">. </w:t>
      </w:r>
      <w:r>
        <w:rPr>
          <w:rFonts w:cs="Times New Roman"/>
          <w:sz w:val="22"/>
        </w:rPr>
        <w:t xml:space="preserve">Whilst this demonstrates </w:t>
      </w:r>
      <w:r w:rsidRPr="009730F5">
        <w:rPr>
          <w:rFonts w:cs="Times New Roman"/>
          <w:sz w:val="22"/>
        </w:rPr>
        <w:t>how ‘black’ products are cleaned and</w:t>
      </w:r>
      <w:r>
        <w:rPr>
          <w:rFonts w:cs="Times New Roman"/>
          <w:sz w:val="22"/>
        </w:rPr>
        <w:t xml:space="preserve"> their legal status</w:t>
      </w:r>
      <w:r w:rsidRPr="009730F5">
        <w:rPr>
          <w:rFonts w:cs="Times New Roman"/>
          <w:sz w:val="22"/>
        </w:rPr>
        <w:t xml:space="preserve"> become</w:t>
      </w:r>
      <w:r>
        <w:rPr>
          <w:rFonts w:cs="Times New Roman"/>
          <w:sz w:val="22"/>
        </w:rPr>
        <w:t xml:space="preserve">s more ‘grey’; I suggest that </w:t>
      </w:r>
      <w:r w:rsidRPr="009730F5">
        <w:rPr>
          <w:rFonts w:cs="Times New Roman"/>
          <w:sz w:val="22"/>
        </w:rPr>
        <w:t>it is also possible to think about the changing status of individual objects</w:t>
      </w:r>
      <w:r>
        <w:rPr>
          <w:rFonts w:cs="Times New Roman"/>
          <w:sz w:val="22"/>
        </w:rPr>
        <w:t xml:space="preserve"> (or batches of caviar)</w:t>
      </w:r>
      <w:r w:rsidRPr="009730F5">
        <w:rPr>
          <w:rFonts w:cs="Times New Roman"/>
          <w:sz w:val="22"/>
        </w:rPr>
        <w:t xml:space="preserve"> starting from the referent point of ‘white’ caviar products. Shifting the focus of the referent object illustrates how ‘whitewashing’ of illegal caviar is very much a two-way process and necessarily entail</w:t>
      </w:r>
      <w:r>
        <w:rPr>
          <w:rFonts w:cs="Times New Roman"/>
          <w:sz w:val="22"/>
        </w:rPr>
        <w:t>s a polluting of legal product. ‘W</w:t>
      </w:r>
      <w:r w:rsidRPr="009730F5">
        <w:rPr>
          <w:rFonts w:cs="Times New Roman"/>
          <w:sz w:val="22"/>
        </w:rPr>
        <w:t xml:space="preserve">hite’ </w:t>
      </w:r>
      <w:r>
        <w:rPr>
          <w:rFonts w:cs="Times New Roman"/>
          <w:sz w:val="22"/>
        </w:rPr>
        <w:t xml:space="preserve">caviar </w:t>
      </w:r>
      <w:r w:rsidRPr="009730F5">
        <w:rPr>
          <w:rFonts w:cs="Times New Roman"/>
          <w:sz w:val="22"/>
        </w:rPr>
        <w:t>products are sullied and also become more ‘grey’. This forcefully demonstrates my argument tha</w:t>
      </w:r>
      <w:r w:rsidR="007D2A86">
        <w:rPr>
          <w:rFonts w:cs="Times New Roman"/>
          <w:sz w:val="22"/>
        </w:rPr>
        <w:t>t the caviar market in the EU is</w:t>
      </w:r>
      <w:r w:rsidRPr="009730F5">
        <w:rPr>
          <w:rFonts w:cs="Times New Roman"/>
          <w:sz w:val="22"/>
        </w:rPr>
        <w:t xml:space="preserve"> characteristically ‘grey’ (rather than having separat</w:t>
      </w:r>
      <w:r w:rsidR="007D2A86">
        <w:rPr>
          <w:rFonts w:cs="Times New Roman"/>
          <w:sz w:val="22"/>
        </w:rPr>
        <w:t xml:space="preserve">e legal and illegal dimensions), </w:t>
      </w:r>
      <w:r w:rsidRPr="009730F5">
        <w:rPr>
          <w:rFonts w:cs="Times New Roman"/>
          <w:sz w:val="22"/>
        </w:rPr>
        <w:t xml:space="preserve">as both ‘black’ and ‘white’ </w:t>
      </w:r>
      <w:r>
        <w:rPr>
          <w:rFonts w:cs="Times New Roman"/>
          <w:sz w:val="22"/>
        </w:rPr>
        <w:t xml:space="preserve">caviar </w:t>
      </w:r>
      <w:r w:rsidRPr="009730F5">
        <w:rPr>
          <w:rFonts w:cs="Times New Roman"/>
          <w:sz w:val="22"/>
        </w:rPr>
        <w:t>products are intrinsically intertwined in the market</w:t>
      </w:r>
      <w:r>
        <w:rPr>
          <w:rFonts w:cs="Times New Roman"/>
          <w:sz w:val="22"/>
        </w:rPr>
        <w:t xml:space="preserve"> through greying activities and processes</w:t>
      </w:r>
      <w:r w:rsidRPr="009730F5">
        <w:rPr>
          <w:rFonts w:cs="Times New Roman"/>
          <w:sz w:val="22"/>
        </w:rPr>
        <w:t xml:space="preserve">. </w:t>
      </w:r>
    </w:p>
    <w:p w14:paraId="42C84B49" w14:textId="77777777" w:rsidR="007D2A86" w:rsidRDefault="00B97063" w:rsidP="00B97063">
      <w:pPr>
        <w:ind w:firstLine="720"/>
        <w:rPr>
          <w:rFonts w:cs="Times New Roman"/>
          <w:sz w:val="22"/>
        </w:rPr>
      </w:pPr>
      <w:r w:rsidRPr="009730F5">
        <w:rPr>
          <w:rFonts w:cs="Times New Roman"/>
          <w:sz w:val="22"/>
        </w:rPr>
        <w:lastRenderedPageBreak/>
        <w:t xml:space="preserve">Moreover, there is a final strategy of whitewashing that criminal groups direct </w:t>
      </w:r>
      <w:r>
        <w:rPr>
          <w:rFonts w:cs="Times New Roman"/>
          <w:sz w:val="22"/>
        </w:rPr>
        <w:t xml:space="preserve">towards retailers in end-user markets. </w:t>
      </w:r>
      <w:r w:rsidRPr="009730F5">
        <w:rPr>
          <w:rFonts w:cs="Times New Roman"/>
          <w:sz w:val="22"/>
        </w:rPr>
        <w:t>Instances of criminal groups using the threat of violence to force legitimate traders to sell their illegal products h</w:t>
      </w:r>
      <w:r>
        <w:rPr>
          <w:rFonts w:cs="Times New Roman"/>
          <w:sz w:val="22"/>
        </w:rPr>
        <w:t xml:space="preserve">ave </w:t>
      </w:r>
      <w:r w:rsidR="007D2A86">
        <w:rPr>
          <w:rFonts w:cs="Times New Roman"/>
          <w:sz w:val="22"/>
        </w:rPr>
        <w:t>been recorded. Yvar recounted:</w:t>
      </w:r>
    </w:p>
    <w:p w14:paraId="7C795A46" w14:textId="18AC4DC2" w:rsidR="007D2A86" w:rsidRDefault="007D2A86" w:rsidP="007D2A86">
      <w:pPr>
        <w:pStyle w:val="Quote"/>
      </w:pPr>
      <w:r w:rsidRPr="009730F5">
        <w:t>Stories</w:t>
      </w:r>
      <w:r w:rsidR="00B97063" w:rsidRPr="009730F5">
        <w:t xml:space="preserve"> of caviar traders in Europe being threatened by criminal groups to buy their caviar…I’ll give you a ridiculous example which happened. They first arranged that kids were being used to offer caviar for taste, real wild caviar. And if they [traders] were not interested, then they were intimidated by violence to buy their caviar, to start in their network. So there’s also a form of actually the criminal organisations pushing legitimate traders to be involved also in illegal trade</w:t>
      </w:r>
      <w:r w:rsidR="00B97063" w:rsidRPr="005B292F">
        <w:rPr>
          <w:rStyle w:val="FootnoteReference"/>
        </w:rPr>
        <w:footnoteReference w:id="137"/>
      </w:r>
    </w:p>
    <w:p w14:paraId="606D60D1" w14:textId="4CDE01D8" w:rsidR="00B97063" w:rsidRPr="009730F5" w:rsidRDefault="00B97063" w:rsidP="007D2A86">
      <w:pPr>
        <w:rPr>
          <w:rFonts w:cs="Times New Roman"/>
          <w:sz w:val="22"/>
        </w:rPr>
      </w:pPr>
      <w:r w:rsidRPr="009730F5">
        <w:rPr>
          <w:rFonts w:cs="Times New Roman"/>
          <w:sz w:val="22"/>
        </w:rPr>
        <w:t xml:space="preserve">In terms of </w:t>
      </w:r>
      <w:r>
        <w:rPr>
          <w:rFonts w:cs="Times New Roman"/>
          <w:sz w:val="22"/>
        </w:rPr>
        <w:t>the</w:t>
      </w:r>
      <w:r w:rsidRPr="009730F5">
        <w:rPr>
          <w:rFonts w:cs="Times New Roman"/>
          <w:sz w:val="22"/>
        </w:rPr>
        <w:t xml:space="preserve"> threefold distinction</w:t>
      </w:r>
      <w:r>
        <w:rPr>
          <w:rFonts w:cs="Times New Roman"/>
          <w:sz w:val="22"/>
        </w:rPr>
        <w:t xml:space="preserve"> of greyness</w:t>
      </w:r>
      <w:r w:rsidRPr="009730F5">
        <w:rPr>
          <w:rFonts w:cs="Times New Roman"/>
          <w:sz w:val="22"/>
        </w:rPr>
        <w:t xml:space="preserve">, </w:t>
      </w:r>
      <w:r>
        <w:rPr>
          <w:rFonts w:cs="Times New Roman"/>
          <w:sz w:val="22"/>
        </w:rPr>
        <w:t>this example is indicative of the ways criminal group</w:t>
      </w:r>
      <w:r w:rsidR="007D2A86">
        <w:rPr>
          <w:rFonts w:cs="Times New Roman"/>
          <w:sz w:val="22"/>
        </w:rPr>
        <w:t>s justify their activities via “</w:t>
      </w:r>
      <w:r>
        <w:rPr>
          <w:rFonts w:cs="Times New Roman"/>
          <w:sz w:val="22"/>
        </w:rPr>
        <w:t>a</w:t>
      </w:r>
      <w:r w:rsidRPr="009730F5">
        <w:rPr>
          <w:rFonts w:cs="Times New Roman"/>
          <w:sz w:val="22"/>
        </w:rPr>
        <w:t>n uncertainty or contest in the ethical, legal or normative construction of t</w:t>
      </w:r>
      <w:r w:rsidR="007D2A86">
        <w:rPr>
          <w:rFonts w:cs="Times New Roman"/>
          <w:sz w:val="22"/>
        </w:rPr>
        <w:t>he issue”</w:t>
      </w:r>
      <w:r w:rsidRPr="009730F5">
        <w:rPr>
          <w:rFonts w:cs="Times New Roman"/>
          <w:sz w:val="22"/>
        </w:rPr>
        <w:t xml:space="preserve"> (</w:t>
      </w:r>
      <w:r w:rsidR="007D2A86" w:rsidRPr="009730F5">
        <w:rPr>
          <w:rFonts w:cs="Times New Roman"/>
          <w:sz w:val="22"/>
        </w:rPr>
        <w:t>MacKenzie and Yates</w:t>
      </w:r>
      <w:r w:rsidR="007D2A86">
        <w:rPr>
          <w:rFonts w:cs="Times New Roman"/>
          <w:sz w:val="22"/>
        </w:rPr>
        <w:t xml:space="preserve">, </w:t>
      </w:r>
      <w:r w:rsidRPr="009730F5">
        <w:rPr>
          <w:rFonts w:cs="Times New Roman"/>
          <w:sz w:val="22"/>
        </w:rPr>
        <w:t xml:space="preserve">2017: 71). For those criminals pushing their illegal product on legitimate traders, they neutralize their whitewashing activities through a </w:t>
      </w:r>
      <w:r>
        <w:rPr>
          <w:rFonts w:cs="Times New Roman"/>
          <w:sz w:val="22"/>
        </w:rPr>
        <w:t xml:space="preserve">normative </w:t>
      </w:r>
      <w:r w:rsidRPr="009730F5">
        <w:rPr>
          <w:rFonts w:cs="Times New Roman"/>
          <w:sz w:val="22"/>
        </w:rPr>
        <w:t>contestation of the definition of illegality placed upon the practices they engage in. In reality,</w:t>
      </w:r>
      <w:r w:rsidR="007D2A86">
        <w:rPr>
          <w:rFonts w:cs="Times New Roman"/>
          <w:sz w:val="22"/>
        </w:rPr>
        <w:t xml:space="preserve"> “</w:t>
      </w:r>
      <w:r w:rsidRPr="009730F5">
        <w:rPr>
          <w:rFonts w:cs="Times New Roman"/>
          <w:sz w:val="22"/>
        </w:rPr>
        <w:t>most of them do not feel that it’s a very serious crime… They just see it like ‘grey’ business you know? They are dealing in these fish eggs. You know, they don’t see it as a crime</w:t>
      </w:r>
      <w:r w:rsidR="00573057">
        <w:rPr>
          <w:rFonts w:cs="Times New Roman"/>
          <w:sz w:val="22"/>
        </w:rPr>
        <w:t>”</w:t>
      </w:r>
      <w:r w:rsidRPr="005B292F">
        <w:rPr>
          <w:rStyle w:val="FootnoteReference"/>
        </w:rPr>
        <w:footnoteReference w:id="138"/>
      </w:r>
      <w:r w:rsidRPr="009730F5">
        <w:rPr>
          <w:rFonts w:cs="Times New Roman"/>
          <w:sz w:val="22"/>
        </w:rPr>
        <w:t xml:space="preserve">. </w:t>
      </w:r>
      <w:r w:rsidR="00573057">
        <w:rPr>
          <w:rFonts w:cs="Times New Roman"/>
          <w:sz w:val="22"/>
        </w:rPr>
        <w:t>T</w:t>
      </w:r>
      <w:r w:rsidRPr="009730F5">
        <w:rPr>
          <w:rFonts w:cs="Times New Roman"/>
          <w:sz w:val="22"/>
        </w:rPr>
        <w:t>his is</w:t>
      </w:r>
      <w:r w:rsidR="00573057">
        <w:rPr>
          <w:rFonts w:cs="Times New Roman"/>
          <w:sz w:val="22"/>
        </w:rPr>
        <w:t xml:space="preserve"> therefore an example of “</w:t>
      </w:r>
      <w:r w:rsidRPr="009730F5">
        <w:rPr>
          <w:rFonts w:cs="Times New Roman"/>
          <w:sz w:val="22"/>
        </w:rPr>
        <w:t>the active greying of the binary right/wrong distinction achieved by a neutralizing disc</w:t>
      </w:r>
      <w:r w:rsidR="00573057">
        <w:rPr>
          <w:rFonts w:cs="Times New Roman"/>
          <w:sz w:val="22"/>
        </w:rPr>
        <w:t>ourse”</w:t>
      </w:r>
      <w:r w:rsidRPr="009730F5">
        <w:rPr>
          <w:rFonts w:cs="Times New Roman"/>
          <w:sz w:val="22"/>
        </w:rPr>
        <w:t xml:space="preserve"> (MacKenzie and Yates, 2017: 84). The </w:t>
      </w:r>
      <w:r>
        <w:rPr>
          <w:rFonts w:cs="Times New Roman"/>
          <w:sz w:val="22"/>
        </w:rPr>
        <w:t>criminal actors</w:t>
      </w:r>
      <w:r w:rsidRPr="009730F5">
        <w:rPr>
          <w:rFonts w:cs="Times New Roman"/>
          <w:sz w:val="22"/>
        </w:rPr>
        <w:t xml:space="preserve"> involved make reference to their whitewashing as ‘grey business’, and justify their actions based upon their long-term involvement in the caviar trade, and their vehement contestation of the framing of </w:t>
      </w:r>
      <w:r>
        <w:rPr>
          <w:rFonts w:cs="Times New Roman"/>
          <w:sz w:val="22"/>
        </w:rPr>
        <w:t xml:space="preserve">their practices as a ‘crime’. </w:t>
      </w:r>
      <w:r w:rsidRPr="009730F5">
        <w:rPr>
          <w:rFonts w:cs="Times New Roman"/>
          <w:sz w:val="22"/>
        </w:rPr>
        <w:t xml:space="preserve"> </w:t>
      </w:r>
    </w:p>
    <w:p w14:paraId="7617E8D8" w14:textId="0E80FAFF" w:rsidR="00D0623D" w:rsidRDefault="00B97063" w:rsidP="00E30C8C">
      <w:pPr>
        <w:ind w:firstLine="720"/>
        <w:rPr>
          <w:rFonts w:cs="Times New Roman"/>
          <w:sz w:val="22"/>
        </w:rPr>
      </w:pPr>
      <w:r>
        <w:rPr>
          <w:rFonts w:cs="Times New Roman"/>
          <w:sz w:val="22"/>
        </w:rPr>
        <w:t xml:space="preserve">The above examples of whitewashing demonstrate the mixing of legal and illegal caviar at different </w:t>
      </w:r>
      <w:r w:rsidR="00576E52">
        <w:rPr>
          <w:rFonts w:cs="Times New Roman"/>
          <w:sz w:val="22"/>
        </w:rPr>
        <w:t xml:space="preserve">points in the supply chain, </w:t>
      </w:r>
      <w:r>
        <w:rPr>
          <w:rFonts w:cs="Times New Roman"/>
          <w:sz w:val="22"/>
        </w:rPr>
        <w:t xml:space="preserve">as well as exhibiting other aspects of </w:t>
      </w:r>
      <w:r w:rsidRPr="009730F5">
        <w:rPr>
          <w:rFonts w:cs="Times New Roman"/>
          <w:sz w:val="22"/>
        </w:rPr>
        <w:t xml:space="preserve">Mackenzie and Yates’ (2017) threefold distinction of ‘greyness’. </w:t>
      </w:r>
      <w:r>
        <w:rPr>
          <w:rFonts w:cs="Times New Roman"/>
          <w:sz w:val="22"/>
        </w:rPr>
        <w:t xml:space="preserve">Whitewashing </w:t>
      </w:r>
      <w:r w:rsidRPr="009730F5">
        <w:rPr>
          <w:rFonts w:cs="Times New Roman"/>
          <w:sz w:val="22"/>
        </w:rPr>
        <w:t>illustrate</w:t>
      </w:r>
      <w:r>
        <w:rPr>
          <w:rFonts w:cs="Times New Roman"/>
          <w:sz w:val="22"/>
        </w:rPr>
        <w:t>s</w:t>
      </w:r>
      <w:r w:rsidRPr="009730F5">
        <w:rPr>
          <w:rFonts w:cs="Times New Roman"/>
          <w:sz w:val="22"/>
        </w:rPr>
        <w:t xml:space="preserve"> the importance of the indecipherable material nature of caviar in enabling these ‘grey’ activities to take place. Proving that mixing of licit and illicit caviar streams is t</w:t>
      </w:r>
      <w:r>
        <w:rPr>
          <w:rFonts w:cs="Times New Roman"/>
          <w:sz w:val="22"/>
        </w:rPr>
        <w:t>aking place is ackno</w:t>
      </w:r>
      <w:r w:rsidR="00573057">
        <w:rPr>
          <w:rFonts w:cs="Times New Roman"/>
          <w:sz w:val="22"/>
        </w:rPr>
        <w:t>wledged as “</w:t>
      </w:r>
      <w:r w:rsidRPr="009730F5">
        <w:rPr>
          <w:rFonts w:cs="Times New Roman"/>
          <w:sz w:val="22"/>
        </w:rPr>
        <w:t>pretty hard to document</w:t>
      </w:r>
      <w:r w:rsidR="00573057">
        <w:rPr>
          <w:rFonts w:cs="Times New Roman"/>
          <w:sz w:val="22"/>
        </w:rPr>
        <w:t>”</w:t>
      </w:r>
      <w:r w:rsidRPr="005B292F">
        <w:rPr>
          <w:rStyle w:val="FootnoteReference"/>
        </w:rPr>
        <w:footnoteReference w:id="139"/>
      </w:r>
      <w:r w:rsidRPr="009730F5">
        <w:rPr>
          <w:rFonts w:cs="Times New Roman"/>
          <w:sz w:val="22"/>
        </w:rPr>
        <w:t>; with enforcemen</w:t>
      </w:r>
      <w:r>
        <w:rPr>
          <w:rFonts w:cs="Times New Roman"/>
          <w:sz w:val="22"/>
        </w:rPr>
        <w:t xml:space="preserve">t officials </w:t>
      </w:r>
      <w:r w:rsidR="00573057">
        <w:rPr>
          <w:rFonts w:cs="Times New Roman"/>
          <w:sz w:val="22"/>
        </w:rPr>
        <w:t xml:space="preserve">also </w:t>
      </w:r>
      <w:r>
        <w:rPr>
          <w:rFonts w:cs="Times New Roman"/>
          <w:sz w:val="22"/>
        </w:rPr>
        <w:t>re</w:t>
      </w:r>
      <w:r w:rsidR="00573057">
        <w:rPr>
          <w:rFonts w:cs="Times New Roman"/>
          <w:sz w:val="22"/>
        </w:rPr>
        <w:t>cognising that the significant “</w:t>
      </w:r>
      <w:r w:rsidRPr="009730F5">
        <w:rPr>
          <w:rFonts w:cs="Times New Roman"/>
          <w:sz w:val="22"/>
        </w:rPr>
        <w:t>issues we have is whether illegally sourced caviar is being laundered into farmed caviar. The only way to target that is to do random sampling and do DNA testing to see does it match what’s on the tin</w:t>
      </w:r>
      <w:r w:rsidR="00573057">
        <w:rPr>
          <w:rFonts w:cs="Times New Roman"/>
          <w:sz w:val="22"/>
        </w:rPr>
        <w:t>”</w:t>
      </w:r>
      <w:r w:rsidRPr="005B292F">
        <w:rPr>
          <w:rStyle w:val="FootnoteReference"/>
        </w:rPr>
        <w:footnoteReference w:id="140"/>
      </w:r>
      <w:r w:rsidRPr="009730F5">
        <w:rPr>
          <w:rFonts w:cs="Times New Roman"/>
          <w:sz w:val="22"/>
        </w:rPr>
        <w:t>. Once again, attention is drawn to the vital importance of what is materially hidden inside individual eggs of caviar</w:t>
      </w:r>
      <w:r>
        <w:rPr>
          <w:rFonts w:cs="Times New Roman"/>
          <w:sz w:val="22"/>
        </w:rPr>
        <w:t>, in order to distinguish</w:t>
      </w:r>
      <w:r w:rsidRPr="009730F5">
        <w:rPr>
          <w:rFonts w:cs="Times New Roman"/>
          <w:sz w:val="22"/>
        </w:rPr>
        <w:t xml:space="preserve"> illicit trade. The inability to systematically document the extent of caviar whitewashing is precisely why criminal actors have pursue</w:t>
      </w:r>
      <w:r w:rsidR="00576E52">
        <w:rPr>
          <w:rFonts w:cs="Times New Roman"/>
          <w:sz w:val="22"/>
        </w:rPr>
        <w:t xml:space="preserve">d this method of illicit trade. </w:t>
      </w:r>
      <w:r w:rsidRPr="009730F5">
        <w:rPr>
          <w:rFonts w:cs="Times New Roman"/>
          <w:sz w:val="22"/>
        </w:rPr>
        <w:t>The whitewashing process evidently relies upon the unknowable material properties of caviar</w:t>
      </w:r>
      <w:r>
        <w:rPr>
          <w:rFonts w:cs="Times New Roman"/>
          <w:sz w:val="22"/>
        </w:rPr>
        <w:t>, which</w:t>
      </w:r>
      <w:r w:rsidRPr="009730F5">
        <w:rPr>
          <w:rFonts w:cs="Times New Roman"/>
          <w:sz w:val="22"/>
        </w:rPr>
        <w:t xml:space="preserve"> enables the product to be absorbed so easily, and virtually without trace, into t</w:t>
      </w:r>
      <w:r>
        <w:rPr>
          <w:rFonts w:cs="Times New Roman"/>
          <w:sz w:val="22"/>
        </w:rPr>
        <w:t>he caviar stocks of ostensibly legal</w:t>
      </w:r>
      <w:r w:rsidRPr="009730F5">
        <w:rPr>
          <w:rFonts w:cs="Times New Roman"/>
          <w:sz w:val="22"/>
        </w:rPr>
        <w:t xml:space="preserve"> ente</w:t>
      </w:r>
      <w:r w:rsidR="00576E52">
        <w:rPr>
          <w:rFonts w:cs="Times New Roman"/>
          <w:sz w:val="22"/>
        </w:rPr>
        <w:t>rprises. As Qerene notes,</w:t>
      </w:r>
      <w:r w:rsidR="003D1AC3">
        <w:rPr>
          <w:rFonts w:cs="Times New Roman"/>
          <w:sz w:val="22"/>
        </w:rPr>
        <w:t xml:space="preserve"> “</w:t>
      </w:r>
      <w:r w:rsidRPr="009730F5">
        <w:rPr>
          <w:rFonts w:cs="Times New Roman"/>
          <w:sz w:val="22"/>
        </w:rPr>
        <w:t xml:space="preserve">caviar will change from one type to another, </w:t>
      </w:r>
      <w:r w:rsidRPr="009730F5">
        <w:rPr>
          <w:rFonts w:cs="Times New Roman"/>
          <w:i/>
          <w:sz w:val="22"/>
        </w:rPr>
        <w:lastRenderedPageBreak/>
        <w:t>suddenly</w:t>
      </w:r>
      <w:r w:rsidR="003D1AC3">
        <w:rPr>
          <w:rFonts w:cs="Times New Roman"/>
          <w:sz w:val="22"/>
        </w:rPr>
        <w:t>”</w:t>
      </w:r>
      <w:r w:rsidRPr="005B292F">
        <w:rPr>
          <w:rStyle w:val="FootnoteReference"/>
        </w:rPr>
        <w:footnoteReference w:id="141"/>
      </w:r>
      <w:r w:rsidRPr="009730F5">
        <w:rPr>
          <w:rFonts w:cs="Times New Roman"/>
          <w:sz w:val="22"/>
        </w:rPr>
        <w:t xml:space="preserve">, moving from illegal to legal, and entering the </w:t>
      </w:r>
      <w:r w:rsidR="00576E52">
        <w:rPr>
          <w:rFonts w:cs="Times New Roman"/>
          <w:sz w:val="22"/>
        </w:rPr>
        <w:t xml:space="preserve">legal market undetected. But, </w:t>
      </w:r>
      <w:r>
        <w:rPr>
          <w:rFonts w:cs="Times New Roman"/>
          <w:sz w:val="22"/>
        </w:rPr>
        <w:t>in</w:t>
      </w:r>
      <w:r w:rsidRPr="009730F5">
        <w:rPr>
          <w:rFonts w:cs="Times New Roman"/>
          <w:sz w:val="22"/>
        </w:rPr>
        <w:t xml:space="preserve"> reality the caviar occupies a </w:t>
      </w:r>
      <w:r w:rsidR="0035566D">
        <w:rPr>
          <w:rFonts w:cs="Times New Roman"/>
          <w:sz w:val="22"/>
        </w:rPr>
        <w:t>status as a ‘grey’ product, as “</w:t>
      </w:r>
      <w:r w:rsidRPr="009730F5">
        <w:rPr>
          <w:rFonts w:cs="Times New Roman"/>
          <w:sz w:val="22"/>
        </w:rPr>
        <w:t>no amount of laundering through network and market structures can completely negate the object’s illicit origins</w:t>
      </w:r>
      <w:r w:rsidR="0035566D">
        <w:rPr>
          <w:rFonts w:cs="Times New Roman"/>
          <w:sz w:val="22"/>
        </w:rPr>
        <w:t>”</w:t>
      </w:r>
      <w:r w:rsidRPr="009730F5">
        <w:rPr>
          <w:rFonts w:cs="Times New Roman"/>
          <w:sz w:val="22"/>
        </w:rPr>
        <w:t xml:space="preserve"> (Mackenzie and Yates, 2017:82). Thus, whitewashing of caviar illustrates how regulations</w:t>
      </w:r>
      <w:r>
        <w:rPr>
          <w:rFonts w:cs="Times New Roman"/>
          <w:sz w:val="22"/>
        </w:rPr>
        <w:t xml:space="preserve"> that allow one form of trade but not another,</w:t>
      </w:r>
      <w:r w:rsidRPr="009730F5">
        <w:rPr>
          <w:rFonts w:cs="Times New Roman"/>
          <w:sz w:val="22"/>
        </w:rPr>
        <w:t xml:space="preserve"> have created loopholes whereby actors take advantage of the unknowable material properties of caviar to pursue illicit trade activities.</w:t>
      </w:r>
      <w:r w:rsidR="00237F66">
        <w:rPr>
          <w:rFonts w:cs="Times New Roman"/>
          <w:sz w:val="22"/>
        </w:rPr>
        <w:t xml:space="preserve"> In terms of my theoretical framework, this discussion emphasises the inherently more-than-human ways in which various actors in the EU resist environmental policies. Caviar is enrolled </w:t>
      </w:r>
      <w:r w:rsidR="00D0623D">
        <w:rPr>
          <w:rFonts w:cs="Times New Roman"/>
          <w:sz w:val="22"/>
        </w:rPr>
        <w:t xml:space="preserve">as a grey actor in the whitewashing process, through its unknowable material properties that make the identification of illegal caviar products on the EU market extremely difficult. I argue that the ensuing entanglement of legal and illegal markets thereby constitutes a grey caviar market in the EU; and </w:t>
      </w:r>
      <w:r w:rsidR="00FA1A93">
        <w:rPr>
          <w:rFonts w:cs="Times New Roman"/>
          <w:sz w:val="22"/>
        </w:rPr>
        <w:t xml:space="preserve">represents </w:t>
      </w:r>
      <w:r w:rsidR="00D0623D">
        <w:rPr>
          <w:rFonts w:cs="Times New Roman"/>
          <w:sz w:val="22"/>
        </w:rPr>
        <w:t xml:space="preserve">an unintended geopolitical-ecological consequence of </w:t>
      </w:r>
      <w:r w:rsidR="00FA1A93">
        <w:rPr>
          <w:rFonts w:cs="Times New Roman"/>
          <w:sz w:val="22"/>
        </w:rPr>
        <w:t xml:space="preserve">EU caviar trade regulations. </w:t>
      </w:r>
    </w:p>
    <w:p w14:paraId="0529BC6B" w14:textId="77777777" w:rsidR="00E30C8C" w:rsidRPr="009730F5" w:rsidRDefault="00E30C8C" w:rsidP="00E30C8C">
      <w:pPr>
        <w:ind w:firstLine="720"/>
        <w:rPr>
          <w:rFonts w:cs="Times New Roman"/>
          <w:sz w:val="22"/>
        </w:rPr>
      </w:pPr>
    </w:p>
    <w:p w14:paraId="10D16C50" w14:textId="77777777" w:rsidR="00B97063" w:rsidRPr="009730F5" w:rsidRDefault="00B97063" w:rsidP="00216489">
      <w:pPr>
        <w:pStyle w:val="Notasubsection"/>
      </w:pPr>
      <w:r w:rsidRPr="009730F5">
        <w:t xml:space="preserve">Blackwashing </w:t>
      </w:r>
    </w:p>
    <w:p w14:paraId="4D35056A" w14:textId="1147DD7D" w:rsidR="00B97063" w:rsidRPr="009730F5" w:rsidRDefault="00B97063" w:rsidP="00B97063">
      <w:pPr>
        <w:rPr>
          <w:rFonts w:cs="Times New Roman"/>
          <w:sz w:val="22"/>
        </w:rPr>
      </w:pPr>
      <w:r>
        <w:rPr>
          <w:rFonts w:cs="Times New Roman"/>
          <w:sz w:val="22"/>
        </w:rPr>
        <w:t>Another mechanism by which the unknowable</w:t>
      </w:r>
      <w:r w:rsidRPr="009730F5">
        <w:rPr>
          <w:rFonts w:cs="Times New Roman"/>
          <w:sz w:val="22"/>
        </w:rPr>
        <w:t xml:space="preserve"> material properties of caviar are enl</w:t>
      </w:r>
      <w:r>
        <w:rPr>
          <w:rFonts w:cs="Times New Roman"/>
          <w:sz w:val="22"/>
        </w:rPr>
        <w:t>isted for illicit grey</w:t>
      </w:r>
      <w:r w:rsidRPr="009730F5">
        <w:rPr>
          <w:rFonts w:cs="Times New Roman"/>
          <w:sz w:val="22"/>
        </w:rPr>
        <w:t xml:space="preserve"> trade, is through the ‘blackwashing’ of legal caviar. This process is th</w:t>
      </w:r>
      <w:r>
        <w:rPr>
          <w:rFonts w:cs="Times New Roman"/>
          <w:sz w:val="22"/>
        </w:rPr>
        <w:t>e opposite of the whitewashing</w:t>
      </w:r>
      <w:r w:rsidRPr="009730F5">
        <w:rPr>
          <w:rFonts w:cs="Times New Roman"/>
          <w:sz w:val="22"/>
        </w:rPr>
        <w:t xml:space="preserve"> described above</w:t>
      </w:r>
      <w:r w:rsidR="00FA1A93">
        <w:rPr>
          <w:rFonts w:cs="Times New Roman"/>
          <w:sz w:val="22"/>
        </w:rPr>
        <w:t>, and involves instances where “</w:t>
      </w:r>
      <w:r w:rsidRPr="009730F5">
        <w:rPr>
          <w:rFonts w:cs="Times New Roman"/>
          <w:sz w:val="22"/>
        </w:rPr>
        <w:t>captive bred caviar is being transformed into, or being sold as illegal caviar</w:t>
      </w:r>
      <w:r w:rsidR="00FA1A93">
        <w:rPr>
          <w:rFonts w:cs="Times New Roman"/>
          <w:sz w:val="22"/>
        </w:rPr>
        <w:t>”</w:t>
      </w:r>
      <w:r w:rsidRPr="005B292F">
        <w:rPr>
          <w:rStyle w:val="FootnoteReference"/>
        </w:rPr>
        <w:footnoteReference w:id="142"/>
      </w:r>
      <w:r w:rsidRPr="009730F5">
        <w:rPr>
          <w:rFonts w:cs="Times New Roman"/>
          <w:sz w:val="22"/>
        </w:rPr>
        <w:t xml:space="preserve">. </w:t>
      </w:r>
      <w:r w:rsidR="00364FF8">
        <w:rPr>
          <w:rFonts w:cs="Times New Roman"/>
          <w:sz w:val="22"/>
        </w:rPr>
        <w:t xml:space="preserve">It has been suggested that blackwashing as a wildlife crime phenomenon, may be unique to the caviar trade </w:t>
      </w:r>
      <w:r w:rsidR="00D252CB">
        <w:rPr>
          <w:rFonts w:cs="Times New Roman"/>
          <w:sz w:val="22"/>
        </w:rPr>
        <w:fldChar w:fldCharType="begin" w:fldLock="1"/>
      </w:r>
      <w:r w:rsidR="00F32306">
        <w:rPr>
          <w:rFonts w:cs="Times New Roman"/>
          <w:sz w:val="22"/>
        </w:rPr>
        <w:instrText>ADDIN CSL_CITATION {"citationItems":[{"id":"ITEM-1","itemData":{"ISBN":"9781911646051","abstract":"The illegal exploitation of the world's fl ora and fauna is a serious and growing problem globally, negatively impacting economic and social development, security and governance. Wildlife and forest crime has all the hallmarks of transnational organized crime and frequently involves other forms of seri-ous crime such as fraud, money laundering and corruption. Transnational organized criminal networks are moving poached or illegally harvested wildlife using a variety of smuggling techniques, often by means of existing infrastruc-tures and well-developed routes used for the traffi cking of drugs, people, weapons, counterfeit goods and other forms of contraband. All links in this traffi cking chain are facili-tated by varying levels of corruption – both in the public and private sectors. Yet in spite of all the negative impacts, wildlife and forest crime continues to be viewed as being outside 'main-stream crime' by many in the law enforcement community, governments and the public. Despite the transnational and organized nature of this illicit trade, the response varies signif-icantly from one region to another. Successful investigations and prosecutions are few, an indication of the low priority often given to this issue. When addressing corruption linked to wildlife and forest crime, efforts are haphazard, if any.","author":[{"dropping-particle":"","family":"Musing, L., Harris, L., Williams, A., Parry- Jones, R., van Uhm, D., Wyatt","given":"T.","non-dropping-particle":"","parse-names":false,"suffix":""}],"id":"ITEM-1","issued":{"date-parts":[["2019"]]},"title":"Corruption and Wildlife crime: A focus on caviar trade","type":"book"},"uris":["http://www.mendeley.com/documents/?uuid=a55a63cf-6b7f-4a17-8fad-345667ee03ac"]}],"mendeley":{"formattedCitation":"(Musing, L., Harris, L., Williams, A., Parry- Jones, R., van Uhm, D., Wyatt, 2019)","manualFormatting":"(Musing et al., 2019","plainTextFormattedCitation":"(Musing, L., Harris, L., Williams, A., Parry- Jones, R., van Uhm, D., Wyatt, 2019)","previouslyFormattedCitation":"(Musing, L., Harris, L., Williams, A., Parry- Jones, R., van Uhm, D., Wyatt, 2019)"},"properties":{"noteIndex":0},"schema":"https://github.com/citation-style-language/schema/raw/master/csl-citation.json"}</w:instrText>
      </w:r>
      <w:r w:rsidR="00D252CB">
        <w:rPr>
          <w:rFonts w:cs="Times New Roman"/>
          <w:sz w:val="22"/>
        </w:rPr>
        <w:fldChar w:fldCharType="separate"/>
      </w:r>
      <w:r w:rsidR="00D252CB">
        <w:rPr>
          <w:rFonts w:cs="Times New Roman"/>
          <w:noProof/>
          <w:sz w:val="22"/>
        </w:rPr>
        <w:t xml:space="preserve">(Musing </w:t>
      </w:r>
      <w:r w:rsidR="00D252CB" w:rsidRPr="00D252CB">
        <w:rPr>
          <w:rFonts w:cs="Times New Roman"/>
          <w:i/>
          <w:noProof/>
          <w:sz w:val="22"/>
        </w:rPr>
        <w:t>et al</w:t>
      </w:r>
      <w:r w:rsidR="00D252CB">
        <w:rPr>
          <w:rFonts w:cs="Times New Roman"/>
          <w:noProof/>
          <w:sz w:val="22"/>
        </w:rPr>
        <w:t>., 2019</w:t>
      </w:r>
      <w:r w:rsidR="00D252CB">
        <w:rPr>
          <w:rFonts w:cs="Times New Roman"/>
          <w:sz w:val="22"/>
        </w:rPr>
        <w:fldChar w:fldCharType="end"/>
      </w:r>
      <w:r w:rsidR="00364FF8">
        <w:rPr>
          <w:rFonts w:cs="Times New Roman"/>
          <w:sz w:val="22"/>
        </w:rPr>
        <w:t>).</w:t>
      </w:r>
      <w:r w:rsidR="00D252CB">
        <w:rPr>
          <w:rFonts w:cs="Times New Roman"/>
          <w:sz w:val="22"/>
        </w:rPr>
        <w:t xml:space="preserve"> </w:t>
      </w:r>
      <w:r w:rsidRPr="009730F5">
        <w:rPr>
          <w:rFonts w:cs="Times New Roman"/>
          <w:sz w:val="22"/>
        </w:rPr>
        <w:t xml:space="preserve">Just as with the whitewashing of illegal caviar, this unlikely phenomenon takes a number of forms and degrees of organisation. </w:t>
      </w:r>
    </w:p>
    <w:p w14:paraId="061D90DF" w14:textId="59338AEB" w:rsidR="00B97063" w:rsidRPr="009730F5" w:rsidRDefault="00B97063" w:rsidP="00B97063">
      <w:pPr>
        <w:ind w:firstLine="720"/>
        <w:rPr>
          <w:rFonts w:cs="Times New Roman"/>
          <w:sz w:val="22"/>
        </w:rPr>
      </w:pPr>
      <w:r>
        <w:rPr>
          <w:rFonts w:cs="Times New Roman"/>
          <w:sz w:val="22"/>
        </w:rPr>
        <w:t xml:space="preserve">Given that </w:t>
      </w:r>
      <w:r w:rsidRPr="009730F5">
        <w:rPr>
          <w:rFonts w:cs="Times New Roman"/>
          <w:sz w:val="22"/>
        </w:rPr>
        <w:t>demand for some types of wild caviar, such as beluga caviar, is still high and commands a very high price on the black market, it is perhaps unsurprising that some sturgeon farmers and companies capable of producing captive-bred for</w:t>
      </w:r>
      <w:r>
        <w:rPr>
          <w:rFonts w:cs="Times New Roman"/>
          <w:sz w:val="22"/>
        </w:rPr>
        <w:t>ms of revered caviars, will seek</w:t>
      </w:r>
      <w:r w:rsidRPr="009730F5">
        <w:rPr>
          <w:rFonts w:cs="Times New Roman"/>
          <w:sz w:val="22"/>
        </w:rPr>
        <w:t xml:space="preserve"> avenues </w:t>
      </w:r>
      <w:r>
        <w:rPr>
          <w:rFonts w:cs="Times New Roman"/>
          <w:sz w:val="22"/>
        </w:rPr>
        <w:t xml:space="preserve">to sell </w:t>
      </w:r>
      <w:r w:rsidRPr="009730F5">
        <w:rPr>
          <w:rFonts w:cs="Times New Roman"/>
          <w:sz w:val="22"/>
        </w:rPr>
        <w:t>their legal product on t</w:t>
      </w:r>
      <w:r>
        <w:rPr>
          <w:rFonts w:cs="Times New Roman"/>
          <w:sz w:val="22"/>
        </w:rPr>
        <w:t xml:space="preserve">he </w:t>
      </w:r>
      <w:r w:rsidR="00FA1A93">
        <w:rPr>
          <w:rFonts w:cs="Times New Roman"/>
          <w:sz w:val="22"/>
        </w:rPr>
        <w:t xml:space="preserve">underground </w:t>
      </w:r>
      <w:r>
        <w:rPr>
          <w:rFonts w:cs="Times New Roman"/>
          <w:sz w:val="22"/>
        </w:rPr>
        <w:t>black market by</w:t>
      </w:r>
      <w:r w:rsidRPr="009730F5">
        <w:rPr>
          <w:rFonts w:cs="Times New Roman"/>
          <w:sz w:val="22"/>
        </w:rPr>
        <w:t xml:space="preserve"> marketing it as ‘wild’. On the black market caviar is unlabelled: served in unmarked tins, jars, reused caviar tins, and even plastic takeaway boxes</w:t>
      </w:r>
      <w:r w:rsidRPr="005B292F">
        <w:rPr>
          <w:rStyle w:val="FootnoteReference"/>
        </w:rPr>
        <w:footnoteReference w:id="143"/>
      </w:r>
      <w:r w:rsidRPr="009730F5">
        <w:rPr>
          <w:rFonts w:cs="Times New Roman"/>
          <w:sz w:val="22"/>
        </w:rPr>
        <w:t xml:space="preserve">; or is falsely labelled, with </w:t>
      </w:r>
      <w:r>
        <w:rPr>
          <w:rFonts w:cs="Times New Roman"/>
          <w:sz w:val="22"/>
        </w:rPr>
        <w:t xml:space="preserve">tins typically </w:t>
      </w:r>
      <w:r w:rsidR="0034302A">
        <w:rPr>
          <w:rFonts w:cs="Times New Roman"/>
          <w:sz w:val="22"/>
        </w:rPr>
        <w:t xml:space="preserve">just </w:t>
      </w:r>
      <w:r>
        <w:rPr>
          <w:rFonts w:cs="Times New Roman"/>
          <w:sz w:val="22"/>
        </w:rPr>
        <w:t>displaying ‘Russian caviar’ or ‘Iranian Beluga caviar’</w:t>
      </w:r>
      <w:r w:rsidRPr="009730F5">
        <w:rPr>
          <w:rFonts w:cs="Times New Roman"/>
          <w:sz w:val="22"/>
        </w:rPr>
        <w:t xml:space="preserve"> with falsified information for companies that do not exist – “the stickers of this company, you don’t know. So you check this company…You cannot find it”</w:t>
      </w:r>
      <w:r w:rsidRPr="005B292F">
        <w:rPr>
          <w:rStyle w:val="FootnoteReference"/>
        </w:rPr>
        <w:footnoteReference w:id="144"/>
      </w:r>
      <w:r w:rsidRPr="009730F5">
        <w:rPr>
          <w:rFonts w:cs="Times New Roman"/>
          <w:sz w:val="22"/>
        </w:rPr>
        <w:t>. It is therefore virtually impossible to trace wher</w:t>
      </w:r>
      <w:r>
        <w:rPr>
          <w:rFonts w:cs="Times New Roman"/>
          <w:sz w:val="22"/>
        </w:rPr>
        <w:t>e blackwashed caviar comes from.</w:t>
      </w:r>
      <w:r w:rsidRPr="009730F5">
        <w:rPr>
          <w:rFonts w:cs="Times New Roman"/>
          <w:sz w:val="22"/>
        </w:rPr>
        <w:t xml:space="preserve"> </w:t>
      </w:r>
      <w:r>
        <w:rPr>
          <w:rFonts w:cs="Times New Roman"/>
          <w:sz w:val="22"/>
        </w:rPr>
        <w:t>For produc</w:t>
      </w:r>
      <w:r w:rsidR="0034302A">
        <w:rPr>
          <w:rFonts w:cs="Times New Roman"/>
          <w:sz w:val="22"/>
        </w:rPr>
        <w:t xml:space="preserve">ers selling to the black </w:t>
      </w:r>
      <w:r w:rsidR="0034302A">
        <w:rPr>
          <w:rFonts w:cs="Times New Roman"/>
          <w:sz w:val="22"/>
        </w:rPr>
        <w:lastRenderedPageBreak/>
        <w:t>market</w:t>
      </w:r>
      <w:r>
        <w:rPr>
          <w:rFonts w:cs="Times New Roman"/>
          <w:sz w:val="22"/>
        </w:rPr>
        <w:t xml:space="preserve"> their actions are unlikely to have consequences</w:t>
      </w:r>
      <w:r w:rsidR="0034302A">
        <w:rPr>
          <w:rFonts w:cs="Times New Roman"/>
          <w:sz w:val="22"/>
        </w:rPr>
        <w:t>,</w:t>
      </w:r>
      <w:r>
        <w:rPr>
          <w:rFonts w:cs="Times New Roman"/>
          <w:sz w:val="22"/>
        </w:rPr>
        <w:t xml:space="preserve"> as the purchasing clients</w:t>
      </w:r>
      <w:r w:rsidRPr="009730F5">
        <w:rPr>
          <w:rFonts w:cs="Times New Roman"/>
          <w:sz w:val="22"/>
        </w:rPr>
        <w:t xml:space="preserve"> “don’t know anything. They don’t have any information. The good information they don’t have. They only want to have their caviar”</w:t>
      </w:r>
      <w:r w:rsidRPr="005B292F">
        <w:rPr>
          <w:rStyle w:val="FootnoteReference"/>
        </w:rPr>
        <w:footnoteReference w:id="145"/>
      </w:r>
      <w:r w:rsidRPr="009730F5">
        <w:rPr>
          <w:rFonts w:cs="Times New Roman"/>
          <w:sz w:val="22"/>
        </w:rPr>
        <w:t>.</w:t>
      </w:r>
    </w:p>
    <w:p w14:paraId="62F9BF2D" w14:textId="77777777" w:rsidR="001F65A7" w:rsidRDefault="00B97063" w:rsidP="001F65A7">
      <w:pPr>
        <w:ind w:firstLine="720"/>
        <w:rPr>
          <w:rFonts w:cs="Times New Roman"/>
          <w:sz w:val="22"/>
        </w:rPr>
      </w:pPr>
      <w:r w:rsidRPr="009730F5">
        <w:rPr>
          <w:rFonts w:cs="Times New Roman"/>
          <w:sz w:val="22"/>
        </w:rPr>
        <w:t>In terms of MacKenzie and Yates’ threefold distinction of ‘greyness’ this ex</w:t>
      </w:r>
      <w:r w:rsidR="00193622">
        <w:rPr>
          <w:rFonts w:cs="Times New Roman"/>
          <w:sz w:val="22"/>
        </w:rPr>
        <w:t>ample once again fits into the “</w:t>
      </w:r>
      <w:r w:rsidRPr="009730F5">
        <w:rPr>
          <w:rFonts w:cs="Times New Roman"/>
          <w:sz w:val="22"/>
        </w:rPr>
        <w:t>practical mixing of lic</w:t>
      </w:r>
      <w:r w:rsidR="00193622">
        <w:rPr>
          <w:rFonts w:cs="Times New Roman"/>
          <w:sz w:val="22"/>
        </w:rPr>
        <w:t>it and illicit chains of supply”</w:t>
      </w:r>
      <w:r w:rsidRPr="009730F5">
        <w:rPr>
          <w:rFonts w:cs="Times New Roman"/>
          <w:sz w:val="22"/>
        </w:rPr>
        <w:t xml:space="preserve"> (2017</w:t>
      </w:r>
      <w:r w:rsidR="00193622">
        <w:rPr>
          <w:rFonts w:cs="Times New Roman"/>
          <w:sz w:val="22"/>
        </w:rPr>
        <w:t>: 71). However it represents a “</w:t>
      </w:r>
      <w:r w:rsidRPr="009730F5">
        <w:rPr>
          <w:rFonts w:cs="Times New Roman"/>
          <w:sz w:val="22"/>
        </w:rPr>
        <w:t>very interesting</w:t>
      </w:r>
      <w:r w:rsidR="00193622">
        <w:rPr>
          <w:rFonts w:cs="Times New Roman"/>
          <w:sz w:val="22"/>
        </w:rPr>
        <w:t>”</w:t>
      </w:r>
      <w:r w:rsidRPr="005B292F">
        <w:rPr>
          <w:rStyle w:val="FootnoteReference"/>
        </w:rPr>
        <w:footnoteReference w:id="146"/>
      </w:r>
      <w:r w:rsidRPr="009730F5">
        <w:rPr>
          <w:rFonts w:cs="Times New Roman"/>
          <w:sz w:val="22"/>
        </w:rPr>
        <w:t xml:space="preserve"> example</w:t>
      </w:r>
      <w:r>
        <w:rPr>
          <w:rFonts w:cs="Times New Roman"/>
          <w:sz w:val="22"/>
        </w:rPr>
        <w:t xml:space="preserve"> of greyness</w:t>
      </w:r>
      <w:r w:rsidRPr="009730F5">
        <w:rPr>
          <w:rFonts w:cs="Times New Roman"/>
          <w:sz w:val="22"/>
        </w:rPr>
        <w:t>, because rather than purposefully mixing illegal caviar into the legal supply chain, this represents the reverse: ensuring legal ‘white’ product enters the illegal ‘black’ market. This is a purposeful act of resistance against the norms of the market, whereby farmers discursively ‘pollute’ their legal product in order to tap into the black market potentials of higher profit margins. MacKenzie and Yates similarly note examples in the il</w:t>
      </w:r>
      <w:r w:rsidR="00193622">
        <w:rPr>
          <w:rFonts w:cs="Times New Roman"/>
          <w:sz w:val="22"/>
        </w:rPr>
        <w:t>licit antiquities market where: “</w:t>
      </w:r>
      <w:r w:rsidRPr="009730F5">
        <w:rPr>
          <w:rFonts w:cs="Times New Roman"/>
          <w:sz w:val="22"/>
        </w:rPr>
        <w:t>traders engage in occasional moments of drift where they are temporarily dislocated from conventional normativity and open to the performance of a criminal actor, using discourse/narrative as the mechanism to a</w:t>
      </w:r>
      <w:r w:rsidR="00193622">
        <w:rPr>
          <w:rFonts w:cs="Times New Roman"/>
          <w:sz w:val="22"/>
        </w:rPr>
        <w:t>chieve that drift into deviance”</w:t>
      </w:r>
      <w:r>
        <w:rPr>
          <w:rFonts w:cs="Times New Roman"/>
          <w:sz w:val="22"/>
        </w:rPr>
        <w:t xml:space="preserve"> (2017: 72-73). I</w:t>
      </w:r>
      <w:r w:rsidRPr="009730F5">
        <w:rPr>
          <w:rFonts w:cs="Times New Roman"/>
          <w:sz w:val="22"/>
        </w:rPr>
        <w:t>t is precisely through the phenomenon of blackwashing that caviar farmers achieve thi</w:t>
      </w:r>
      <w:r>
        <w:rPr>
          <w:rFonts w:cs="Times New Roman"/>
          <w:sz w:val="22"/>
        </w:rPr>
        <w:t xml:space="preserve">s ‘drift into deviance’. </w:t>
      </w:r>
    </w:p>
    <w:p w14:paraId="374B7AED" w14:textId="09B36D54" w:rsidR="00B97063" w:rsidRPr="009730F5" w:rsidRDefault="001F65A7" w:rsidP="001F65A7">
      <w:pPr>
        <w:ind w:firstLine="720"/>
        <w:rPr>
          <w:rFonts w:cs="Times New Roman"/>
          <w:sz w:val="22"/>
        </w:rPr>
      </w:pPr>
      <w:r>
        <w:rPr>
          <w:rFonts w:cs="Times New Roman"/>
          <w:sz w:val="22"/>
        </w:rPr>
        <w:t>B</w:t>
      </w:r>
      <w:r w:rsidR="00B97063" w:rsidRPr="009730F5">
        <w:rPr>
          <w:rFonts w:cs="Times New Roman"/>
          <w:sz w:val="22"/>
        </w:rPr>
        <w:t xml:space="preserve">lackwashing is also an example of </w:t>
      </w:r>
      <w:r w:rsidR="00B97063">
        <w:rPr>
          <w:rFonts w:cs="Times New Roman"/>
          <w:sz w:val="22"/>
        </w:rPr>
        <w:t xml:space="preserve">the element of greyness described previously as </w:t>
      </w:r>
      <w:r w:rsidR="00B97063" w:rsidRPr="009730F5">
        <w:rPr>
          <w:rFonts w:cs="Times New Roman"/>
          <w:sz w:val="22"/>
        </w:rPr>
        <w:t>“an uncertainty or contest in the ethical, legal or normative construction of the issu</w:t>
      </w:r>
      <w:r w:rsidR="00B97063">
        <w:rPr>
          <w:rFonts w:cs="Times New Roman"/>
          <w:sz w:val="22"/>
        </w:rPr>
        <w:t>e” (ibid:71). The caviar producers</w:t>
      </w:r>
      <w:r w:rsidR="00B97063" w:rsidRPr="009730F5">
        <w:rPr>
          <w:rFonts w:cs="Times New Roman"/>
          <w:sz w:val="22"/>
        </w:rPr>
        <w:t xml:space="preserve"> blackwashing their legal product on the black market use neutralizing techniques to justify that their behaviours are not really illegal. It is illegal to buy and sell caviar f</w:t>
      </w:r>
      <w:r w:rsidR="00B97063">
        <w:rPr>
          <w:rFonts w:cs="Times New Roman"/>
          <w:sz w:val="22"/>
        </w:rPr>
        <w:t xml:space="preserve">rom </w:t>
      </w:r>
      <w:r w:rsidR="00B97063" w:rsidRPr="001F65A7">
        <w:rPr>
          <w:rFonts w:cs="Times New Roman"/>
          <w:i/>
          <w:sz w:val="22"/>
        </w:rPr>
        <w:t>wild</w:t>
      </w:r>
      <w:r w:rsidR="00B97063">
        <w:rPr>
          <w:rFonts w:cs="Times New Roman"/>
          <w:sz w:val="22"/>
        </w:rPr>
        <w:t xml:space="preserve"> sturgeon. However these actors </w:t>
      </w:r>
      <w:r w:rsidR="00B97063" w:rsidRPr="009730F5">
        <w:rPr>
          <w:rFonts w:cs="Times New Roman"/>
          <w:sz w:val="22"/>
        </w:rPr>
        <w:t>contend that they are merely selling a legal product (</w:t>
      </w:r>
      <w:r w:rsidR="00B97063">
        <w:rPr>
          <w:rFonts w:cs="Times New Roman"/>
          <w:sz w:val="22"/>
        </w:rPr>
        <w:t xml:space="preserve">albeit </w:t>
      </w:r>
      <w:r w:rsidR="00B97063" w:rsidRPr="009730F5">
        <w:rPr>
          <w:rFonts w:cs="Times New Roman"/>
          <w:sz w:val="22"/>
        </w:rPr>
        <w:t>to a technically underground ‘black’ market) and therefore have not engaged in any illegal transactions. Th</w:t>
      </w:r>
      <w:r w:rsidR="00B97063">
        <w:rPr>
          <w:rFonts w:cs="Times New Roman"/>
          <w:sz w:val="22"/>
        </w:rPr>
        <w:t xml:space="preserve">is exemplifies how </w:t>
      </w:r>
      <w:r w:rsidR="00B97063" w:rsidRPr="009730F5">
        <w:rPr>
          <w:rFonts w:cs="Times New Roman"/>
          <w:sz w:val="22"/>
        </w:rPr>
        <w:t>participating</w:t>
      </w:r>
      <w:r w:rsidR="00193622">
        <w:rPr>
          <w:rFonts w:cs="Times New Roman"/>
          <w:sz w:val="22"/>
        </w:rPr>
        <w:t xml:space="preserve"> in the market for caviar, “</w:t>
      </w:r>
      <w:r w:rsidR="00B97063" w:rsidRPr="009730F5">
        <w:rPr>
          <w:rFonts w:cs="Times New Roman"/>
          <w:sz w:val="22"/>
        </w:rPr>
        <w:t>is to some degree to participate in, or at least benefit from, criminal enterprise and the process through which market participants justify their actions can be described as neutralizing an otherwise morally re</w:t>
      </w:r>
      <w:r w:rsidR="00193622">
        <w:rPr>
          <w:rFonts w:cs="Times New Roman"/>
          <w:sz w:val="22"/>
        </w:rPr>
        <w:t xml:space="preserve">prehensible action; greying it” </w:t>
      </w:r>
      <w:r>
        <w:rPr>
          <w:rFonts w:cs="Times New Roman"/>
          <w:sz w:val="22"/>
        </w:rPr>
        <w:t>(Mackenzie &amp; Yates, 2017</w:t>
      </w:r>
      <w:r w:rsidR="00B97063" w:rsidRPr="009730F5">
        <w:rPr>
          <w:rFonts w:cs="Times New Roman"/>
          <w:sz w:val="22"/>
        </w:rPr>
        <w:t xml:space="preserve">: 83). There is a distinct moral ambiguity in the process of blackwashing ‘legal’ product into ‘illegal’ product, which makes these activities grey by nature. </w:t>
      </w:r>
    </w:p>
    <w:p w14:paraId="7843F448" w14:textId="77777777" w:rsidR="00193622" w:rsidRDefault="00B97063" w:rsidP="00B97063">
      <w:pPr>
        <w:rPr>
          <w:rFonts w:cs="Times New Roman"/>
          <w:sz w:val="22"/>
        </w:rPr>
      </w:pPr>
      <w:r w:rsidRPr="009730F5">
        <w:rPr>
          <w:rFonts w:cs="Times New Roman"/>
          <w:sz w:val="22"/>
        </w:rPr>
        <w:tab/>
        <w:t xml:space="preserve">Another example of blackwashing sometimes occurs in which caviar producers are totally unaware that their product is undergoing blackwashing. Criminal networks linked to repackaging facilities will purposefully purchase farmed caviar and repackage the product, selling it as wild on the black market via their networks. For example, Oliya described recently coming across this method: </w:t>
      </w:r>
    </w:p>
    <w:p w14:paraId="1CB88DF0" w14:textId="3AA8D099" w:rsidR="00193622" w:rsidRDefault="00B97063" w:rsidP="00193622">
      <w:pPr>
        <w:pStyle w:val="Quote"/>
      </w:pPr>
      <w:r w:rsidRPr="009730F5">
        <w:t>I saw this year another new thing. So the people buy the farmed caviar. They know which it is, what is inside. They have the invoice. And after they are going to put on their</w:t>
      </w:r>
      <w:r>
        <w:t xml:space="preserve"> own label. </w:t>
      </w:r>
      <w:r>
        <w:lastRenderedPageBreak/>
        <w:t>This farmed caviar</w:t>
      </w:r>
      <w:r w:rsidRPr="009730F5">
        <w:t xml:space="preserve"> may be Gueldenstaedtii, Schrenkii, Dauricus. This </w:t>
      </w:r>
      <w:r w:rsidRPr="009730F5">
        <w:rPr>
          <w:i/>
        </w:rPr>
        <w:t>could not</w:t>
      </w:r>
      <w:r w:rsidRPr="009730F5">
        <w:t xml:space="preserve"> be wild Huso Huso (Beluga). But they sell wild Beluga! And that was farmed caviar!”</w:t>
      </w:r>
      <w:r w:rsidRPr="005B292F">
        <w:rPr>
          <w:rStyle w:val="FootnoteReference"/>
        </w:rPr>
        <w:footnoteReference w:id="147"/>
      </w:r>
      <w:r>
        <w:t xml:space="preserve"> </w:t>
      </w:r>
    </w:p>
    <w:p w14:paraId="65B7AD9D" w14:textId="52EF0A8B" w:rsidR="00B97063" w:rsidRPr="009730F5" w:rsidRDefault="00B97063" w:rsidP="00B97063">
      <w:pPr>
        <w:rPr>
          <w:rFonts w:cs="Times New Roman"/>
          <w:sz w:val="22"/>
        </w:rPr>
      </w:pPr>
      <w:r>
        <w:rPr>
          <w:rFonts w:cs="Times New Roman"/>
          <w:sz w:val="22"/>
        </w:rPr>
        <w:t>Individuals engaging in this type of blackwashing represent ‘grey pe</w:t>
      </w:r>
      <w:r w:rsidR="00193622">
        <w:rPr>
          <w:rFonts w:cs="Times New Roman"/>
          <w:sz w:val="22"/>
        </w:rPr>
        <w:t>ople’ in the market, known as  “Janus figures”</w:t>
      </w:r>
      <w:r w:rsidRPr="009730F5">
        <w:rPr>
          <w:rFonts w:cs="Times New Roman"/>
          <w:sz w:val="22"/>
        </w:rPr>
        <w:t xml:space="preserve"> </w:t>
      </w:r>
      <w:r w:rsidRPr="009730F5">
        <w:rPr>
          <w:rFonts w:cs="Times New Roman"/>
          <w:sz w:val="22"/>
        </w:rPr>
        <w:fldChar w:fldCharType="begin" w:fldLock="1"/>
      </w:r>
      <w:r w:rsidR="00EC7F7E">
        <w:rPr>
          <w:rFonts w:cs="Times New Roman"/>
          <w:sz w:val="22"/>
        </w:rPr>
        <w:instrText>ADDIN CSL_CITATION {"citationItems":[{"id":"ITEM-1","itemData":{"DOI":"10.1093/bjc/azu038","ISSN":"0007-0955","abstract":"As we are seeing now with the “Arab Spring,” and have seen throughout history, cultural destruction is often a handmaiden to conflict. In the Southeast Asian nation of Cambodia, fighting erupted between government forces and the communist Khmer Rouge in 1970 and did not end until the 1998 death of Pol Pot and subsequent surrender of his remaining forces. While contemporary accounts and photographs confirm the country’s ancient Hindu and Buddhist temples were largely intact before the war, most were then cut off from the outside world for decades, and some remain difficult and even dangerous to reach today due to poor roads, jungles, landmines, and unexploded ordnance (uxo). It is thus only now becoming possible to systematically investigate the wartime plunder of Cambodia’s antiquities, an undertaking that is growing more important each year as the country steps up efforts to recover its stolen treasures from overseas collections. Cambodia","author":[{"dropping-particle":"","family":"Mackenzie","given":"Simon","non-dropping-particle":"","parse-names":false,"suffix":""},{"dropping-particle":"","family":"Davis","given":"Tess","non-dropping-particle":"","parse-names":false,"suffix":""}],"container-title":"British Journal of Criminology","id":"ITEM-1","issue":"5","issued":{"date-parts":[["2014","9","1"]]},"page":"722-740","publisher":"Narnia","title":"Temple Looting in Cambodia","type":"article-journal","volume":"54"},"uris":["http://www.mendeley.com/documents/?uuid=2e710238-0310-31f7-86ae-2cc447f27488"]}],"mendeley":{"formattedCitation":"(Mackenzie and Davis, 2014)","plainTextFormattedCitation":"(Mackenzie and Davis, 2014)","previouslyFormattedCitation":"(Mackenzie and Davis, 2014)"},"properties":{"noteIndex":0},"schema":"https://github.com/citation-style-language/schema/raw/master/csl-citation.json"}</w:instrText>
      </w:r>
      <w:r w:rsidRPr="009730F5">
        <w:rPr>
          <w:rFonts w:cs="Times New Roman"/>
          <w:sz w:val="22"/>
        </w:rPr>
        <w:fldChar w:fldCharType="separate"/>
      </w:r>
      <w:r w:rsidR="00042533" w:rsidRPr="00042533">
        <w:rPr>
          <w:rFonts w:cs="Times New Roman"/>
          <w:noProof/>
          <w:sz w:val="22"/>
        </w:rPr>
        <w:t>(Mackenzie and Davis, 2014)</w:t>
      </w:r>
      <w:r w:rsidRPr="009730F5">
        <w:rPr>
          <w:rFonts w:cs="Times New Roman"/>
          <w:sz w:val="22"/>
        </w:rPr>
        <w:fldChar w:fldCharType="end"/>
      </w:r>
      <w:r w:rsidRPr="009730F5">
        <w:rPr>
          <w:rFonts w:cs="Times New Roman"/>
          <w:sz w:val="22"/>
        </w:rPr>
        <w:t xml:space="preserve">. </w:t>
      </w:r>
      <w:r>
        <w:rPr>
          <w:rFonts w:cs="Times New Roman"/>
          <w:sz w:val="22"/>
        </w:rPr>
        <w:t xml:space="preserve">These individuals have roles at registered </w:t>
      </w:r>
      <w:r w:rsidR="00492E7B">
        <w:rPr>
          <w:rFonts w:cs="Times New Roman"/>
          <w:sz w:val="22"/>
        </w:rPr>
        <w:t xml:space="preserve">production or repacking </w:t>
      </w:r>
      <w:r w:rsidR="00193622">
        <w:rPr>
          <w:rFonts w:cs="Times New Roman"/>
          <w:sz w:val="22"/>
        </w:rPr>
        <w:t>facilities; but simultaneously “</w:t>
      </w:r>
      <w:r>
        <w:rPr>
          <w:rFonts w:cs="Times New Roman"/>
          <w:sz w:val="22"/>
        </w:rPr>
        <w:t>have occupied peculiar posit</w:t>
      </w:r>
      <w:r w:rsidR="00193622">
        <w:rPr>
          <w:rFonts w:cs="Times New Roman"/>
          <w:sz w:val="22"/>
        </w:rPr>
        <w:t>ions in the market over decades”</w:t>
      </w:r>
      <w:r w:rsidRPr="009730F5">
        <w:rPr>
          <w:rFonts w:cs="Times New Roman"/>
          <w:sz w:val="22"/>
        </w:rPr>
        <w:t xml:space="preserve"> (MacKenzie and Yates, 2017:84), in that they sit at a nexus between the legal and illegal trades. Yvar explained how</w:t>
      </w:r>
      <w:r>
        <w:rPr>
          <w:rFonts w:cs="Times New Roman"/>
          <w:sz w:val="22"/>
        </w:rPr>
        <w:t xml:space="preserve"> such ‘Janus figures’ </w:t>
      </w:r>
      <w:r w:rsidRPr="009730F5">
        <w:rPr>
          <w:rFonts w:cs="Times New Roman"/>
          <w:sz w:val="22"/>
        </w:rPr>
        <w:t>have been “involved in this caviar business for years, also in the 90s when they did have a connection with the illegal people”, and since then they have “transformed slowly their activities from illegal organizations into legitimate organizations, with still links to the illegal activities”</w:t>
      </w:r>
      <w:r w:rsidRPr="005B292F">
        <w:rPr>
          <w:rStyle w:val="FootnoteReference"/>
        </w:rPr>
        <w:footnoteReference w:id="148"/>
      </w:r>
      <w:r>
        <w:rPr>
          <w:rFonts w:cs="Times New Roman"/>
          <w:sz w:val="22"/>
        </w:rPr>
        <w:t>. These ‘Janus figures’</w:t>
      </w:r>
      <w:r w:rsidRPr="009730F5">
        <w:rPr>
          <w:rFonts w:cs="Times New Roman"/>
          <w:sz w:val="22"/>
        </w:rPr>
        <w:t xml:space="preserve"> are integral to the functi</w:t>
      </w:r>
      <w:r>
        <w:rPr>
          <w:rFonts w:cs="Times New Roman"/>
          <w:sz w:val="22"/>
        </w:rPr>
        <w:t xml:space="preserve">oning of the </w:t>
      </w:r>
      <w:r w:rsidR="00492E7B">
        <w:rPr>
          <w:rFonts w:cs="Times New Roman"/>
          <w:sz w:val="22"/>
        </w:rPr>
        <w:t xml:space="preserve">EU </w:t>
      </w:r>
      <w:r>
        <w:rPr>
          <w:rFonts w:cs="Times New Roman"/>
          <w:sz w:val="22"/>
        </w:rPr>
        <w:t>caviar trade as a grey market</w:t>
      </w:r>
      <w:r w:rsidR="00492E7B">
        <w:rPr>
          <w:rFonts w:cs="Times New Roman"/>
          <w:sz w:val="22"/>
        </w:rPr>
        <w:t>,</w:t>
      </w:r>
      <w:r>
        <w:rPr>
          <w:rFonts w:cs="Times New Roman"/>
          <w:sz w:val="22"/>
        </w:rPr>
        <w:t xml:space="preserve"> </w:t>
      </w:r>
      <w:r w:rsidRPr="009730F5">
        <w:rPr>
          <w:rFonts w:cs="Times New Roman"/>
          <w:sz w:val="22"/>
        </w:rPr>
        <w:t xml:space="preserve">because their social connections allow them to act as an intermediary between criminal networks, whilst retaining a front of respectability that enables them to engage with and supply the legal market. </w:t>
      </w:r>
    </w:p>
    <w:p w14:paraId="0D068747" w14:textId="4375EE3B" w:rsidR="00F32306" w:rsidRDefault="00B97063" w:rsidP="00B97063">
      <w:pPr>
        <w:rPr>
          <w:rFonts w:cs="Times New Roman"/>
          <w:sz w:val="22"/>
        </w:rPr>
      </w:pPr>
      <w:r w:rsidRPr="009730F5">
        <w:rPr>
          <w:rFonts w:cs="Times New Roman"/>
          <w:sz w:val="22"/>
        </w:rPr>
        <w:tab/>
        <w:t xml:space="preserve">Further, there are also less sophisticated examples of farmed caviar being sold as wild product. </w:t>
      </w:r>
      <w:r>
        <w:rPr>
          <w:rFonts w:cs="Times New Roman"/>
          <w:sz w:val="22"/>
        </w:rPr>
        <w:t>During market surveys</w:t>
      </w:r>
      <w:r w:rsidR="001F65A7">
        <w:rPr>
          <w:rFonts w:cs="Times New Roman"/>
          <w:sz w:val="22"/>
        </w:rPr>
        <w:t>,</w:t>
      </w:r>
      <w:r>
        <w:rPr>
          <w:rFonts w:cs="Times New Roman"/>
          <w:sz w:val="22"/>
        </w:rPr>
        <w:t xml:space="preserve"> </w:t>
      </w:r>
      <w:r w:rsidRPr="009730F5">
        <w:rPr>
          <w:rFonts w:cs="Times New Roman"/>
          <w:sz w:val="22"/>
        </w:rPr>
        <w:t>undercover NGO representat</w:t>
      </w:r>
      <w:r>
        <w:rPr>
          <w:rFonts w:cs="Times New Roman"/>
          <w:sz w:val="22"/>
        </w:rPr>
        <w:t xml:space="preserve">ives posed as customers and </w:t>
      </w:r>
      <w:r w:rsidRPr="009730F5">
        <w:rPr>
          <w:rFonts w:cs="Times New Roman"/>
          <w:sz w:val="22"/>
        </w:rPr>
        <w:t>would vi</w:t>
      </w:r>
      <w:r>
        <w:rPr>
          <w:rFonts w:cs="Times New Roman"/>
          <w:sz w:val="22"/>
        </w:rPr>
        <w:t>sit caviar retailers and enquire about the availability of wild caviar</w:t>
      </w:r>
      <w:r w:rsidRPr="009730F5">
        <w:rPr>
          <w:rFonts w:cs="Times New Roman"/>
          <w:sz w:val="22"/>
        </w:rPr>
        <w:t xml:space="preserve">. Sigrid </w:t>
      </w:r>
      <w:r>
        <w:rPr>
          <w:rFonts w:cs="Times New Roman"/>
          <w:sz w:val="22"/>
        </w:rPr>
        <w:t>recounted</w:t>
      </w:r>
      <w:r w:rsidRPr="009730F5">
        <w:rPr>
          <w:rFonts w:cs="Times New Roman"/>
          <w:sz w:val="22"/>
        </w:rPr>
        <w:t xml:space="preserve"> visiting a market stall in Vienna and browsing the caviar sold there – which was labelled correctly according to </w:t>
      </w:r>
      <w:r w:rsidR="00492E7B">
        <w:rPr>
          <w:rFonts w:cs="Times New Roman"/>
          <w:sz w:val="22"/>
        </w:rPr>
        <w:t xml:space="preserve">CITES </w:t>
      </w:r>
      <w:r w:rsidRPr="009730F5">
        <w:rPr>
          <w:rFonts w:cs="Times New Roman"/>
          <w:sz w:val="22"/>
        </w:rPr>
        <w:t xml:space="preserve">regulations – and remarking to the stallholder that the caviar was farmed caviar produced in Spain. She explained </w:t>
      </w:r>
      <w:r>
        <w:rPr>
          <w:rFonts w:cs="Times New Roman"/>
          <w:sz w:val="22"/>
        </w:rPr>
        <w:t>her surprise when the market stallholder vehemently defended that th</w:t>
      </w:r>
      <w:r w:rsidR="00492E7B">
        <w:rPr>
          <w:rFonts w:cs="Times New Roman"/>
          <w:sz w:val="22"/>
        </w:rPr>
        <w:t>e caviar was Russian and wild. “</w:t>
      </w:r>
      <w:r w:rsidRPr="009730F5">
        <w:rPr>
          <w:rFonts w:cs="Times New Roman"/>
          <w:sz w:val="22"/>
        </w:rPr>
        <w:t>Again, I say [to him], ‘it can’t be from the wild in Russia because it’s not allowed’</w:t>
      </w:r>
      <w:r w:rsidR="00492E7B">
        <w:rPr>
          <w:rFonts w:cs="Times New Roman"/>
          <w:sz w:val="22"/>
        </w:rPr>
        <w:t>”</w:t>
      </w:r>
      <w:r w:rsidRPr="009730F5">
        <w:rPr>
          <w:rFonts w:cs="Times New Roman"/>
          <w:sz w:val="22"/>
        </w:rPr>
        <w:t xml:space="preserve">, and they go, </w:t>
      </w:r>
      <w:r w:rsidR="00492E7B">
        <w:rPr>
          <w:rFonts w:cs="Times New Roman"/>
          <w:sz w:val="22"/>
        </w:rPr>
        <w:t>“</w:t>
      </w:r>
      <w:r w:rsidRPr="009730F5">
        <w:rPr>
          <w:rFonts w:cs="Times New Roman"/>
          <w:sz w:val="22"/>
        </w:rPr>
        <w:t>‘No! This is wild and Russian</w:t>
      </w:r>
      <w:r w:rsidR="00492E7B">
        <w:rPr>
          <w:rFonts w:cs="Times New Roman"/>
          <w:sz w:val="22"/>
        </w:rPr>
        <w:t>!</w:t>
      </w:r>
      <w:r w:rsidRPr="009730F5">
        <w:rPr>
          <w:rFonts w:cs="Times New Roman"/>
          <w:sz w:val="22"/>
        </w:rPr>
        <w:t>’</w:t>
      </w:r>
      <w:r w:rsidR="00492E7B">
        <w:rPr>
          <w:rFonts w:cs="Times New Roman"/>
          <w:sz w:val="22"/>
        </w:rPr>
        <w:t>”</w:t>
      </w:r>
      <w:r w:rsidRPr="005B292F">
        <w:rPr>
          <w:rStyle w:val="FootnoteReference"/>
        </w:rPr>
        <w:footnoteReference w:id="149"/>
      </w:r>
      <w:r w:rsidRPr="009730F5">
        <w:rPr>
          <w:rFonts w:cs="Times New Roman"/>
          <w:sz w:val="22"/>
        </w:rPr>
        <w:t xml:space="preserve">. In contrast to the previous examples of blackwashing of legal caviar, this seems to be an opportunistic, discursive method that preys on the assumed naivety of </w:t>
      </w:r>
      <w:r>
        <w:rPr>
          <w:rFonts w:cs="Times New Roman"/>
          <w:sz w:val="22"/>
        </w:rPr>
        <w:t>customers</w:t>
      </w:r>
      <w:r w:rsidRPr="009730F5">
        <w:rPr>
          <w:rFonts w:cs="Times New Roman"/>
          <w:sz w:val="22"/>
        </w:rPr>
        <w:t xml:space="preserve"> who are unlikely to understand </w:t>
      </w:r>
      <w:r w:rsidR="00F32306">
        <w:rPr>
          <w:rFonts w:cs="Times New Roman"/>
          <w:sz w:val="22"/>
        </w:rPr>
        <w:t>the intricacies of the CITES</w:t>
      </w:r>
      <w:r w:rsidRPr="009730F5">
        <w:rPr>
          <w:rFonts w:cs="Times New Roman"/>
          <w:sz w:val="22"/>
        </w:rPr>
        <w:t xml:space="preserve"> caviar labelling system. Despite being </w:t>
      </w:r>
      <w:r w:rsidR="00F32306">
        <w:rPr>
          <w:rFonts w:cs="Times New Roman"/>
          <w:sz w:val="22"/>
        </w:rPr>
        <w:t xml:space="preserve">an </w:t>
      </w:r>
      <w:r w:rsidRPr="009730F5">
        <w:rPr>
          <w:rFonts w:cs="Times New Roman"/>
          <w:sz w:val="22"/>
        </w:rPr>
        <w:t>unsophisticated</w:t>
      </w:r>
      <w:r w:rsidR="00F32306">
        <w:rPr>
          <w:rFonts w:cs="Times New Roman"/>
          <w:sz w:val="22"/>
        </w:rPr>
        <w:t xml:space="preserve"> method</w:t>
      </w:r>
      <w:r w:rsidRPr="009730F5">
        <w:rPr>
          <w:rFonts w:cs="Times New Roman"/>
          <w:sz w:val="22"/>
        </w:rPr>
        <w:t xml:space="preserve">, </w:t>
      </w:r>
      <w:r w:rsidR="00F32306">
        <w:rPr>
          <w:rFonts w:cs="Times New Roman"/>
          <w:sz w:val="22"/>
        </w:rPr>
        <w:t xml:space="preserve">this example reinforces the fact that “the provenance of caviar from wild sturgeons – and from national territory – seems to still be a valuable sales argument” </w:t>
      </w:r>
      <w:r w:rsidR="00F32306">
        <w:rPr>
          <w:rFonts w:cs="Times New Roman"/>
          <w:sz w:val="22"/>
        </w:rPr>
        <w:fldChar w:fldCharType="begin" w:fldLock="1"/>
      </w:r>
      <w:r w:rsidR="008058C5">
        <w:rPr>
          <w:rFonts w:cs="Times New Roman"/>
          <w:sz w:val="22"/>
        </w:rPr>
        <w:instrText>ADDIN CSL_CITATION {"citationItems":[{"id":"ITEM-1","itemData":{"author":[{"dropping-particle":"","family":"Jahrl","given":"J.","non-dropping-particle":"","parse-names":false,"suffix":""}],"id":"ITEM-1","issued":{"date-parts":[["2013"]]},"page":"54","title":"Illegal Caviar Trade in Bulgaria and Romania: Results of a market survey on trade in caviar from sturgeons (Acipenseridae).","type":"article-journal"},"uris":["http://www.mendeley.com/documents/?uuid=1261adf1-05f4-44f1-acf9-e025b430e371"]}],"mendeley":{"formattedCitation":"(Jahrl, 2013)","manualFormatting":"(Jahrl, 2013: 41)","plainTextFormattedCitation":"(Jahrl, 2013)","previouslyFormattedCitation":"(Jahrl, 2013)"},"properties":{"noteIndex":0},"schema":"https://github.com/citation-style-language/schema/raw/master/csl-citation.json"}</w:instrText>
      </w:r>
      <w:r w:rsidR="00F32306">
        <w:rPr>
          <w:rFonts w:cs="Times New Roman"/>
          <w:sz w:val="22"/>
        </w:rPr>
        <w:fldChar w:fldCharType="separate"/>
      </w:r>
      <w:r w:rsidR="00F32306" w:rsidRPr="00F32306">
        <w:rPr>
          <w:rFonts w:cs="Times New Roman"/>
          <w:noProof/>
          <w:sz w:val="22"/>
        </w:rPr>
        <w:t>(Jahrl, 2013</w:t>
      </w:r>
      <w:r w:rsidR="00F32306">
        <w:rPr>
          <w:rFonts w:cs="Times New Roman"/>
          <w:noProof/>
          <w:sz w:val="22"/>
        </w:rPr>
        <w:t>: 41</w:t>
      </w:r>
      <w:r w:rsidR="00F32306" w:rsidRPr="00F32306">
        <w:rPr>
          <w:rFonts w:cs="Times New Roman"/>
          <w:noProof/>
          <w:sz w:val="22"/>
        </w:rPr>
        <w:t>)</w:t>
      </w:r>
      <w:r w:rsidR="00F32306">
        <w:rPr>
          <w:rFonts w:cs="Times New Roman"/>
          <w:sz w:val="22"/>
        </w:rPr>
        <w:fldChar w:fldCharType="end"/>
      </w:r>
      <w:r w:rsidR="00F32306">
        <w:rPr>
          <w:rFonts w:cs="Times New Roman"/>
          <w:sz w:val="22"/>
        </w:rPr>
        <w:t>, which drives discursive blackwashing of caviar product.</w:t>
      </w:r>
    </w:p>
    <w:p w14:paraId="697B0DB3" w14:textId="1F22A7C3" w:rsidR="00B97063" w:rsidRPr="009730F5" w:rsidRDefault="00B97063" w:rsidP="00B97063">
      <w:pPr>
        <w:rPr>
          <w:rFonts w:cs="Times New Roman"/>
          <w:sz w:val="22"/>
        </w:rPr>
      </w:pPr>
      <w:r w:rsidRPr="009730F5">
        <w:rPr>
          <w:rFonts w:cs="Times New Roman"/>
          <w:sz w:val="22"/>
        </w:rPr>
        <w:tab/>
        <w:t xml:space="preserve">The various mechanisms by which blackwashing of caviar takes place range from organised to opportunistic, but all make use of the fact that the physical properties of caviar can shift and mutate as required. These examples illustrate once again that the material indecipherability of caviar is mobilised by actors to produce new forms of illicit trade that are enabled by the loopholes that exist when one type of trade is allowed, and another is criminalized. These particular forms of illicit trade </w:t>
      </w:r>
      <w:r w:rsidRPr="009730F5">
        <w:rPr>
          <w:rFonts w:cs="Times New Roman"/>
          <w:sz w:val="22"/>
        </w:rPr>
        <w:lastRenderedPageBreak/>
        <w:t xml:space="preserve">codify the caviar market as a ‘grey’ one, as they variably demonstrate how </w:t>
      </w:r>
      <w:r w:rsidR="00485C28">
        <w:rPr>
          <w:rFonts w:cs="Times New Roman"/>
          <w:sz w:val="22"/>
        </w:rPr>
        <w:t xml:space="preserve">EU </w:t>
      </w:r>
      <w:r w:rsidRPr="009730F5">
        <w:rPr>
          <w:rFonts w:cs="Times New Roman"/>
          <w:sz w:val="22"/>
        </w:rPr>
        <w:t>regulations have prompted the legal trade and illegal trade to mix and become inseparable; echoing Yvar’s statement that “what we see as distinct worlds of legal and illegal, bona-fide and not bona-fide, is not the case”, but that both the whitewashing and blackwashing of caviar illustrate that this is a “very dodgy grey area”</w:t>
      </w:r>
      <w:r w:rsidRPr="005B292F">
        <w:rPr>
          <w:rStyle w:val="FootnoteReference"/>
        </w:rPr>
        <w:footnoteReference w:id="150"/>
      </w:r>
      <w:r w:rsidR="00485C28">
        <w:rPr>
          <w:rFonts w:cs="Times New Roman"/>
          <w:sz w:val="22"/>
        </w:rPr>
        <w:t>; and in turn, I argue, a grey market</w:t>
      </w:r>
      <w:r w:rsidRPr="009730F5">
        <w:rPr>
          <w:rFonts w:cs="Times New Roman"/>
          <w:sz w:val="22"/>
        </w:rPr>
        <w:t xml:space="preserve">. </w:t>
      </w:r>
    </w:p>
    <w:p w14:paraId="30C97501" w14:textId="77777777" w:rsidR="00B97063" w:rsidRPr="00F058EA" w:rsidRDefault="00B97063" w:rsidP="00B97063">
      <w:pPr>
        <w:rPr>
          <w:rFonts w:cs="Times New Roman"/>
          <w:b/>
          <w:sz w:val="22"/>
        </w:rPr>
      </w:pPr>
    </w:p>
    <w:p w14:paraId="3B9A6D32" w14:textId="77777777" w:rsidR="00B97063" w:rsidRPr="00F058EA" w:rsidRDefault="00B97063" w:rsidP="00216489">
      <w:pPr>
        <w:pStyle w:val="Heading2"/>
        <w:rPr>
          <w:rFonts w:ascii="-webkit-standard" w:hAnsi="-webkit-standard"/>
        </w:rPr>
      </w:pPr>
      <w:bookmarkStart w:id="72" w:name="_Toc453224230"/>
      <w:r>
        <w:t>5</w:t>
      </w:r>
      <w:r w:rsidRPr="00F058EA">
        <w:t>.3 Theorising ‘greyness’ from a more-than-human perspective</w:t>
      </w:r>
      <w:bookmarkEnd w:id="72"/>
      <w:r w:rsidRPr="00F058EA">
        <w:t xml:space="preserve"> </w:t>
      </w:r>
    </w:p>
    <w:p w14:paraId="2E5BFC18" w14:textId="1DA9AFF1" w:rsidR="00B97063" w:rsidRPr="009730F5" w:rsidRDefault="00B97063" w:rsidP="00B97063">
      <w:pPr>
        <w:rPr>
          <w:rFonts w:cs="Times New Roman"/>
          <w:color w:val="000000"/>
          <w:sz w:val="22"/>
        </w:rPr>
      </w:pPr>
      <w:r w:rsidRPr="009730F5">
        <w:rPr>
          <w:rFonts w:cs="Times New Roman"/>
          <w:color w:val="000000"/>
          <w:sz w:val="22"/>
        </w:rPr>
        <w:t xml:space="preserve">MacKenzie and Yates’ (2017) framework is useful and in many ways </w:t>
      </w:r>
      <w:r w:rsidR="004044BC">
        <w:rPr>
          <w:rFonts w:cs="Times New Roman"/>
          <w:color w:val="000000"/>
          <w:sz w:val="22"/>
        </w:rPr>
        <w:t xml:space="preserve">directly </w:t>
      </w:r>
      <w:r w:rsidRPr="009730F5">
        <w:rPr>
          <w:rFonts w:cs="Times New Roman"/>
          <w:color w:val="000000"/>
          <w:sz w:val="22"/>
        </w:rPr>
        <w:t>applicabl</w:t>
      </w:r>
      <w:r>
        <w:rPr>
          <w:rFonts w:cs="Times New Roman"/>
          <w:color w:val="000000"/>
          <w:sz w:val="22"/>
        </w:rPr>
        <w:t xml:space="preserve">e </w:t>
      </w:r>
      <w:r w:rsidR="004044BC">
        <w:rPr>
          <w:rFonts w:cs="Times New Roman"/>
          <w:color w:val="000000"/>
          <w:sz w:val="22"/>
        </w:rPr>
        <w:t>for</w:t>
      </w:r>
      <w:r w:rsidRPr="009730F5">
        <w:rPr>
          <w:rFonts w:cs="Times New Roman"/>
          <w:color w:val="000000"/>
          <w:sz w:val="22"/>
        </w:rPr>
        <w:t xml:space="preserve"> identifying ‘greyness’ in the </w:t>
      </w:r>
      <w:r w:rsidR="004044BC">
        <w:rPr>
          <w:rFonts w:cs="Times New Roman"/>
          <w:color w:val="000000"/>
          <w:sz w:val="22"/>
        </w:rPr>
        <w:t>EU</w:t>
      </w:r>
      <w:r w:rsidRPr="009730F5">
        <w:rPr>
          <w:rFonts w:cs="Times New Roman"/>
          <w:color w:val="000000"/>
          <w:sz w:val="22"/>
        </w:rPr>
        <w:t xml:space="preserve"> caviar trade. </w:t>
      </w:r>
      <w:r>
        <w:rPr>
          <w:rFonts w:cs="Times New Roman"/>
          <w:color w:val="000000"/>
          <w:sz w:val="22"/>
        </w:rPr>
        <w:t>W</w:t>
      </w:r>
      <w:r w:rsidRPr="009730F5">
        <w:rPr>
          <w:rFonts w:cs="Times New Roman"/>
          <w:color w:val="000000"/>
          <w:sz w:val="22"/>
        </w:rPr>
        <w:t>hilst MacK</w:t>
      </w:r>
      <w:r w:rsidR="00423E61">
        <w:rPr>
          <w:rFonts w:cs="Times New Roman"/>
          <w:color w:val="000000"/>
          <w:sz w:val="22"/>
        </w:rPr>
        <w:t>enzie and Yates seek to give a “</w:t>
      </w:r>
      <w:r w:rsidRPr="009730F5">
        <w:rPr>
          <w:rFonts w:cs="Times New Roman"/>
          <w:color w:val="000000"/>
          <w:sz w:val="22"/>
        </w:rPr>
        <w:t>definitive breakdown of the meanings an</w:t>
      </w:r>
      <w:r w:rsidR="00423E61">
        <w:rPr>
          <w:rFonts w:cs="Times New Roman"/>
          <w:color w:val="000000"/>
          <w:sz w:val="22"/>
        </w:rPr>
        <w:t>d implications of the ideas of ‘greyness’</w:t>
      </w:r>
      <w:r w:rsidRPr="009730F5">
        <w:rPr>
          <w:rFonts w:cs="Times New Roman"/>
          <w:color w:val="000000"/>
          <w:sz w:val="22"/>
        </w:rPr>
        <w:t xml:space="preserve"> as it applies to </w:t>
      </w:r>
      <w:r w:rsidR="00423E61">
        <w:rPr>
          <w:rFonts w:cs="Times New Roman"/>
          <w:color w:val="000000"/>
          <w:sz w:val="22"/>
        </w:rPr>
        <w:t>this market”</w:t>
      </w:r>
      <w:r w:rsidRPr="009730F5">
        <w:rPr>
          <w:rFonts w:cs="Times New Roman"/>
          <w:color w:val="000000"/>
          <w:sz w:val="22"/>
        </w:rPr>
        <w:t xml:space="preserve"> (2017: 70)</w:t>
      </w:r>
      <w:r>
        <w:rPr>
          <w:rFonts w:cs="Times New Roman"/>
          <w:color w:val="000000"/>
          <w:sz w:val="22"/>
        </w:rPr>
        <w:t xml:space="preserve"> in antiquities;</w:t>
      </w:r>
      <w:r w:rsidRPr="009730F5">
        <w:rPr>
          <w:rFonts w:cs="Times New Roman"/>
          <w:color w:val="000000"/>
          <w:sz w:val="22"/>
        </w:rPr>
        <w:t xml:space="preserve"> I suggest that their framework does not completely capture the full </w:t>
      </w:r>
      <w:r>
        <w:rPr>
          <w:rFonts w:cs="Times New Roman"/>
          <w:color w:val="000000"/>
          <w:sz w:val="22"/>
        </w:rPr>
        <w:t>complexity of greyness</w:t>
      </w:r>
      <w:r w:rsidR="004044BC">
        <w:rPr>
          <w:rFonts w:cs="Times New Roman"/>
          <w:color w:val="000000"/>
          <w:sz w:val="22"/>
        </w:rPr>
        <w:t xml:space="preserve"> that </w:t>
      </w:r>
      <w:r w:rsidRPr="009730F5">
        <w:rPr>
          <w:rFonts w:cs="Times New Roman"/>
          <w:color w:val="000000"/>
          <w:sz w:val="22"/>
        </w:rPr>
        <w:t>characte</w:t>
      </w:r>
      <w:r w:rsidR="004044BC">
        <w:rPr>
          <w:rFonts w:cs="Times New Roman"/>
          <w:color w:val="000000"/>
          <w:sz w:val="22"/>
        </w:rPr>
        <w:t>rises the EU i</w:t>
      </w:r>
      <w:r>
        <w:rPr>
          <w:rFonts w:cs="Times New Roman"/>
          <w:color w:val="000000"/>
          <w:sz w:val="22"/>
        </w:rPr>
        <w:t>llicit caviar market.</w:t>
      </w:r>
    </w:p>
    <w:p w14:paraId="3A503BA3" w14:textId="11CF6C92" w:rsidR="005E4177" w:rsidRDefault="00B97063" w:rsidP="005E4177">
      <w:pPr>
        <w:ind w:firstLine="720"/>
        <w:rPr>
          <w:rFonts w:cs="Times New Roman"/>
          <w:color w:val="000000"/>
          <w:sz w:val="22"/>
        </w:rPr>
      </w:pPr>
      <w:r w:rsidRPr="009730F5">
        <w:rPr>
          <w:rFonts w:cs="Times New Roman"/>
          <w:color w:val="000000"/>
          <w:sz w:val="22"/>
        </w:rPr>
        <w:t xml:space="preserve">Absent from MacKenzie and Yates’ distinction of ‘greyness’ is a consideration of the </w:t>
      </w:r>
      <w:r w:rsidR="008058C5">
        <w:rPr>
          <w:rFonts w:cs="Times New Roman"/>
          <w:color w:val="000000"/>
          <w:sz w:val="22"/>
        </w:rPr>
        <w:t xml:space="preserve">vital material properties </w:t>
      </w:r>
      <w:r w:rsidR="008058C5">
        <w:rPr>
          <w:rFonts w:cs="Times New Roman"/>
          <w:color w:val="000000"/>
          <w:sz w:val="22"/>
        </w:rPr>
        <w:fldChar w:fldCharType="begin" w:fldLock="1"/>
      </w:r>
      <w:r w:rsidR="009C44EB">
        <w:rPr>
          <w:rFonts w:cs="Times New Roman"/>
          <w:color w:val="000000"/>
          <w:sz w:val="22"/>
        </w:rPr>
        <w:instrText>ADDIN CSL_CITATION {"citationItems":[{"id":"ITEM-1","itemData":{"ISBN":"9780822346197","abstract":"\"In Vibrant Matter the political theorist Jane Bennett, renowned for her work on nature, ethics, and affect, shifts her focus from the human experience of things to things themselves. Bennett argues that political theory needs to do a better job of recognizing the active participation of nonhuman forces in events. Toward that end, she theorizes a \"vital materiality\" that runs through and across bodies, both human and nonhuman. Bennett explores how political analyses of public events might change were we to acknowledge that agency always emerges as the effect of ad hoc configurations of human and nonhuman forces. She suggests that recognizing that agency is distributed this way, and is not solely the province of humans, might spur the cultivation of a more responsible, ecologically sound politics: a politics less devoted to blaming and condemning individuals than to discerning the web of forces affecting situations and events. Bennett examines the political and theoretical implications of vital materialism through extended discussions of commonplace things and physical phenomena including stem cells, fish oils, electricity, metal, and trash. She reflects on the vital power of material formations such as landfills, which generate lively streams of chemicals, and omega-3 fatty acids, which can transform brain chemistry and mood. Along the way, she engages with the concepts and claims of Spinoza, Nietzsche, Thoreau, Darwin, Adorno, and Deleuze, disclosing a long history of thinking about vibrant matter in Western philosophy, including attempts by Kant, Bergson, and the embryologist Hans Driesch to name the \"vital force\" inherent in material forms. Bennett concludes by sketching the contours of a \"green materialist\" ecophilosophy\"--Publisher's description. The force of things -- The agency of assemblages -- Edible matter -- A life of metal -- Neither vitalism nor mechanism -- Stem cells and the culture of life -- Political ecologies -- Vitality and self-interest.","author":[{"dropping-particle":"","family":"Bennett","given":"Jane","non-dropping-particle":"","parse-names":false,"suffix":""}],"id":"ITEM-1","issued":{"date-parts":[["2010"]]},"number-of-pages":"176","publisher":"Duke University Press","title":"Vibrant matter : a political ecology of things","type":"book"},"uris":["http://www.mendeley.com/documents/?uuid=35ecb90a-8a04-3a40-8502-6782630bb72f"]},{"id":"ITEM-2","itemData":{"DOI":"10.1068/a46138","ISSN":"0308-518X","abstract":"Political ecology has had a long connection with materials, going back to some of its canonical concerns. Yet materials are rendered inert with no capacity to mobilize political action. Further, the influence of matter in wider ecologies of human–animal cohabitation is poorly acknowledged. This paper examines the role of materials in mediating people's relationships with elephants in rural northeast India. Drawing upon ethnographic research and ethological studies of elephants, the paper shows that human–elephant conflict is not simply a linear outcome of interactions between elephants and people. Materials, in this case alcohol, play a vital role. Alcohol binds people and elephants in unforeseen ways. The sociopolitical outcomes alcohol generates have deep impacts on the livelihoods of the rural poor and the well-being of elephants. This examination of social and political life through concerted interactions between humans, animals, and materials ecologizes politics, making it more attuned to the more-th...","author":[{"dropping-particle":"","family":"Barua","given":"Maan","non-dropping-particle":"","parse-names":false,"suffix":""}],"container-title":"Environment and Planning A","id":"ITEM-2","issue":"6","issued":{"date-parts":[["2014","6","1"]]},"page":"1462-1478","publisher":"SAGE PublicationsSage UK: London, England","title":"Volatile Ecologies: Towards a Material Politics of Human—Animal Relations","type":"article-journal","volume":"46"},"uris":["http://www.mendeley.com/documents/?uuid=41624c7b-45fc-3cee-a577-8fddf0d65969"]}],"mendeley":{"formattedCitation":"(Bennett, 2010; Barua, 2014)","plainTextFormattedCitation":"(Bennett, 2010; Barua, 2014)","previouslyFormattedCitation":"(Bennett, 2010; Barua, 2014)"},"properties":{"noteIndex":0},"schema":"https://github.com/citation-style-language/schema/raw/master/csl-citation.json"}</w:instrText>
      </w:r>
      <w:r w:rsidR="008058C5">
        <w:rPr>
          <w:rFonts w:cs="Times New Roman"/>
          <w:color w:val="000000"/>
          <w:sz w:val="22"/>
        </w:rPr>
        <w:fldChar w:fldCharType="separate"/>
      </w:r>
      <w:r w:rsidR="008058C5" w:rsidRPr="008058C5">
        <w:rPr>
          <w:rFonts w:cs="Times New Roman"/>
          <w:noProof/>
          <w:color w:val="000000"/>
          <w:sz w:val="22"/>
        </w:rPr>
        <w:t>(Bennett, 2010; Barua, 2014)</w:t>
      </w:r>
      <w:r w:rsidR="008058C5">
        <w:rPr>
          <w:rFonts w:cs="Times New Roman"/>
          <w:color w:val="000000"/>
          <w:sz w:val="22"/>
        </w:rPr>
        <w:fldChar w:fldCharType="end"/>
      </w:r>
      <w:r w:rsidR="008058C5">
        <w:rPr>
          <w:rFonts w:cs="Times New Roman"/>
          <w:color w:val="000000"/>
          <w:sz w:val="22"/>
        </w:rPr>
        <w:t xml:space="preserve"> of the objects being traded. </w:t>
      </w:r>
      <w:r w:rsidR="00423E61">
        <w:rPr>
          <w:rFonts w:cs="Times New Roman"/>
          <w:color w:val="000000"/>
          <w:sz w:val="22"/>
        </w:rPr>
        <w:t>The authors do recognise that “</w:t>
      </w:r>
      <w:r w:rsidRPr="009730F5">
        <w:rPr>
          <w:rFonts w:cs="Times New Roman"/>
          <w:color w:val="000000"/>
          <w:sz w:val="22"/>
        </w:rPr>
        <w:t xml:space="preserve">antiquities are tangible objects but they often serve as a physical manifestation of intangible concepts </w:t>
      </w:r>
      <w:r w:rsidR="00423E61">
        <w:rPr>
          <w:rFonts w:cs="Times New Roman"/>
          <w:color w:val="000000"/>
          <w:sz w:val="22"/>
        </w:rPr>
        <w:t>that underlie the social fabric”</w:t>
      </w:r>
      <w:r w:rsidRPr="009730F5">
        <w:rPr>
          <w:rFonts w:cs="Times New Roman"/>
          <w:color w:val="000000"/>
          <w:sz w:val="22"/>
        </w:rPr>
        <w:t xml:space="preserve"> of the groups from wh</w:t>
      </w:r>
      <w:r>
        <w:rPr>
          <w:rFonts w:cs="Times New Roman"/>
          <w:color w:val="000000"/>
          <w:sz w:val="22"/>
        </w:rPr>
        <w:t xml:space="preserve">ich they are looted (2017: 74). </w:t>
      </w:r>
      <w:r w:rsidR="00531C86">
        <w:rPr>
          <w:rFonts w:cs="Times New Roman"/>
          <w:color w:val="000000"/>
          <w:sz w:val="22"/>
        </w:rPr>
        <w:t xml:space="preserve">Arguably caviar is also a physical manifestation of various intangible </w:t>
      </w:r>
      <w:r w:rsidR="00D011A7">
        <w:rPr>
          <w:rFonts w:cs="Times New Roman"/>
          <w:color w:val="000000"/>
          <w:sz w:val="22"/>
        </w:rPr>
        <w:t xml:space="preserve">socio-economic associations and perceptions that have been ascribed upon the product by human actors. Such perceptions drive some consumers to seek out wild caviar, and subsequently fuels </w:t>
      </w:r>
      <w:r w:rsidR="004044BC">
        <w:rPr>
          <w:rFonts w:cs="Times New Roman"/>
          <w:color w:val="000000"/>
          <w:sz w:val="22"/>
        </w:rPr>
        <w:t xml:space="preserve">the </w:t>
      </w:r>
      <w:r w:rsidR="00D011A7">
        <w:rPr>
          <w:rFonts w:cs="Times New Roman"/>
          <w:color w:val="000000"/>
          <w:sz w:val="22"/>
        </w:rPr>
        <w:t xml:space="preserve">mechanisms of illicit trade described above. </w:t>
      </w:r>
      <w:r w:rsidR="00531C86">
        <w:rPr>
          <w:rFonts w:cs="Times New Roman"/>
          <w:color w:val="000000"/>
          <w:sz w:val="22"/>
        </w:rPr>
        <w:t xml:space="preserve">However, in drawing upon the theoretical foundations of more-than-human geopolitical ecology, </w:t>
      </w:r>
      <w:r w:rsidR="00D011A7">
        <w:rPr>
          <w:rFonts w:cs="Times New Roman"/>
          <w:color w:val="000000"/>
          <w:sz w:val="22"/>
        </w:rPr>
        <w:t xml:space="preserve">I argue that it is imperative to move beyond </w:t>
      </w:r>
      <w:r w:rsidR="00D011A7" w:rsidRPr="009730F5">
        <w:rPr>
          <w:rFonts w:cs="Times New Roman"/>
          <w:color w:val="000000"/>
          <w:sz w:val="22"/>
        </w:rPr>
        <w:t>MacKenzie and Yates’</w:t>
      </w:r>
      <w:r w:rsidR="00D011A7">
        <w:rPr>
          <w:rFonts w:cs="Times New Roman"/>
          <w:color w:val="000000"/>
          <w:sz w:val="22"/>
        </w:rPr>
        <w:t xml:space="preserve"> (2017) cursory recognition of the affective characteristics of antiquities, or in this case caviar. These affective properties are an inherently human construction; and although important for understanding how grey markets in caviar</w:t>
      </w:r>
      <w:r w:rsidR="005E4177">
        <w:rPr>
          <w:rFonts w:cs="Times New Roman"/>
          <w:color w:val="000000"/>
          <w:sz w:val="22"/>
        </w:rPr>
        <w:t xml:space="preserve"> function</w:t>
      </w:r>
      <w:r w:rsidR="00D011A7">
        <w:rPr>
          <w:rFonts w:cs="Times New Roman"/>
          <w:color w:val="000000"/>
          <w:sz w:val="22"/>
        </w:rPr>
        <w:t xml:space="preserve">, I argue that </w:t>
      </w:r>
      <w:r w:rsidR="005E4177">
        <w:rPr>
          <w:rFonts w:cs="Times New Roman"/>
          <w:color w:val="000000"/>
          <w:sz w:val="22"/>
        </w:rPr>
        <w:t xml:space="preserve">the analytical purview must be expanded in order to capture the “active role of nonhuman materials” (Bennett, 2010: 2) in shaping the dynamics of ‘greyness’ that constitute the illicit grey market in caviar. </w:t>
      </w:r>
    </w:p>
    <w:p w14:paraId="3266BB7A" w14:textId="01C6AC61" w:rsidR="00B97063" w:rsidRPr="009C44EB" w:rsidRDefault="00363F05" w:rsidP="00E33637">
      <w:pPr>
        <w:ind w:firstLine="720"/>
        <w:rPr>
          <w:rFonts w:cs="Times New Roman"/>
          <w:color w:val="000000"/>
          <w:sz w:val="22"/>
        </w:rPr>
      </w:pPr>
      <w:r>
        <w:rPr>
          <w:rFonts w:cs="Times New Roman"/>
          <w:color w:val="000000"/>
          <w:sz w:val="22"/>
        </w:rPr>
        <w:t>Paying sustained attention to the</w:t>
      </w:r>
      <w:r w:rsidR="009C44EB">
        <w:rPr>
          <w:rFonts w:cs="Times New Roman"/>
          <w:color w:val="000000"/>
          <w:sz w:val="22"/>
        </w:rPr>
        <w:t xml:space="preserve"> “vital</w:t>
      </w:r>
      <w:r>
        <w:rPr>
          <w:rFonts w:cs="Times New Roman"/>
          <w:color w:val="000000"/>
          <w:sz w:val="22"/>
        </w:rPr>
        <w:t xml:space="preserve"> material properties</w:t>
      </w:r>
      <w:r w:rsidR="009C44EB">
        <w:rPr>
          <w:rFonts w:cs="Times New Roman"/>
          <w:color w:val="000000"/>
          <w:sz w:val="22"/>
        </w:rPr>
        <w:t xml:space="preserve">” </w:t>
      </w:r>
      <w:r w:rsidR="009C44EB">
        <w:rPr>
          <w:rFonts w:cs="Times New Roman"/>
          <w:color w:val="000000"/>
          <w:sz w:val="22"/>
        </w:rPr>
        <w:fldChar w:fldCharType="begin" w:fldLock="1"/>
      </w:r>
      <w:r w:rsidR="00850626">
        <w:rPr>
          <w:rFonts w:cs="Times New Roman"/>
          <w:color w:val="000000"/>
          <w:sz w:val="22"/>
        </w:rPr>
        <w:instrText>ADDIN CSL_CITATION {"citationItems":[{"id":"ITEM-1","itemData":{"DOI":"10.1080/14788810.2019.1666646","ISSN":"1478-8810","author":[{"dropping-particle":"","family":"Banoub","given":"Daniel","non-dropping-particle":"","parse-names":false,"suffix":""}],"container-title":"Atlantic Studies","id":"ITEM-1","issued":{"date-parts":[["2019"]]},"page":"1-17","title":"Black Monday, 1894: Saltfish, credit, and the ecology of politics in Newfoundland","type":"article-journal"},"uris":["http://www.mendeley.com/documents/?uuid=50e3ac86-1506-3352-8641-1ee4668ef9ad"]}],"mendeley":{"formattedCitation":"(Banoub, 2019)","plainTextFormattedCitation":"(Banoub, 2019)","previouslyFormattedCitation":"(Banoub, 2019)"},"properties":{"noteIndex":0},"schema":"https://github.com/citation-style-language/schema/raw/master/csl-citation.json"}</w:instrText>
      </w:r>
      <w:r w:rsidR="009C44EB">
        <w:rPr>
          <w:rFonts w:cs="Times New Roman"/>
          <w:color w:val="000000"/>
          <w:sz w:val="22"/>
        </w:rPr>
        <w:fldChar w:fldCharType="separate"/>
      </w:r>
      <w:r w:rsidR="009C44EB" w:rsidRPr="009C44EB">
        <w:rPr>
          <w:rFonts w:cs="Times New Roman"/>
          <w:noProof/>
          <w:color w:val="000000"/>
          <w:sz w:val="22"/>
        </w:rPr>
        <w:t>(Banoub, 2019)</w:t>
      </w:r>
      <w:r w:rsidR="009C44EB">
        <w:rPr>
          <w:rFonts w:cs="Times New Roman"/>
          <w:color w:val="000000"/>
          <w:sz w:val="22"/>
        </w:rPr>
        <w:fldChar w:fldCharType="end"/>
      </w:r>
      <w:r>
        <w:rPr>
          <w:rFonts w:cs="Times New Roman"/>
          <w:color w:val="000000"/>
          <w:sz w:val="22"/>
        </w:rPr>
        <w:t xml:space="preserve"> </w:t>
      </w:r>
      <w:r w:rsidR="009C44EB">
        <w:rPr>
          <w:rFonts w:cs="Times New Roman"/>
          <w:color w:val="000000"/>
          <w:sz w:val="22"/>
        </w:rPr>
        <w:t>of caviar is therefore essential in order to u</w:t>
      </w:r>
      <w:r w:rsidR="009C69AB">
        <w:rPr>
          <w:rFonts w:cs="Times New Roman"/>
          <w:color w:val="000000"/>
          <w:sz w:val="22"/>
        </w:rPr>
        <w:t xml:space="preserve">nderstand: a) </w:t>
      </w:r>
      <w:r w:rsidR="009C44EB">
        <w:rPr>
          <w:rFonts w:cs="Times New Roman"/>
          <w:color w:val="000000"/>
          <w:sz w:val="22"/>
        </w:rPr>
        <w:t>the manifestations of greyness in the EU caviar market</w:t>
      </w:r>
      <w:r w:rsidR="009C69AB">
        <w:rPr>
          <w:rFonts w:cs="Times New Roman"/>
          <w:color w:val="000000"/>
          <w:sz w:val="22"/>
        </w:rPr>
        <w:t>; and b) the geopolitical-ecological implications of the grey caviar market</w:t>
      </w:r>
      <w:r w:rsidR="009C44EB">
        <w:rPr>
          <w:rFonts w:cs="Times New Roman"/>
          <w:color w:val="000000"/>
          <w:sz w:val="22"/>
        </w:rPr>
        <w:t xml:space="preserve">. </w:t>
      </w:r>
      <w:r w:rsidR="00E33637">
        <w:rPr>
          <w:rFonts w:cs="Times New Roman"/>
          <w:color w:val="000000"/>
          <w:sz w:val="22"/>
        </w:rPr>
        <w:t>This builds directly on the work of scholars such as Banoub</w:t>
      </w:r>
      <w:r w:rsidR="004044BC">
        <w:rPr>
          <w:rFonts w:cs="Times New Roman"/>
          <w:color w:val="000000"/>
          <w:sz w:val="22"/>
        </w:rPr>
        <w:t>,</w:t>
      </w:r>
      <w:r w:rsidR="00E33637">
        <w:rPr>
          <w:rFonts w:cs="Times New Roman"/>
          <w:color w:val="000000"/>
          <w:sz w:val="22"/>
        </w:rPr>
        <w:t xml:space="preserve"> who argues that nonhumans are “co-const</w:t>
      </w:r>
      <w:r w:rsidR="004044BC">
        <w:rPr>
          <w:rFonts w:cs="Times New Roman"/>
          <w:color w:val="000000"/>
          <w:sz w:val="22"/>
        </w:rPr>
        <w:t>itutive of political processes” (2019: 4)</w:t>
      </w:r>
      <w:r w:rsidR="00E33637">
        <w:rPr>
          <w:rFonts w:cs="Times New Roman"/>
          <w:color w:val="000000"/>
          <w:sz w:val="22"/>
        </w:rPr>
        <w:t xml:space="preserve"> and that through their vital properties they exceed and reconfigure political processes. This is evident in the EU caviar market, whereby the vital material properties of caviar have exceeded geopolitical</w:t>
      </w:r>
      <w:r w:rsidR="004044BC">
        <w:rPr>
          <w:rFonts w:cs="Times New Roman"/>
          <w:color w:val="000000"/>
          <w:sz w:val="22"/>
        </w:rPr>
        <w:t>-environmental</w:t>
      </w:r>
      <w:r w:rsidR="00E33637">
        <w:rPr>
          <w:rFonts w:cs="Times New Roman"/>
          <w:color w:val="000000"/>
          <w:sz w:val="22"/>
        </w:rPr>
        <w:t xml:space="preserve"> interventions designed to control illicit caviar trade. </w:t>
      </w:r>
      <w:r w:rsidR="00B97063" w:rsidRPr="009730F5">
        <w:rPr>
          <w:rFonts w:cs="Times New Roman"/>
          <w:color w:val="000000"/>
          <w:sz w:val="22"/>
        </w:rPr>
        <w:t xml:space="preserve">As </w:t>
      </w:r>
      <w:r w:rsidR="00B97063" w:rsidRPr="009730F5">
        <w:rPr>
          <w:rFonts w:cs="Times New Roman"/>
          <w:color w:val="000000"/>
          <w:sz w:val="22"/>
        </w:rPr>
        <w:lastRenderedPageBreak/>
        <w:t>such, I propose</w:t>
      </w:r>
      <w:r w:rsidR="00B97063">
        <w:rPr>
          <w:rFonts w:cs="Times New Roman"/>
          <w:color w:val="000000"/>
          <w:sz w:val="22"/>
        </w:rPr>
        <w:t xml:space="preserve"> a more expansive framework of greyness</w:t>
      </w:r>
      <w:r w:rsidR="00B97063" w:rsidRPr="009730F5">
        <w:rPr>
          <w:rFonts w:cs="Times New Roman"/>
          <w:color w:val="000000"/>
          <w:sz w:val="22"/>
        </w:rPr>
        <w:t xml:space="preserve"> tha</w:t>
      </w:r>
      <w:r w:rsidR="00B97063">
        <w:rPr>
          <w:rFonts w:cs="Times New Roman"/>
          <w:color w:val="000000"/>
          <w:sz w:val="22"/>
        </w:rPr>
        <w:t xml:space="preserve">t </w:t>
      </w:r>
      <w:r w:rsidR="009C69AB">
        <w:rPr>
          <w:rFonts w:cs="Times New Roman"/>
          <w:color w:val="000000"/>
          <w:sz w:val="22"/>
        </w:rPr>
        <w:t xml:space="preserve">explicitly </w:t>
      </w:r>
      <w:r w:rsidR="00B97063">
        <w:rPr>
          <w:rFonts w:cs="Times New Roman"/>
          <w:color w:val="000000"/>
          <w:sz w:val="22"/>
        </w:rPr>
        <w:t>conceptualises the role of the</w:t>
      </w:r>
      <w:r w:rsidR="00B97063" w:rsidRPr="009730F5">
        <w:rPr>
          <w:rFonts w:cs="Times New Roman"/>
          <w:color w:val="000000"/>
          <w:sz w:val="22"/>
        </w:rPr>
        <w:t xml:space="preserve"> non-human objects/materials/beings –both living and nonliving- that are being traded, in </w:t>
      </w:r>
      <w:r w:rsidR="00E33637">
        <w:rPr>
          <w:rFonts w:cs="Times New Roman"/>
          <w:color w:val="000000"/>
          <w:sz w:val="22"/>
        </w:rPr>
        <w:t>co-</w:t>
      </w:r>
      <w:r w:rsidR="00B97063" w:rsidRPr="009730F5">
        <w:rPr>
          <w:rFonts w:cs="Times New Roman"/>
          <w:color w:val="000000"/>
          <w:sz w:val="22"/>
        </w:rPr>
        <w:t>constituting the</w:t>
      </w:r>
      <w:r w:rsidR="00B97063">
        <w:rPr>
          <w:rFonts w:cs="Times New Roman"/>
          <w:color w:val="000000"/>
          <w:sz w:val="22"/>
        </w:rPr>
        <w:t xml:space="preserve"> characteristics of grey markets</w:t>
      </w:r>
      <w:r w:rsidR="00E33637">
        <w:rPr>
          <w:rFonts w:cs="Times New Roman"/>
          <w:color w:val="000000"/>
          <w:sz w:val="22"/>
        </w:rPr>
        <w:t xml:space="preserve"> alongside human actors. </w:t>
      </w:r>
      <w:r w:rsidR="00B97063" w:rsidRPr="009730F5">
        <w:rPr>
          <w:rFonts w:cs="Times New Roman"/>
          <w:color w:val="000000"/>
          <w:sz w:val="22"/>
        </w:rPr>
        <w:t>To this extent, I</w:t>
      </w:r>
      <w:r w:rsidR="00B97063">
        <w:rPr>
          <w:rFonts w:cs="Times New Roman"/>
          <w:color w:val="000000"/>
          <w:sz w:val="22"/>
        </w:rPr>
        <w:t xml:space="preserve"> argue that caviar itself is a grey actor</w:t>
      </w:r>
      <w:r w:rsidR="00B97063" w:rsidRPr="009730F5">
        <w:rPr>
          <w:rFonts w:cs="Times New Roman"/>
          <w:color w:val="000000"/>
          <w:sz w:val="22"/>
        </w:rPr>
        <w:t xml:space="preserve"> and part of the assemblage of forces th</w:t>
      </w:r>
      <w:r w:rsidR="00B97063">
        <w:rPr>
          <w:rFonts w:cs="Times New Roman"/>
          <w:color w:val="000000"/>
          <w:sz w:val="22"/>
        </w:rPr>
        <w:t xml:space="preserve">at coalesce to form the </w:t>
      </w:r>
      <w:r w:rsidR="00E33637">
        <w:rPr>
          <w:rFonts w:cs="Times New Roman"/>
          <w:color w:val="000000"/>
          <w:sz w:val="22"/>
        </w:rPr>
        <w:t xml:space="preserve">EU caviar grey market. </w:t>
      </w:r>
      <w:r w:rsidR="00B97063">
        <w:rPr>
          <w:rFonts w:cs="Times New Roman"/>
          <w:color w:val="000000"/>
          <w:sz w:val="22"/>
        </w:rPr>
        <w:t>I therefore advocate</w:t>
      </w:r>
      <w:r w:rsidR="00B97063" w:rsidRPr="009730F5">
        <w:rPr>
          <w:rFonts w:cs="Times New Roman"/>
          <w:color w:val="000000"/>
          <w:sz w:val="22"/>
        </w:rPr>
        <w:t xml:space="preserve"> for a theorisati</w:t>
      </w:r>
      <w:r w:rsidR="00B97063">
        <w:rPr>
          <w:rFonts w:cs="Times New Roman"/>
          <w:color w:val="000000"/>
          <w:sz w:val="22"/>
        </w:rPr>
        <w:t>on of grey markets</w:t>
      </w:r>
      <w:r w:rsidR="00B97063" w:rsidRPr="009730F5">
        <w:rPr>
          <w:rFonts w:cs="Times New Roman"/>
          <w:color w:val="000000"/>
          <w:sz w:val="22"/>
        </w:rPr>
        <w:t xml:space="preserve"> from a more-than-human</w:t>
      </w:r>
      <w:r w:rsidR="00E33637">
        <w:rPr>
          <w:rFonts w:cs="Times New Roman"/>
          <w:color w:val="000000"/>
          <w:sz w:val="22"/>
        </w:rPr>
        <w:t xml:space="preserve"> </w:t>
      </w:r>
      <w:r w:rsidR="00B97063" w:rsidRPr="009730F5">
        <w:rPr>
          <w:rFonts w:cs="Times New Roman"/>
          <w:color w:val="000000"/>
          <w:sz w:val="22"/>
        </w:rPr>
        <w:t>perspective. </w:t>
      </w:r>
    </w:p>
    <w:p w14:paraId="2A3316A1" w14:textId="50420C31" w:rsidR="00B97063" w:rsidRPr="009730F5" w:rsidRDefault="00B97063" w:rsidP="00AA14B8">
      <w:pPr>
        <w:ind w:firstLine="720"/>
        <w:rPr>
          <w:rFonts w:cs="Times New Roman"/>
          <w:color w:val="000000"/>
          <w:sz w:val="22"/>
        </w:rPr>
      </w:pPr>
      <w:r w:rsidRPr="009730F5">
        <w:rPr>
          <w:rFonts w:cs="Times New Roman"/>
          <w:color w:val="000000"/>
          <w:sz w:val="22"/>
        </w:rPr>
        <w:t>Consequently, I argue that in thinking about the ways a market can be grey, we can turn our attention to indivi</w:t>
      </w:r>
      <w:r>
        <w:rPr>
          <w:rFonts w:cs="Times New Roman"/>
          <w:color w:val="000000"/>
          <w:sz w:val="22"/>
        </w:rPr>
        <w:t>dual objects in two ways. Firstly</w:t>
      </w:r>
      <w:r w:rsidR="004044BC">
        <w:rPr>
          <w:rFonts w:cs="Times New Roman"/>
          <w:color w:val="000000"/>
          <w:sz w:val="22"/>
        </w:rPr>
        <w:t>,</w:t>
      </w:r>
      <w:r>
        <w:rPr>
          <w:rFonts w:cs="Times New Roman"/>
          <w:color w:val="000000"/>
          <w:sz w:val="22"/>
        </w:rPr>
        <w:t xml:space="preserve"> </w:t>
      </w:r>
      <w:r w:rsidRPr="009730F5">
        <w:rPr>
          <w:rFonts w:cs="Times New Roman"/>
          <w:color w:val="000000"/>
          <w:sz w:val="22"/>
        </w:rPr>
        <w:t>in the way M</w:t>
      </w:r>
      <w:r w:rsidR="00E33637">
        <w:rPr>
          <w:rFonts w:cs="Times New Roman"/>
          <w:color w:val="000000"/>
          <w:sz w:val="22"/>
        </w:rPr>
        <w:t>acKenzie and Yates describe as “</w:t>
      </w:r>
      <w:r w:rsidRPr="009730F5">
        <w:rPr>
          <w:rFonts w:cs="Times New Roman"/>
          <w:color w:val="000000"/>
          <w:sz w:val="22"/>
        </w:rPr>
        <w:t>the changing status of individual objects as they pa</w:t>
      </w:r>
      <w:r w:rsidR="00E33637">
        <w:rPr>
          <w:rFonts w:cs="Times New Roman"/>
          <w:color w:val="000000"/>
          <w:sz w:val="22"/>
        </w:rPr>
        <w:t>ss through trafficking networks”</w:t>
      </w:r>
      <w:r w:rsidRPr="009730F5">
        <w:rPr>
          <w:rFonts w:cs="Times New Roman"/>
          <w:color w:val="000000"/>
          <w:sz w:val="22"/>
        </w:rPr>
        <w:t xml:space="preserve"> (2017: 82). This formulation considers how objects</w:t>
      </w:r>
      <w:r>
        <w:rPr>
          <w:rFonts w:cs="Times New Roman"/>
          <w:color w:val="000000"/>
          <w:sz w:val="22"/>
        </w:rPr>
        <w:t xml:space="preserve"> practically</w:t>
      </w:r>
      <w:r w:rsidRPr="009730F5">
        <w:rPr>
          <w:rFonts w:cs="Times New Roman"/>
          <w:color w:val="000000"/>
          <w:sz w:val="22"/>
        </w:rPr>
        <w:t xml:space="preserve"> t</w:t>
      </w:r>
      <w:r>
        <w:rPr>
          <w:rFonts w:cs="Times New Roman"/>
          <w:color w:val="000000"/>
          <w:sz w:val="22"/>
        </w:rPr>
        <w:t>ransform from ‘black’ to ‘grey’</w:t>
      </w:r>
      <w:r w:rsidRPr="009730F5">
        <w:rPr>
          <w:rFonts w:cs="Times New Roman"/>
          <w:color w:val="000000"/>
          <w:sz w:val="22"/>
        </w:rPr>
        <w:t xml:space="preserve"> through the actions of humans, as they acquire certification and become embedded in legal markets. The second way I suggest we should turn our attention to the role of individual objects in making a market grey, moves away from human agency, and looks to the objects themselves. I suggest that objects such as caviar might </w:t>
      </w:r>
      <w:r>
        <w:rPr>
          <w:rFonts w:cs="Times New Roman"/>
          <w:color w:val="000000"/>
          <w:sz w:val="22"/>
        </w:rPr>
        <w:t>already posses</w:t>
      </w:r>
      <w:r w:rsidR="00E33637">
        <w:rPr>
          <w:rFonts w:cs="Times New Roman"/>
          <w:color w:val="000000"/>
          <w:sz w:val="22"/>
        </w:rPr>
        <w:t>s a grey status, through their</w:t>
      </w:r>
      <w:r w:rsidR="00BF5E57">
        <w:rPr>
          <w:rFonts w:cs="Times New Roman"/>
          <w:color w:val="000000"/>
          <w:sz w:val="22"/>
        </w:rPr>
        <w:t xml:space="preserve"> intrinsic</w:t>
      </w:r>
      <w:r w:rsidR="00E33637">
        <w:rPr>
          <w:rFonts w:cs="Times New Roman"/>
          <w:color w:val="000000"/>
          <w:sz w:val="22"/>
        </w:rPr>
        <w:t xml:space="preserve"> “</w:t>
      </w:r>
      <w:r w:rsidRPr="009730F5">
        <w:rPr>
          <w:rFonts w:cs="Times New Roman"/>
          <w:color w:val="000000"/>
          <w:sz w:val="22"/>
        </w:rPr>
        <w:t>properties, energies, potentialities, affects and affo</w:t>
      </w:r>
      <w:r>
        <w:rPr>
          <w:rFonts w:cs="Times New Roman"/>
          <w:color w:val="000000"/>
          <w:sz w:val="22"/>
        </w:rPr>
        <w:t>r</w:t>
      </w:r>
      <w:r w:rsidR="00E33637">
        <w:rPr>
          <w:rFonts w:cs="Times New Roman"/>
          <w:color w:val="000000"/>
          <w:sz w:val="22"/>
        </w:rPr>
        <w:t xml:space="preserve">dances” </w:t>
      </w:r>
      <w:r w:rsidRPr="009730F5">
        <w:rPr>
          <w:rFonts w:cs="Times New Roman"/>
          <w:color w:val="000000"/>
          <w:sz w:val="22"/>
        </w:rPr>
        <w:t xml:space="preserve">(Sundberg, 2011: 322). For caviar this relates </w:t>
      </w:r>
      <w:r w:rsidR="004044BC">
        <w:rPr>
          <w:rFonts w:cs="Times New Roman"/>
          <w:color w:val="000000"/>
          <w:sz w:val="22"/>
        </w:rPr>
        <w:t>to its indecipherable material qualities that result</w:t>
      </w:r>
      <w:r w:rsidR="00E33637">
        <w:rPr>
          <w:rFonts w:cs="Times New Roman"/>
          <w:color w:val="000000"/>
          <w:sz w:val="22"/>
        </w:rPr>
        <w:t xml:space="preserve"> in it being “</w:t>
      </w:r>
      <w:r w:rsidRPr="009730F5">
        <w:rPr>
          <w:rFonts w:cs="Times New Roman"/>
          <w:color w:val="000000"/>
          <w:sz w:val="22"/>
        </w:rPr>
        <w:t>n</w:t>
      </w:r>
      <w:r w:rsidR="00E33637">
        <w:rPr>
          <w:rFonts w:cs="Times New Roman"/>
          <w:color w:val="000000"/>
          <w:sz w:val="22"/>
        </w:rPr>
        <w:t>either one thing nor the other”</w:t>
      </w:r>
      <w:r>
        <w:rPr>
          <w:rFonts w:cs="Times New Roman"/>
          <w:color w:val="000000"/>
          <w:sz w:val="22"/>
        </w:rPr>
        <w:t xml:space="preserve"> </w:t>
      </w:r>
      <w:r w:rsidRPr="009730F5">
        <w:rPr>
          <w:rFonts w:cs="Times New Roman"/>
          <w:color w:val="000000"/>
          <w:sz w:val="22"/>
        </w:rPr>
        <w:t xml:space="preserve">(MacKenzie and Yates, 2017: 78). </w:t>
      </w:r>
      <w:r w:rsidR="00BF5E57">
        <w:rPr>
          <w:rFonts w:cs="Times New Roman"/>
          <w:color w:val="000000"/>
          <w:sz w:val="22"/>
        </w:rPr>
        <w:t xml:space="preserve">This is exemplified </w:t>
      </w:r>
      <w:r>
        <w:rPr>
          <w:rFonts w:cs="Times New Roman"/>
          <w:color w:val="000000"/>
          <w:sz w:val="22"/>
        </w:rPr>
        <w:t>in the introduc</w:t>
      </w:r>
      <w:r w:rsidR="00BF5E57">
        <w:rPr>
          <w:rFonts w:cs="Times New Roman"/>
          <w:color w:val="000000"/>
          <w:sz w:val="22"/>
        </w:rPr>
        <w:t xml:space="preserve">tion of this chapter, regarding </w:t>
      </w:r>
      <w:r>
        <w:rPr>
          <w:rFonts w:cs="Times New Roman"/>
          <w:color w:val="000000"/>
          <w:sz w:val="22"/>
        </w:rPr>
        <w:t>the caviar being sold in the</w:t>
      </w:r>
      <w:r w:rsidR="00BF5E57">
        <w:rPr>
          <w:rFonts w:cs="Times New Roman"/>
          <w:color w:val="000000"/>
          <w:sz w:val="22"/>
        </w:rPr>
        <w:t xml:space="preserve"> Romanian airport</w:t>
      </w:r>
      <w:r>
        <w:rPr>
          <w:rFonts w:cs="Times New Roman"/>
          <w:color w:val="000000"/>
          <w:sz w:val="22"/>
        </w:rPr>
        <w:t xml:space="preserve">. </w:t>
      </w:r>
      <w:r w:rsidRPr="009730F5">
        <w:rPr>
          <w:rFonts w:cs="Times New Roman"/>
          <w:color w:val="000000"/>
          <w:sz w:val="22"/>
        </w:rPr>
        <w:t>As such</w:t>
      </w:r>
      <w:r w:rsidR="00BF5E57">
        <w:rPr>
          <w:rFonts w:cs="Times New Roman"/>
          <w:color w:val="000000"/>
          <w:sz w:val="22"/>
        </w:rPr>
        <w:t>,</w:t>
      </w:r>
      <w:r w:rsidRPr="009730F5">
        <w:rPr>
          <w:rFonts w:cs="Times New Roman"/>
          <w:color w:val="000000"/>
          <w:sz w:val="22"/>
        </w:rPr>
        <w:t xml:space="preserve"> caviar possesses </w:t>
      </w:r>
      <w:r w:rsidR="00AA14B8">
        <w:rPr>
          <w:rFonts w:cs="Times New Roman"/>
          <w:color w:val="000000"/>
          <w:sz w:val="22"/>
        </w:rPr>
        <w:t xml:space="preserve">grey properties that </w:t>
      </w:r>
      <w:r w:rsidRPr="009730F5">
        <w:rPr>
          <w:rFonts w:cs="Times New Roman"/>
          <w:color w:val="000000"/>
          <w:sz w:val="22"/>
        </w:rPr>
        <w:t xml:space="preserve">confound human attempts to make its materiality legible. </w:t>
      </w:r>
      <w:r w:rsidR="00AA14B8">
        <w:rPr>
          <w:rFonts w:cs="Times New Roman"/>
          <w:color w:val="000000"/>
          <w:sz w:val="22"/>
        </w:rPr>
        <w:t xml:space="preserve">I argue that </w:t>
      </w:r>
      <w:r w:rsidRPr="009730F5">
        <w:rPr>
          <w:rFonts w:cs="Times New Roman"/>
          <w:color w:val="000000"/>
          <w:sz w:val="22"/>
        </w:rPr>
        <w:t>caviar is simultaneously both a grey object enrolled by human actors, and a ‘grey actor’ possessing</w:t>
      </w:r>
      <w:r w:rsidR="00AA14B8">
        <w:rPr>
          <w:rFonts w:cs="Times New Roman"/>
          <w:color w:val="000000"/>
          <w:sz w:val="22"/>
        </w:rPr>
        <w:t xml:space="preserve"> agencies that exceed efforts to bring the object under the remit of human control</w:t>
      </w:r>
      <w:r w:rsidR="00BF5E57">
        <w:rPr>
          <w:rFonts w:cs="Times New Roman"/>
          <w:color w:val="000000"/>
          <w:sz w:val="22"/>
        </w:rPr>
        <w:t xml:space="preserve"> and regulatory frameworks</w:t>
      </w:r>
      <w:r w:rsidRPr="009730F5">
        <w:rPr>
          <w:rFonts w:cs="Times New Roman"/>
          <w:color w:val="000000"/>
          <w:sz w:val="22"/>
        </w:rPr>
        <w:t xml:space="preserve">. </w:t>
      </w:r>
      <w:r>
        <w:rPr>
          <w:rFonts w:cs="Times New Roman"/>
          <w:color w:val="000000"/>
          <w:sz w:val="22"/>
        </w:rPr>
        <w:t xml:space="preserve">The vital grey properties of caviar have macropolitical implications as they co-produce geopolitical and ecological realities that are </w:t>
      </w:r>
      <w:r w:rsidR="004044BC">
        <w:rPr>
          <w:rFonts w:cs="Times New Roman"/>
          <w:color w:val="000000"/>
          <w:sz w:val="22"/>
        </w:rPr>
        <w:t xml:space="preserve">linked </w:t>
      </w:r>
      <w:r>
        <w:rPr>
          <w:rFonts w:cs="Times New Roman"/>
          <w:color w:val="000000"/>
          <w:sz w:val="22"/>
        </w:rPr>
        <w:t>to the</w:t>
      </w:r>
      <w:r w:rsidR="00AA14B8">
        <w:rPr>
          <w:rFonts w:cs="Times New Roman"/>
          <w:color w:val="000000"/>
          <w:sz w:val="22"/>
        </w:rPr>
        <w:t xml:space="preserve"> existence of the</w:t>
      </w:r>
      <w:r>
        <w:rPr>
          <w:rFonts w:cs="Times New Roman"/>
          <w:color w:val="000000"/>
          <w:sz w:val="22"/>
        </w:rPr>
        <w:t xml:space="preserve"> caviar grey market. As such, theorisations of grey markets must be expanded to consider the </w:t>
      </w:r>
      <w:r w:rsidR="00AA14B8">
        <w:rPr>
          <w:rFonts w:cs="Times New Roman"/>
          <w:color w:val="000000"/>
          <w:sz w:val="22"/>
        </w:rPr>
        <w:t>vital materialities</w:t>
      </w:r>
      <w:r>
        <w:rPr>
          <w:rFonts w:cs="Times New Roman"/>
          <w:color w:val="000000"/>
          <w:sz w:val="22"/>
        </w:rPr>
        <w:t xml:space="preserve"> of nonhumans</w:t>
      </w:r>
      <w:r w:rsidR="00AA14B8">
        <w:rPr>
          <w:rFonts w:cs="Times New Roman"/>
          <w:color w:val="000000"/>
          <w:sz w:val="22"/>
        </w:rPr>
        <w:t>, and the implications this has for geopolitical-ecologies</w:t>
      </w:r>
      <w:r>
        <w:rPr>
          <w:rFonts w:cs="Times New Roman"/>
          <w:color w:val="000000"/>
          <w:sz w:val="22"/>
        </w:rPr>
        <w:t>.</w:t>
      </w:r>
    </w:p>
    <w:p w14:paraId="04F7FA21" w14:textId="217A2DA1" w:rsidR="00B97063" w:rsidRDefault="00435688" w:rsidP="00B97063">
      <w:pPr>
        <w:ind w:firstLine="720"/>
        <w:rPr>
          <w:rFonts w:cs="Times New Roman"/>
          <w:color w:val="000000"/>
          <w:sz w:val="22"/>
        </w:rPr>
      </w:pPr>
      <w:r>
        <w:rPr>
          <w:rFonts w:cs="Times New Roman"/>
          <w:color w:val="000000"/>
          <w:sz w:val="22"/>
        </w:rPr>
        <w:t>An example from the geo</w:t>
      </w:r>
      <w:r w:rsidR="00B97063" w:rsidRPr="009730F5">
        <w:rPr>
          <w:rFonts w:cs="Times New Roman"/>
          <w:color w:val="000000"/>
          <w:sz w:val="22"/>
        </w:rPr>
        <w:t>po</w:t>
      </w:r>
      <w:r w:rsidR="001A460D">
        <w:rPr>
          <w:rFonts w:cs="Times New Roman"/>
          <w:color w:val="000000"/>
          <w:sz w:val="22"/>
        </w:rPr>
        <w:t xml:space="preserve">litical arena that exemplifies </w:t>
      </w:r>
      <w:r w:rsidR="00B97063" w:rsidRPr="009730F5">
        <w:rPr>
          <w:rFonts w:cs="Times New Roman"/>
          <w:color w:val="000000"/>
          <w:sz w:val="22"/>
        </w:rPr>
        <w:t>caviar as a ‘grey actor’ is Obama’s first diplomatic trip to Russia in 2009. Obama met Putin over a traditional brunch meeting at Putin’s home</w:t>
      </w:r>
      <w:r w:rsidR="00B97063" w:rsidRPr="005B292F">
        <w:rPr>
          <w:rStyle w:val="FootnoteReference"/>
        </w:rPr>
        <w:footnoteReference w:id="151"/>
      </w:r>
      <w:r w:rsidR="00B97063" w:rsidRPr="009730F5">
        <w:rPr>
          <w:rFonts w:cs="Times New Roman"/>
          <w:color w:val="000000"/>
          <w:sz w:val="22"/>
        </w:rPr>
        <w:t>.</w:t>
      </w:r>
      <w:r w:rsidR="004044BC">
        <w:rPr>
          <w:rFonts w:cs="Times New Roman"/>
          <w:color w:val="000000"/>
          <w:sz w:val="22"/>
        </w:rPr>
        <w:t xml:space="preserve"> The breakfast included smoked B</w:t>
      </w:r>
      <w:r w:rsidR="00B97063" w:rsidRPr="009730F5">
        <w:rPr>
          <w:rFonts w:cs="Times New Roman"/>
          <w:color w:val="000000"/>
          <w:sz w:val="22"/>
        </w:rPr>
        <w:t>eluga</w:t>
      </w:r>
      <w:r w:rsidR="001A460D">
        <w:rPr>
          <w:rFonts w:cs="Times New Roman"/>
          <w:color w:val="000000"/>
          <w:sz w:val="22"/>
        </w:rPr>
        <w:t xml:space="preserve"> sturgeon meat and caviar: the </w:t>
      </w:r>
      <w:r w:rsidR="00B97063" w:rsidRPr="009730F5">
        <w:rPr>
          <w:rFonts w:cs="Times New Roman"/>
          <w:color w:val="000000"/>
          <w:sz w:val="22"/>
        </w:rPr>
        <w:t>origin</w:t>
      </w:r>
      <w:r w:rsidR="001A460D">
        <w:rPr>
          <w:rFonts w:cs="Times New Roman"/>
          <w:color w:val="000000"/>
          <w:sz w:val="22"/>
        </w:rPr>
        <w:t xml:space="preserve"> of which was not disclosed, and therefore</w:t>
      </w:r>
      <w:r w:rsidR="00B97063" w:rsidRPr="009730F5">
        <w:rPr>
          <w:rFonts w:cs="Times New Roman"/>
          <w:color w:val="000000"/>
          <w:sz w:val="22"/>
        </w:rPr>
        <w:t xml:space="preserve"> </w:t>
      </w:r>
      <w:r w:rsidR="00B97063">
        <w:rPr>
          <w:rFonts w:cs="Times New Roman"/>
          <w:color w:val="000000"/>
          <w:sz w:val="22"/>
        </w:rPr>
        <w:t>geopolitically contentious</w:t>
      </w:r>
      <w:r w:rsidR="00B97063" w:rsidRPr="009730F5">
        <w:rPr>
          <w:rFonts w:cs="Times New Roman"/>
          <w:color w:val="000000"/>
          <w:sz w:val="22"/>
        </w:rPr>
        <w:t xml:space="preserve">. At the time the commercial production and </w:t>
      </w:r>
      <w:r w:rsidR="004044BC">
        <w:rPr>
          <w:rFonts w:cs="Times New Roman"/>
          <w:color w:val="000000"/>
          <w:sz w:val="22"/>
        </w:rPr>
        <w:t>sale of B</w:t>
      </w:r>
      <w:r w:rsidR="00B97063" w:rsidRPr="009730F5">
        <w:rPr>
          <w:rFonts w:cs="Times New Roman"/>
          <w:color w:val="000000"/>
          <w:sz w:val="22"/>
        </w:rPr>
        <w:t>eluga caviar was prohibited in Russia</w:t>
      </w:r>
      <w:r w:rsidR="00850626">
        <w:rPr>
          <w:rFonts w:cs="Times New Roman"/>
          <w:color w:val="000000"/>
          <w:sz w:val="22"/>
        </w:rPr>
        <w:t xml:space="preserve"> </w:t>
      </w:r>
      <w:r w:rsidR="00850626">
        <w:rPr>
          <w:rFonts w:cs="Times New Roman"/>
          <w:color w:val="000000"/>
          <w:sz w:val="22"/>
        </w:rPr>
        <w:fldChar w:fldCharType="begin" w:fldLock="1"/>
      </w:r>
      <w:r w:rsidR="00BF5E57">
        <w:rPr>
          <w:rFonts w:cs="Times New Roman"/>
          <w:color w:val="000000"/>
          <w:sz w:val="22"/>
        </w:rPr>
        <w:instrText>ADDIN CSL_CITATION {"citationItems":[{"id":"ITEM-1","itemData":{"author":[{"dropping-particle":"","family":"Felgenhauer","given":"Pavel","non-dropping-particle":"","parse-names":false,"suffix":""}],"container-title":"The Jamestown Foundation: Eurasia Daily Monitor","id":"ITEM-1","issued":{"date-parts":[["2009","7","9"]]},"title":"Obama Praised in Moscow for Moderation","type":"article-newspaper"},"uris":["http://www.mendeley.com/documents/?uuid=bc1ccff4-b388-49e5-b21e-7c4e7a8679d3"]}],"mendeley":{"formattedCitation":"(Felgenhauer, 2009)","plainTextFormattedCitation":"(Felgenhauer, 2009)","previouslyFormattedCitation":"(Felgenhauer, 2009)"},"properties":{"noteIndex":0},"schema":"https://github.com/citation-style-language/schema/raw/master/csl-citation.json"}</w:instrText>
      </w:r>
      <w:r w:rsidR="00850626">
        <w:rPr>
          <w:rFonts w:cs="Times New Roman"/>
          <w:color w:val="000000"/>
          <w:sz w:val="22"/>
        </w:rPr>
        <w:fldChar w:fldCharType="separate"/>
      </w:r>
      <w:r w:rsidR="00850626" w:rsidRPr="00850626">
        <w:rPr>
          <w:rFonts w:cs="Times New Roman"/>
          <w:noProof/>
          <w:color w:val="000000"/>
          <w:sz w:val="22"/>
        </w:rPr>
        <w:t>(Felgenhauer, 2009)</w:t>
      </w:r>
      <w:r w:rsidR="00850626">
        <w:rPr>
          <w:rFonts w:cs="Times New Roman"/>
          <w:color w:val="000000"/>
          <w:sz w:val="22"/>
        </w:rPr>
        <w:fldChar w:fldCharType="end"/>
      </w:r>
      <w:r w:rsidR="004044BC">
        <w:rPr>
          <w:rFonts w:cs="Times New Roman"/>
          <w:color w:val="000000"/>
          <w:sz w:val="22"/>
        </w:rPr>
        <w:t xml:space="preserve">. So, if </w:t>
      </w:r>
      <w:r w:rsidR="00B97063" w:rsidRPr="009730F5">
        <w:rPr>
          <w:rFonts w:cs="Times New Roman"/>
          <w:color w:val="000000"/>
          <w:sz w:val="22"/>
        </w:rPr>
        <w:t>t</w:t>
      </w:r>
      <w:r w:rsidR="004044BC">
        <w:rPr>
          <w:rFonts w:cs="Times New Roman"/>
          <w:color w:val="000000"/>
          <w:sz w:val="22"/>
        </w:rPr>
        <w:t>he caviar was of Russian origin</w:t>
      </w:r>
      <w:r w:rsidR="00B97063" w:rsidRPr="009730F5">
        <w:rPr>
          <w:rFonts w:cs="Times New Roman"/>
          <w:color w:val="000000"/>
          <w:sz w:val="22"/>
        </w:rPr>
        <w:t xml:space="preserve"> it was almost certainly contraband. However, there were suggestions that the caviar could have been legally imported from Iran, which carried with it it’s own geopolitical ramifications for the US president</w:t>
      </w:r>
      <w:r w:rsidR="00BF5E57">
        <w:rPr>
          <w:rFonts w:cs="Times New Roman"/>
          <w:color w:val="000000"/>
          <w:sz w:val="22"/>
        </w:rPr>
        <w:t xml:space="preserve"> given the extensive US sanctions against Iran</w:t>
      </w:r>
      <w:r w:rsidR="00B97063" w:rsidRPr="009730F5">
        <w:rPr>
          <w:rFonts w:cs="Times New Roman"/>
          <w:color w:val="000000"/>
          <w:sz w:val="22"/>
        </w:rPr>
        <w:t xml:space="preserve">. This is exemplary of the ‘greyness’ of caviar’s </w:t>
      </w:r>
      <w:r w:rsidR="00BF5E57">
        <w:rPr>
          <w:rFonts w:cs="Times New Roman"/>
          <w:color w:val="000000"/>
          <w:sz w:val="22"/>
        </w:rPr>
        <w:t>properties</w:t>
      </w:r>
      <w:r w:rsidR="00B97063" w:rsidRPr="009730F5">
        <w:rPr>
          <w:rFonts w:cs="Times New Roman"/>
          <w:color w:val="000000"/>
          <w:sz w:val="22"/>
        </w:rPr>
        <w:t xml:space="preserve">: during the brunch the caviar was simultaneously both Russian and Iranian, </w:t>
      </w:r>
      <w:r w:rsidR="00B97063" w:rsidRPr="009730F5">
        <w:rPr>
          <w:rFonts w:cs="Times New Roman"/>
          <w:color w:val="000000"/>
          <w:sz w:val="22"/>
        </w:rPr>
        <w:lastRenderedPageBreak/>
        <w:t xml:space="preserve">possessing varying implications dependent upon each of these possible origins. Thus, the black caviar emerged as a pertinent ‘grey’ </w:t>
      </w:r>
      <w:r w:rsidR="00BF5E57">
        <w:rPr>
          <w:rFonts w:cs="Times New Roman"/>
          <w:color w:val="000000"/>
          <w:sz w:val="22"/>
        </w:rPr>
        <w:t xml:space="preserve">geopolitical </w:t>
      </w:r>
      <w:r w:rsidR="00B97063" w:rsidRPr="009730F5">
        <w:rPr>
          <w:rFonts w:cs="Times New Roman"/>
          <w:color w:val="000000"/>
          <w:sz w:val="22"/>
        </w:rPr>
        <w:t xml:space="preserve">actor at the brunch, </w:t>
      </w:r>
      <w:r w:rsidR="00B97063">
        <w:rPr>
          <w:rFonts w:cs="Times New Roman"/>
          <w:color w:val="000000"/>
          <w:sz w:val="22"/>
        </w:rPr>
        <w:t xml:space="preserve">working on the side of Putin and his orchestration of the meeting. </w:t>
      </w:r>
    </w:p>
    <w:p w14:paraId="38437D16" w14:textId="1871E435" w:rsidR="00B97063" w:rsidRPr="001353C9" w:rsidRDefault="00B97063" w:rsidP="00B97063">
      <w:pPr>
        <w:ind w:firstLine="720"/>
        <w:rPr>
          <w:rFonts w:cs="Times New Roman"/>
          <w:color w:val="000000"/>
          <w:sz w:val="22"/>
        </w:rPr>
      </w:pPr>
      <w:r>
        <w:rPr>
          <w:rFonts w:cs="Times New Roman"/>
          <w:color w:val="000000"/>
          <w:sz w:val="22"/>
        </w:rPr>
        <w:t>The implications of Obama consuming the caviar were noted by the Eurasia Daily Monitor of the Jamestown Fo</w:t>
      </w:r>
      <w:r w:rsidR="00BF5E57">
        <w:rPr>
          <w:rFonts w:cs="Times New Roman"/>
          <w:color w:val="000000"/>
          <w:sz w:val="22"/>
        </w:rPr>
        <w:t>undation, which reported that: “</w:t>
      </w:r>
      <w:r w:rsidRPr="009730F5">
        <w:rPr>
          <w:rFonts w:cs="Times New Roman"/>
          <w:color w:val="000000"/>
          <w:sz w:val="22"/>
        </w:rPr>
        <w:t>it is not clear what is more damaging for a US president: to publicly eat Iranian caviar or Russian contraband</w:t>
      </w:r>
      <w:r w:rsidR="00BF5E57">
        <w:rPr>
          <w:rFonts w:cs="Times New Roman"/>
          <w:color w:val="000000"/>
          <w:sz w:val="22"/>
        </w:rPr>
        <w:t xml:space="preserve">” </w:t>
      </w:r>
      <w:r w:rsidR="00BF5E57">
        <w:rPr>
          <w:rFonts w:cs="Times New Roman"/>
          <w:color w:val="000000"/>
          <w:sz w:val="22"/>
        </w:rPr>
        <w:fldChar w:fldCharType="begin" w:fldLock="1"/>
      </w:r>
      <w:r w:rsidR="00BF5E57">
        <w:rPr>
          <w:rFonts w:cs="Times New Roman"/>
          <w:color w:val="000000"/>
          <w:sz w:val="22"/>
        </w:rPr>
        <w:instrText>ADDIN CSL_CITATION {"citationItems":[{"id":"ITEM-1","itemData":{"author":[{"dropping-particle":"","family":"Felgenhauer","given":"Pavel","non-dropping-particle":"","parse-names":false,"suffix":""}],"container-title":"The Jamestown Foundation: Eurasia Daily Monitor","id":"ITEM-1","issued":{"date-parts":[["2009","7","9"]]},"title":"Obama Praised in Moscow for Moderation","type":"article-newspaper"},"uris":["http://www.mendeley.com/documents/?uuid=bc1ccff4-b388-49e5-b21e-7c4e7a8679d3"]}],"mendeley":{"formattedCitation":"(Felgenhauer, 2009)","plainTextFormattedCitation":"(Felgenhauer, 2009)","previouslyFormattedCitation":"(Felgenhauer, 2009)"},"properties":{"noteIndex":0},"schema":"https://github.com/citation-style-language/schema/raw/master/csl-citation.json"}</w:instrText>
      </w:r>
      <w:r w:rsidR="00BF5E57">
        <w:rPr>
          <w:rFonts w:cs="Times New Roman"/>
          <w:color w:val="000000"/>
          <w:sz w:val="22"/>
        </w:rPr>
        <w:fldChar w:fldCharType="separate"/>
      </w:r>
      <w:r w:rsidR="00BF5E57" w:rsidRPr="00BF5E57">
        <w:rPr>
          <w:rFonts w:cs="Times New Roman"/>
          <w:noProof/>
          <w:color w:val="000000"/>
          <w:sz w:val="22"/>
        </w:rPr>
        <w:t>(Felgenhauer, 2009)</w:t>
      </w:r>
      <w:r w:rsidR="00BF5E57">
        <w:rPr>
          <w:rFonts w:cs="Times New Roman"/>
          <w:color w:val="000000"/>
          <w:sz w:val="22"/>
        </w:rPr>
        <w:fldChar w:fldCharType="end"/>
      </w:r>
      <w:r w:rsidRPr="009730F5">
        <w:rPr>
          <w:rFonts w:cs="Times New Roman"/>
          <w:color w:val="000000"/>
          <w:sz w:val="22"/>
        </w:rPr>
        <w:t>. </w:t>
      </w:r>
      <w:r>
        <w:rPr>
          <w:rFonts w:cs="Times New Roman"/>
          <w:color w:val="000000"/>
          <w:sz w:val="22"/>
        </w:rPr>
        <w:t xml:space="preserve">Ultimately though, it appears that the incident was hardly damaging for Obama in the public eye, as analysis of the content of the breakfast barely received any media coverage beyond Russian news outlets. This was noticed by Michael Goldfarb of the Washington </w:t>
      </w:r>
      <w:r w:rsidR="00BF5E57">
        <w:rPr>
          <w:rFonts w:cs="Times New Roman"/>
          <w:color w:val="000000"/>
          <w:sz w:val="22"/>
        </w:rPr>
        <w:t>Examiner who remonstrated that “</w:t>
      </w:r>
      <w:r>
        <w:rPr>
          <w:rFonts w:cs="Times New Roman"/>
          <w:color w:val="000000"/>
          <w:sz w:val="22"/>
        </w:rPr>
        <w:t>Obama goes to Moscow and starts shovelling down gourmet endangered species and contraband fish eggs and you’d have to read the Russian wires to get the story</w:t>
      </w:r>
      <w:r w:rsidR="00BF5E57">
        <w:rPr>
          <w:rFonts w:cs="Times New Roman"/>
          <w:color w:val="000000"/>
          <w:sz w:val="22"/>
        </w:rPr>
        <w:t xml:space="preserve">” </w:t>
      </w:r>
      <w:r w:rsidR="00BF5E57">
        <w:rPr>
          <w:rFonts w:cs="Times New Roman"/>
          <w:color w:val="000000"/>
          <w:sz w:val="22"/>
        </w:rPr>
        <w:fldChar w:fldCharType="begin" w:fldLock="1"/>
      </w:r>
      <w:r w:rsidR="00FB084D">
        <w:rPr>
          <w:rFonts w:cs="Times New Roman"/>
          <w:color w:val="000000"/>
          <w:sz w:val="22"/>
        </w:rPr>
        <w:instrText>ADDIN CSL_CITATION {"citationItems":[{"id":"ITEM-1","itemData":{"author":[{"dropping-particle":"","family":"Goldfarb","given":"Michael","non-dropping-particle":"","parse-names":false,"suffix":""}],"container-title":"Washington Examiner","id":"ITEM-1","issued":{"date-parts":[["2009","7","13"]]},"title":"How'd Obama Like the Caviar?","type":"article-newspaper"},"uris":["http://www.mendeley.com/documents/?uuid=d9147ef3-9351-48b9-ae18-e5bb6c4bf546"]}],"mendeley":{"formattedCitation":"(Goldfarb, 2009)","plainTextFormattedCitation":"(Goldfarb, 2009)","previouslyFormattedCitation":"(Goldfarb, 2009)"},"properties":{"noteIndex":0},"schema":"https://github.com/citation-style-language/schema/raw/master/csl-citation.json"}</w:instrText>
      </w:r>
      <w:r w:rsidR="00BF5E57">
        <w:rPr>
          <w:rFonts w:cs="Times New Roman"/>
          <w:color w:val="000000"/>
          <w:sz w:val="22"/>
        </w:rPr>
        <w:fldChar w:fldCharType="separate"/>
      </w:r>
      <w:r w:rsidR="00BF5E57" w:rsidRPr="00BF5E57">
        <w:rPr>
          <w:rFonts w:cs="Times New Roman"/>
          <w:noProof/>
          <w:color w:val="000000"/>
          <w:sz w:val="22"/>
        </w:rPr>
        <w:t>(Goldfarb, 2009)</w:t>
      </w:r>
      <w:r w:rsidR="00BF5E57">
        <w:rPr>
          <w:rFonts w:cs="Times New Roman"/>
          <w:color w:val="000000"/>
          <w:sz w:val="22"/>
        </w:rPr>
        <w:fldChar w:fldCharType="end"/>
      </w:r>
      <w:r>
        <w:rPr>
          <w:rFonts w:cs="Times New Roman"/>
          <w:color w:val="000000"/>
          <w:sz w:val="22"/>
        </w:rPr>
        <w:t>. Goldfarb’s statement implies frustration that the details of the breakfast were seemingly silenced in the West, presumably to avoid negative press. Indeed, the situation is even more ironic given that the import of Beluga caviar into the US has been banned since 2005</w:t>
      </w:r>
      <w:r w:rsidR="00386208" w:rsidRPr="005B292F">
        <w:rPr>
          <w:rStyle w:val="FootnoteReference"/>
        </w:rPr>
        <w:footnoteReference w:id="152"/>
      </w:r>
      <w:r>
        <w:rPr>
          <w:rFonts w:cs="Times New Roman"/>
          <w:color w:val="000000"/>
          <w:sz w:val="22"/>
        </w:rPr>
        <w:t>. Irrespective of the lack of media attention and public outcry, there’s no denying that for Putin the incident likely represented a well-considered geopolitical power play, which deployed caviar’s grey properties in a leading role.</w:t>
      </w:r>
    </w:p>
    <w:p w14:paraId="11AAAED0" w14:textId="41CAF00A" w:rsidR="00347EC1" w:rsidRDefault="00A72551" w:rsidP="00FC70E0">
      <w:pPr>
        <w:ind w:firstLine="720"/>
        <w:rPr>
          <w:rFonts w:cs="Times New Roman"/>
          <w:color w:val="000000"/>
          <w:sz w:val="22"/>
        </w:rPr>
      </w:pPr>
      <w:r>
        <w:rPr>
          <w:rFonts w:cs="Times New Roman"/>
          <w:color w:val="000000"/>
          <w:sz w:val="22"/>
        </w:rPr>
        <w:t xml:space="preserve">Beyond the emergence of a grey caviar market in the EU, this example adds further credence to my argument that the unknowable material properties of caviar have geopolitical significance and implications. </w:t>
      </w:r>
      <w:r w:rsidR="00B97063" w:rsidRPr="009730F5">
        <w:rPr>
          <w:rFonts w:cs="Times New Roman"/>
          <w:color w:val="000000"/>
          <w:sz w:val="22"/>
        </w:rPr>
        <w:t xml:space="preserve">This example also emphasises the importance of conceptualising the objects of illicit trade as </w:t>
      </w:r>
      <w:r w:rsidR="00B97063">
        <w:rPr>
          <w:rFonts w:cs="Times New Roman"/>
          <w:color w:val="000000"/>
          <w:sz w:val="22"/>
        </w:rPr>
        <w:t xml:space="preserve">grey </w:t>
      </w:r>
      <w:r w:rsidR="00B97063" w:rsidRPr="009730F5">
        <w:rPr>
          <w:rFonts w:cs="Times New Roman"/>
          <w:color w:val="000000"/>
          <w:sz w:val="22"/>
        </w:rPr>
        <w:t xml:space="preserve">actors </w:t>
      </w:r>
      <w:r>
        <w:rPr>
          <w:rFonts w:cs="Times New Roman"/>
          <w:color w:val="000000"/>
          <w:sz w:val="22"/>
        </w:rPr>
        <w:t xml:space="preserve">that operate both alongside and independently of human actors. Paying attention to the vital material properties of caviar contributes to the theoretical development of more-than-human geopolitical </w:t>
      </w:r>
      <w:r w:rsidR="00CA7228">
        <w:rPr>
          <w:rFonts w:cs="Times New Roman"/>
          <w:color w:val="000000"/>
          <w:sz w:val="22"/>
        </w:rPr>
        <w:t xml:space="preserve">ecology, by demonstrating that the unknowable materiality of caviar products is integral to the co-constitution of the EU caviar grey market, and has geopolitical effects. </w:t>
      </w:r>
    </w:p>
    <w:p w14:paraId="21679011" w14:textId="57193841" w:rsidR="00FC70E0" w:rsidRPr="00FC70E0" w:rsidRDefault="00FC70E0" w:rsidP="00FC70E0">
      <w:pPr>
        <w:rPr>
          <w:rFonts w:cs="Times New Roman"/>
          <w:color w:val="000000"/>
          <w:sz w:val="22"/>
        </w:rPr>
      </w:pPr>
    </w:p>
    <w:p w14:paraId="27440822" w14:textId="4B59B863" w:rsidR="00B97063" w:rsidRPr="00850D7C" w:rsidRDefault="00216489" w:rsidP="00216489">
      <w:pPr>
        <w:pStyle w:val="Heading2"/>
      </w:pPr>
      <w:bookmarkStart w:id="73" w:name="_Toc453224231"/>
      <w:r>
        <w:t xml:space="preserve">5.4 </w:t>
      </w:r>
      <w:r w:rsidR="00B97063" w:rsidRPr="00850D7C">
        <w:t>Conclusion</w:t>
      </w:r>
      <w:bookmarkEnd w:id="73"/>
      <w:r w:rsidR="00B97063" w:rsidRPr="00850D7C">
        <w:t xml:space="preserve"> </w:t>
      </w:r>
    </w:p>
    <w:p w14:paraId="3F01B0C0" w14:textId="6D5C7674" w:rsidR="00FB084D" w:rsidRDefault="00B97063" w:rsidP="00B97063">
      <w:pPr>
        <w:rPr>
          <w:rFonts w:cs="Times New Roman"/>
          <w:color w:val="000000"/>
          <w:sz w:val="22"/>
        </w:rPr>
      </w:pPr>
      <w:r w:rsidRPr="009730F5">
        <w:rPr>
          <w:rFonts w:cs="Times New Roman"/>
          <w:color w:val="000000"/>
          <w:sz w:val="22"/>
        </w:rPr>
        <w:t xml:space="preserve">This chapter has argued that the material properties of caviar matter greatly in </w:t>
      </w:r>
      <w:r>
        <w:rPr>
          <w:rFonts w:cs="Times New Roman"/>
          <w:color w:val="000000"/>
          <w:sz w:val="22"/>
        </w:rPr>
        <w:t xml:space="preserve">co-producing the caviar grey market in the EU. </w:t>
      </w:r>
      <w:r w:rsidRPr="009730F5">
        <w:rPr>
          <w:rFonts w:cs="Times New Roman"/>
          <w:color w:val="000000"/>
          <w:sz w:val="22"/>
        </w:rPr>
        <w:t>I argue that cavi</w:t>
      </w:r>
      <w:r>
        <w:rPr>
          <w:rFonts w:cs="Times New Roman"/>
          <w:color w:val="000000"/>
          <w:sz w:val="22"/>
        </w:rPr>
        <w:t xml:space="preserve">ar is to a significant extent </w:t>
      </w:r>
      <w:r w:rsidR="00347EC1">
        <w:rPr>
          <w:rFonts w:cs="Times New Roman"/>
          <w:color w:val="000000"/>
          <w:sz w:val="22"/>
        </w:rPr>
        <w:t xml:space="preserve">materially </w:t>
      </w:r>
      <w:r>
        <w:rPr>
          <w:rFonts w:cs="Times New Roman"/>
          <w:color w:val="000000"/>
          <w:sz w:val="22"/>
        </w:rPr>
        <w:t>‘unknowable’</w:t>
      </w:r>
      <w:r w:rsidRPr="009730F5">
        <w:rPr>
          <w:rFonts w:cs="Times New Roman"/>
          <w:color w:val="000000"/>
          <w:sz w:val="22"/>
        </w:rPr>
        <w:t xml:space="preserve">, because the physical and chemical properties of caviar are difficult to decipher; and </w:t>
      </w:r>
      <w:r>
        <w:rPr>
          <w:rFonts w:cs="Times New Roman"/>
          <w:color w:val="000000"/>
          <w:sz w:val="22"/>
        </w:rPr>
        <w:t>I examine</w:t>
      </w:r>
      <w:r w:rsidRPr="009730F5">
        <w:rPr>
          <w:rFonts w:cs="Times New Roman"/>
          <w:color w:val="000000"/>
          <w:sz w:val="22"/>
        </w:rPr>
        <w:t xml:space="preserve"> how this has implications for </w:t>
      </w:r>
      <w:r w:rsidR="00347EC1">
        <w:rPr>
          <w:rFonts w:cs="Times New Roman"/>
          <w:color w:val="000000"/>
          <w:sz w:val="22"/>
        </w:rPr>
        <w:t>how</w:t>
      </w:r>
      <w:r w:rsidRPr="009730F5">
        <w:rPr>
          <w:rFonts w:cs="Times New Roman"/>
          <w:color w:val="000000"/>
          <w:sz w:val="22"/>
        </w:rPr>
        <w:t xml:space="preserve"> enforcement against illegal caviar trade takes place, or is curtailed</w:t>
      </w:r>
      <w:r w:rsidR="00FB084D">
        <w:rPr>
          <w:rFonts w:cs="Times New Roman"/>
          <w:color w:val="000000"/>
          <w:sz w:val="22"/>
        </w:rPr>
        <w:t xml:space="preserve"> in the EU</w:t>
      </w:r>
      <w:r w:rsidRPr="009730F5">
        <w:rPr>
          <w:rFonts w:cs="Times New Roman"/>
          <w:color w:val="000000"/>
          <w:sz w:val="22"/>
        </w:rPr>
        <w:t xml:space="preserve">. Moreover, I also illustrate how the indecipherability of caviar has been capitalised upon by criminal actors to produce new forms of illicit trade that </w:t>
      </w:r>
      <w:r>
        <w:rPr>
          <w:rFonts w:cs="Times New Roman"/>
          <w:color w:val="000000"/>
          <w:sz w:val="22"/>
        </w:rPr>
        <w:t xml:space="preserve">intertwine </w:t>
      </w:r>
      <w:r w:rsidRPr="009730F5">
        <w:rPr>
          <w:rFonts w:cs="Times New Roman"/>
          <w:color w:val="000000"/>
          <w:sz w:val="22"/>
        </w:rPr>
        <w:t xml:space="preserve">the legal and illegal caviar markets. </w:t>
      </w:r>
    </w:p>
    <w:p w14:paraId="4F00D6D0" w14:textId="7B23CA8B" w:rsidR="00FB084D" w:rsidRDefault="00B97063" w:rsidP="00243877">
      <w:pPr>
        <w:ind w:firstLine="720"/>
        <w:rPr>
          <w:rFonts w:cs="Times New Roman"/>
          <w:color w:val="000000"/>
          <w:sz w:val="22"/>
        </w:rPr>
      </w:pPr>
      <w:r w:rsidRPr="009730F5">
        <w:rPr>
          <w:rFonts w:cs="Times New Roman"/>
          <w:color w:val="000000"/>
          <w:sz w:val="22"/>
        </w:rPr>
        <w:lastRenderedPageBreak/>
        <w:t xml:space="preserve">Importantly then, in analysing the </w:t>
      </w:r>
      <w:r w:rsidR="00FB084D">
        <w:rPr>
          <w:rFonts w:cs="Times New Roman"/>
          <w:color w:val="000000"/>
          <w:sz w:val="22"/>
        </w:rPr>
        <w:t>vital material nature of caviar and how this co-produces the EU grey caviar market, I position cavi</w:t>
      </w:r>
      <w:r w:rsidR="00243877">
        <w:rPr>
          <w:rFonts w:cs="Times New Roman"/>
          <w:color w:val="000000"/>
          <w:sz w:val="22"/>
        </w:rPr>
        <w:t xml:space="preserve">ar as a ‘grey actor’ that shapes and co-produces </w:t>
      </w:r>
      <w:r w:rsidR="00FB084D">
        <w:rPr>
          <w:rFonts w:cs="Times New Roman"/>
          <w:color w:val="000000"/>
          <w:sz w:val="22"/>
        </w:rPr>
        <w:t xml:space="preserve">geopolitical-ecological realities in the EU. This line of argument deploys theories and literatures explored in chapter two, which engage with the vibrant political affordances of nonhuman material things </w:t>
      </w:r>
      <w:r w:rsidR="00FB084D">
        <w:rPr>
          <w:rFonts w:cs="Times New Roman"/>
          <w:color w:val="000000"/>
          <w:sz w:val="22"/>
        </w:rPr>
        <w:fldChar w:fldCharType="begin" w:fldLock="1"/>
      </w:r>
      <w:r w:rsidR="00073D37">
        <w:rPr>
          <w:rFonts w:cs="Times New Roman"/>
          <w:color w:val="000000"/>
          <w:sz w:val="22"/>
        </w:rPr>
        <w:instrText>ADDIN CSL_CITATION {"citationItems":[{"id":"ITEM-1","itemData":{"ISBN":"9780822346197","abstract":"\"In Vibrant Matter the political theorist Jane Bennett, renowned for her work on nature, ethics, and affect, shifts her focus from the human experience of things to things themselves. Bennett argues that political theory needs to do a better job of recognizing the active participation of nonhuman forces in events. Toward that end, she theorizes a \"vital materiality\" that runs through and across bodies, both human and nonhuman. Bennett explores how political analyses of public events might change were we to acknowledge that agency always emerges as the effect of ad hoc configurations of human and nonhuman forces. She suggests that recognizing that agency is distributed this way, and is not solely the province of humans, might spur the cultivation of a more responsible, ecologically sound politics: a politics less devoted to blaming and condemning individuals than to discerning the web of forces affecting situations and events. Bennett examines the political and theoretical implications of vital materialism through extended discussions of commonplace things and physical phenomena including stem cells, fish oils, electricity, metal, and trash. She reflects on the vital power of material formations such as landfills, which generate lively streams of chemicals, and omega-3 fatty acids, which can transform brain chemistry and mood. Along the way, she engages with the concepts and claims of Spinoza, Nietzsche, Thoreau, Darwin, Adorno, and Deleuze, disclosing a long history of thinking about vibrant matter in Western philosophy, including attempts by Kant, Bergson, and the embryologist Hans Driesch to name the \"vital force\" inherent in material forms. Bennett concludes by sketching the contours of a \"green materialist\" ecophilosophy\"--Publisher's description. The force of things -- The agency of assemblages -- Edible matter -- A life of metal -- Neither vitalism nor mechanism -- Stem cells and the culture of life -- Political ecologies -- Vitality and self-interest.","author":[{"dropping-particle":"","family":"Bennett","given":"Jane","non-dropping-particle":"","parse-names":false,"suffix":""}],"id":"ITEM-1","issued":{"date-parts":[["2010"]]},"number-of-pages":"176","publisher":"Duke University Press","title":"Vibrant matter : a political ecology of things","type":"book"},"uris":["http://www.mendeley.com/documents/?uuid=35ecb90a-8a04-3a40-8502-6782630bb72f"]},{"id":"ITEM-2","itemData":{"DOI":"10.1068/a46138","ISSN":"0308-518X","abstract":"Political ecology has had a long connection with materials, going back to some of its canonical concerns. Yet materials are rendered inert with no capacity to mobilize political action. Further, the influence of matter in wider ecologies of human–animal cohabitation is poorly acknowledged. This paper examines the role of materials in mediating people's relationships with elephants in rural northeast India. Drawing upon ethnographic research and ethological studies of elephants, the paper shows that human–elephant conflict is not simply a linear outcome of interactions between elephants and people. Materials, in this case alcohol, play a vital role. Alcohol binds people and elephants in unforeseen ways. The sociopolitical outcomes alcohol generates have deep impacts on the livelihoods of the rural poor and the well-being of elephants. This examination of social and political life through concerted interactions between humans, animals, and materials ecologizes politics, making it more attuned to the more-th...","author":[{"dropping-particle":"","family":"Barua","given":"Maan","non-dropping-particle":"","parse-names":false,"suffix":""}],"container-title":"Environment and Planning A","id":"ITEM-2","issue":"6","issued":{"date-parts":[["2014","6","1"]]},"page":"1462-1478","publisher":"SAGE PublicationsSage UK: London, England","title":"Volatile Ecologies: Towards a Material Politics of Human—Animal Relations","type":"article-journal","volume":"46"},"uris":["http://www.mendeley.com/documents/?uuid=41624c7b-45fc-3cee-a577-8fddf0d65969"]},{"id":"ITEM-3","itemData":{"DOI":"10.1177/0309132512439154","ISSN":"03091325","abstract":"The doing of material geographies within the subdiscipline of cultural geography has been inspired by Jane Bennett’s (2010) account of Vibrant Matter. This review follows the various trajectories in recently published research in the field of material geographies and argues that scholars should aim to embrace the call of matter to think politically and beyond the surface. The review argues that there is a risk of doing ‘surface geographies’ where research reflects matters at play rather than evaluate the interconnectivity and co-constitution of materialities and their geographies.","author":[{"dropping-particle":"","family":"Tolia-Kelly","given":"Divya P.","non-dropping-particle":"","parse-names":false,"suffix":""}],"container-title":"Progress in Human Geography","id":"ITEM-3","issue":"1","issued":{"date-parts":[["2013"]]},"page":"153-160","title":"The geographies of cultural geography III: Material geographies, vibrant matters and risking surface geographies","type":"article-journal","volume":"37"},"uris":["http://www.mendeley.com/documents/?uuid=ab52d5a8-1d4d-3717-b25e-0a4a13cd3b5e"]},{"id":"ITEM-4","itemData":{"DOI":"10.1080/00045608.2010.538323","ISSN":"1467-8306","author":[{"dropping-particle":"","family":"Sundberg","given":"Juanita","non-dropping-particle":"","parse-names":false,"suffix":""}],"container-title":"Annals of the Association of American Geographers","id":"ITEM-4","issue":"2","issued":{"date-parts":[["2011"]]},"page":"318-336","title":"Diabolic Caminos in the Desert and Cat Fights on the Río: A Posthumanist Political Ecology of Boundary Enforcement in the United States-Mexico Borderlands","type":"article-journal","volume":"101"},"uris":["http://www.mendeley.com/documents/?uuid=87d9fcca-b3b4-33ea-a05b-75f0deb6179a"]},{"id":"ITEM-5","itemData":{"DOI":"10.1080/14788810.2019.1666646","ISSN":"1478-8810","author":[{"dropping-particle":"","family":"Banoub","given":"Daniel","non-dropping-particle":"","parse-names":false,"suffix":""}],"container-title":"Atlantic Studies","id":"ITEM-5","issued":{"date-parts":[["2019"]]},"page":"1-17","title":"Black Monday, 1894: Saltfish, credit, and the ecology of politics in Newfoundland","type":"article-journal"},"uris":["http://www.mendeley.com/documents/?uuid=50e3ac86-1506-3352-8641-1ee4668ef9ad"]}],"mendeley":{"formattedCitation":"(Bennett, 2010; Sundberg, 2011; Tolia-Kelly, 2013; Barua, 2014; Banoub, 2019)","plainTextFormattedCitation":"(Bennett, 2010; Sundberg, 2011; Tolia-Kelly, 2013; Barua, 2014; Banoub, 2019)","previouslyFormattedCitation":"(Bennett, 2010; Sundberg, 2011; Tolia-Kelly, 2013; Barua, 2014; Banoub, 2019)"},"properties":{"noteIndex":0},"schema":"https://github.com/citation-style-language/schema/raw/master/csl-citation.json"}</w:instrText>
      </w:r>
      <w:r w:rsidR="00FB084D">
        <w:rPr>
          <w:rFonts w:cs="Times New Roman"/>
          <w:color w:val="000000"/>
          <w:sz w:val="22"/>
        </w:rPr>
        <w:fldChar w:fldCharType="separate"/>
      </w:r>
      <w:r w:rsidR="00FB084D" w:rsidRPr="00FB084D">
        <w:rPr>
          <w:rFonts w:cs="Times New Roman"/>
          <w:noProof/>
          <w:color w:val="000000"/>
          <w:sz w:val="22"/>
        </w:rPr>
        <w:t>(Bennett, 2010; Sundberg, 2011; Tolia-Kelly, 2013; Barua, 2014; Banoub, 2019)</w:t>
      </w:r>
      <w:r w:rsidR="00FB084D">
        <w:rPr>
          <w:rFonts w:cs="Times New Roman"/>
          <w:color w:val="000000"/>
          <w:sz w:val="22"/>
        </w:rPr>
        <w:fldChar w:fldCharType="end"/>
      </w:r>
      <w:r w:rsidR="00243877">
        <w:rPr>
          <w:rFonts w:cs="Times New Roman"/>
          <w:color w:val="000000"/>
          <w:sz w:val="22"/>
        </w:rPr>
        <w:t>, in order to demonstrate how nonhuman actors are “co-constitutive of their sites, geographies and spaces” (</w:t>
      </w:r>
      <w:r w:rsidR="00243877" w:rsidRPr="009730F5">
        <w:rPr>
          <w:rFonts w:cs="Times New Roman"/>
          <w:color w:val="000000"/>
          <w:sz w:val="22"/>
        </w:rPr>
        <w:t>Tolia-Kelly, 2013:154</w:t>
      </w:r>
      <w:r w:rsidR="00243877">
        <w:rPr>
          <w:rFonts w:cs="Times New Roman"/>
          <w:color w:val="000000"/>
          <w:sz w:val="22"/>
        </w:rPr>
        <w:t xml:space="preserve">). </w:t>
      </w:r>
      <w:r w:rsidR="00347EC1">
        <w:rPr>
          <w:rFonts w:cs="Times New Roman"/>
          <w:color w:val="000000"/>
          <w:sz w:val="22"/>
        </w:rPr>
        <w:t>T</w:t>
      </w:r>
      <w:r w:rsidR="00243877">
        <w:rPr>
          <w:rFonts w:cs="Times New Roman"/>
          <w:color w:val="000000"/>
          <w:sz w:val="22"/>
        </w:rPr>
        <w:t>he discussion in this chapter builds upon these literatures in order to s</w:t>
      </w:r>
      <w:r w:rsidR="00347EC1">
        <w:rPr>
          <w:rFonts w:cs="Times New Roman"/>
          <w:color w:val="000000"/>
          <w:sz w:val="22"/>
        </w:rPr>
        <w:t>hed new light on the materiality of caviar</w:t>
      </w:r>
      <w:r w:rsidR="00243877">
        <w:rPr>
          <w:rFonts w:cs="Times New Roman"/>
          <w:color w:val="000000"/>
          <w:sz w:val="22"/>
        </w:rPr>
        <w:t xml:space="preserve"> and its role in the geopolitical ecologies of caviar trade in the EU. </w:t>
      </w:r>
    </w:p>
    <w:p w14:paraId="1F648C28" w14:textId="3E36E7DC" w:rsidR="00B97063" w:rsidRPr="00A37841" w:rsidRDefault="00B97063" w:rsidP="00B97063">
      <w:pPr>
        <w:ind w:firstLine="360"/>
        <w:rPr>
          <w:rFonts w:cs="Times New Roman"/>
          <w:color w:val="000000"/>
          <w:sz w:val="22"/>
        </w:rPr>
      </w:pPr>
      <w:r w:rsidRPr="009730F5">
        <w:rPr>
          <w:rFonts w:cs="Times New Roman"/>
          <w:color w:val="000000"/>
          <w:sz w:val="22"/>
        </w:rPr>
        <w:t xml:space="preserve">To contribute to the main arguments of the thesis I have continued to focus upon the </w:t>
      </w:r>
      <w:r w:rsidR="00073D37">
        <w:rPr>
          <w:rFonts w:cs="Times New Roman"/>
          <w:color w:val="000000"/>
          <w:sz w:val="22"/>
        </w:rPr>
        <w:t xml:space="preserve">unintended </w:t>
      </w:r>
      <w:r w:rsidR="00243877">
        <w:rPr>
          <w:rFonts w:cs="Times New Roman"/>
          <w:color w:val="000000"/>
          <w:sz w:val="22"/>
        </w:rPr>
        <w:t xml:space="preserve">implications </w:t>
      </w:r>
      <w:r w:rsidRPr="009730F5">
        <w:rPr>
          <w:rFonts w:cs="Times New Roman"/>
          <w:color w:val="000000"/>
          <w:sz w:val="22"/>
        </w:rPr>
        <w:t xml:space="preserve">of </w:t>
      </w:r>
      <w:r>
        <w:rPr>
          <w:rFonts w:cs="Times New Roman"/>
          <w:color w:val="000000"/>
          <w:sz w:val="22"/>
        </w:rPr>
        <w:t xml:space="preserve">caviar trade regulations in the EU. </w:t>
      </w:r>
      <w:r w:rsidRPr="009730F5">
        <w:rPr>
          <w:rFonts w:cs="Times New Roman"/>
          <w:color w:val="000000"/>
          <w:sz w:val="22"/>
        </w:rPr>
        <w:t xml:space="preserve">In respect of this, I have argued that regulations designed to </w:t>
      </w:r>
      <w:r>
        <w:rPr>
          <w:rFonts w:cs="Times New Roman"/>
          <w:color w:val="000000"/>
          <w:sz w:val="22"/>
        </w:rPr>
        <w:t>enable one type of caviar trade</w:t>
      </w:r>
      <w:r w:rsidRPr="009730F5">
        <w:rPr>
          <w:rFonts w:cs="Times New Roman"/>
          <w:color w:val="000000"/>
          <w:sz w:val="22"/>
        </w:rPr>
        <w:t xml:space="preserve"> whilst restricting another, have produced </w:t>
      </w:r>
      <w:r w:rsidR="00243877">
        <w:rPr>
          <w:rFonts w:cs="Times New Roman"/>
          <w:color w:val="000000"/>
          <w:sz w:val="22"/>
        </w:rPr>
        <w:t>loopholes</w:t>
      </w:r>
      <w:r w:rsidRPr="009730F5">
        <w:rPr>
          <w:rFonts w:cs="Times New Roman"/>
          <w:color w:val="000000"/>
          <w:sz w:val="22"/>
        </w:rPr>
        <w:t xml:space="preserve"> for illicit </w:t>
      </w:r>
      <w:r w:rsidR="00073D37">
        <w:rPr>
          <w:rFonts w:cs="Times New Roman"/>
          <w:color w:val="000000"/>
          <w:sz w:val="22"/>
        </w:rPr>
        <w:t xml:space="preserve">caviar </w:t>
      </w:r>
      <w:r w:rsidRPr="009730F5">
        <w:rPr>
          <w:rFonts w:cs="Times New Roman"/>
          <w:color w:val="000000"/>
          <w:sz w:val="22"/>
        </w:rPr>
        <w:t xml:space="preserve">trade to </w:t>
      </w:r>
      <w:r w:rsidR="00243877">
        <w:rPr>
          <w:rFonts w:cs="Times New Roman"/>
          <w:color w:val="000000"/>
          <w:sz w:val="22"/>
        </w:rPr>
        <w:t>transform and flourish within ostensibly legal markets</w:t>
      </w:r>
      <w:r w:rsidRPr="009730F5">
        <w:rPr>
          <w:rFonts w:cs="Times New Roman"/>
          <w:color w:val="000000"/>
          <w:sz w:val="22"/>
        </w:rPr>
        <w:t>. Developing this line of argument further I make the case that the elusive mate</w:t>
      </w:r>
      <w:r w:rsidR="00243877">
        <w:rPr>
          <w:rFonts w:cs="Times New Roman"/>
          <w:color w:val="000000"/>
          <w:sz w:val="22"/>
        </w:rPr>
        <w:t>rial properties of caviar have interacted</w:t>
      </w:r>
      <w:r w:rsidRPr="009730F5">
        <w:rPr>
          <w:rFonts w:cs="Times New Roman"/>
          <w:color w:val="000000"/>
          <w:sz w:val="22"/>
        </w:rPr>
        <w:t xml:space="preserve"> with these loopholes in the re</w:t>
      </w:r>
      <w:r>
        <w:rPr>
          <w:rFonts w:cs="Times New Roman"/>
          <w:color w:val="000000"/>
          <w:sz w:val="22"/>
        </w:rPr>
        <w:t>gulatory framework</w:t>
      </w:r>
      <w:r w:rsidR="00243877">
        <w:rPr>
          <w:rFonts w:cs="Times New Roman"/>
          <w:color w:val="000000"/>
          <w:sz w:val="22"/>
        </w:rPr>
        <w:t>s</w:t>
      </w:r>
      <w:r>
        <w:rPr>
          <w:rFonts w:cs="Times New Roman"/>
          <w:color w:val="000000"/>
          <w:sz w:val="22"/>
        </w:rPr>
        <w:t xml:space="preserve"> to create a grey market</w:t>
      </w:r>
      <w:r w:rsidRPr="009730F5">
        <w:rPr>
          <w:rFonts w:cs="Times New Roman"/>
          <w:color w:val="000000"/>
          <w:sz w:val="22"/>
        </w:rPr>
        <w:t xml:space="preserve"> for caviar, which in practical t</w:t>
      </w:r>
      <w:r w:rsidR="00073D37">
        <w:rPr>
          <w:rFonts w:cs="Times New Roman"/>
          <w:color w:val="000000"/>
          <w:sz w:val="22"/>
        </w:rPr>
        <w:t>erms,</w:t>
      </w:r>
      <w:r w:rsidRPr="009730F5">
        <w:rPr>
          <w:rFonts w:cs="Times New Roman"/>
          <w:color w:val="000000"/>
          <w:sz w:val="22"/>
        </w:rPr>
        <w:t xml:space="preserve"> intertwines the legal and illegal markets together. Using MacKenzie and Yates’ (2017) framework for identifying the aspe</w:t>
      </w:r>
      <w:r>
        <w:rPr>
          <w:rFonts w:cs="Times New Roman"/>
          <w:color w:val="000000"/>
          <w:sz w:val="22"/>
        </w:rPr>
        <w:t>cts of ‘greyness’ that produce grey markets</w:t>
      </w:r>
      <w:r w:rsidRPr="009730F5">
        <w:rPr>
          <w:rFonts w:cs="Times New Roman"/>
          <w:color w:val="000000"/>
          <w:sz w:val="22"/>
        </w:rPr>
        <w:t>, I illustrate how the</w:t>
      </w:r>
      <w:r>
        <w:rPr>
          <w:rFonts w:cs="Times New Roman"/>
          <w:color w:val="000000"/>
          <w:sz w:val="22"/>
        </w:rPr>
        <w:t xml:space="preserve"> characteristics of the caviar grey market in the EU </w:t>
      </w:r>
      <w:r w:rsidRPr="009730F5">
        <w:rPr>
          <w:rFonts w:cs="Times New Roman"/>
          <w:color w:val="000000"/>
          <w:sz w:val="22"/>
        </w:rPr>
        <w:t xml:space="preserve">are </w:t>
      </w:r>
      <w:r w:rsidR="00243877">
        <w:rPr>
          <w:rFonts w:cs="Times New Roman"/>
          <w:color w:val="000000"/>
          <w:sz w:val="22"/>
        </w:rPr>
        <w:t xml:space="preserve">indelibly </w:t>
      </w:r>
      <w:r w:rsidRPr="009730F5">
        <w:rPr>
          <w:rFonts w:cs="Times New Roman"/>
          <w:color w:val="000000"/>
          <w:sz w:val="22"/>
        </w:rPr>
        <w:t>shaped by the indecipherable material properties of caviar. </w:t>
      </w:r>
      <w:r w:rsidR="00073D37">
        <w:rPr>
          <w:rFonts w:cs="Times New Roman"/>
          <w:color w:val="000000"/>
          <w:sz w:val="22"/>
        </w:rPr>
        <w:t>To this extent, I show that the development of the grey caviar market in the EU is an unintended consequence of loopholes in the regulatory frameworks.</w:t>
      </w:r>
    </w:p>
    <w:p w14:paraId="6F61AE86" w14:textId="271E4397" w:rsidR="00B97063" w:rsidRPr="00073D37" w:rsidRDefault="00B97063" w:rsidP="00073D37">
      <w:pPr>
        <w:ind w:firstLine="360"/>
        <w:rPr>
          <w:rFonts w:cs="Times New Roman"/>
          <w:color w:val="000000"/>
          <w:sz w:val="22"/>
        </w:rPr>
      </w:pPr>
      <w:r w:rsidRPr="009730F5">
        <w:rPr>
          <w:rFonts w:cs="Times New Roman"/>
          <w:color w:val="000000"/>
          <w:sz w:val="22"/>
        </w:rPr>
        <w:t>I also make the argument t</w:t>
      </w:r>
      <w:r w:rsidR="00073D37">
        <w:rPr>
          <w:rFonts w:cs="Times New Roman"/>
          <w:color w:val="000000"/>
          <w:sz w:val="22"/>
        </w:rPr>
        <w:t>hat in</w:t>
      </w:r>
      <w:r>
        <w:rPr>
          <w:rFonts w:cs="Times New Roman"/>
          <w:color w:val="000000"/>
          <w:sz w:val="22"/>
        </w:rPr>
        <w:t xml:space="preserve"> the case of the caviar grey market</w:t>
      </w:r>
      <w:r w:rsidRPr="009730F5">
        <w:rPr>
          <w:rFonts w:cs="Times New Roman"/>
          <w:color w:val="000000"/>
          <w:sz w:val="22"/>
        </w:rPr>
        <w:t>, MacKenzie and Yates’ (2017) distinctions of greyness need</w:t>
      </w:r>
      <w:r w:rsidR="00347EC1">
        <w:rPr>
          <w:rFonts w:cs="Times New Roman"/>
          <w:color w:val="000000"/>
          <w:sz w:val="22"/>
        </w:rPr>
        <w:t>s</w:t>
      </w:r>
      <w:r w:rsidRPr="009730F5">
        <w:rPr>
          <w:rFonts w:cs="Times New Roman"/>
          <w:color w:val="000000"/>
          <w:sz w:val="22"/>
        </w:rPr>
        <w:t xml:space="preserve"> to be expanded to give space for con</w:t>
      </w:r>
      <w:r>
        <w:rPr>
          <w:rFonts w:cs="Times New Roman"/>
          <w:color w:val="000000"/>
          <w:sz w:val="22"/>
        </w:rPr>
        <w:t xml:space="preserve">sidering the active role of </w:t>
      </w:r>
      <w:r w:rsidRPr="009730F5">
        <w:rPr>
          <w:rFonts w:cs="Times New Roman"/>
          <w:color w:val="000000"/>
          <w:sz w:val="22"/>
        </w:rPr>
        <w:t>caviar itself in shaping how the grey market</w:t>
      </w:r>
      <w:r>
        <w:rPr>
          <w:rFonts w:cs="Times New Roman"/>
          <w:color w:val="000000"/>
          <w:sz w:val="22"/>
        </w:rPr>
        <w:t xml:space="preserve"> emerges</w:t>
      </w:r>
      <w:r w:rsidRPr="009730F5">
        <w:rPr>
          <w:rFonts w:cs="Times New Roman"/>
          <w:color w:val="000000"/>
          <w:sz w:val="22"/>
        </w:rPr>
        <w:t xml:space="preserve"> and functions. This therefore entails theorising ‘greyness’ from a more-than-human perspective, and necessitates conceptualising of non-human objects and entities as having </w:t>
      </w:r>
      <w:r w:rsidR="00073D37">
        <w:rPr>
          <w:rFonts w:cs="Times New Roman"/>
          <w:color w:val="000000"/>
          <w:sz w:val="22"/>
        </w:rPr>
        <w:t xml:space="preserve">“properties, energies, and potentialities” (Sundberg, 2011: 318) that exert an influence on the geographies and politics that they are situated in </w:t>
      </w:r>
      <w:r w:rsidR="00073D37">
        <w:rPr>
          <w:rFonts w:cs="Times New Roman"/>
          <w:color w:val="000000"/>
          <w:sz w:val="22"/>
        </w:rPr>
        <w:fldChar w:fldCharType="begin" w:fldLock="1"/>
      </w:r>
      <w:r w:rsidR="00D92BB1">
        <w:rPr>
          <w:rFonts w:cs="Times New Roman"/>
          <w:color w:val="000000"/>
          <w:sz w:val="22"/>
        </w:rPr>
        <w:instrText>ADDIN CSL_CITATION {"citationItems":[{"id":"ITEM-1","itemData":{"DOI":"10.1080/14788810.2019.1666646","ISSN":"1478-8810","author":[{"dropping-particle":"","family":"Banoub","given":"Daniel","non-dropping-particle":"","parse-names":false,"suffix":""}],"container-title":"Atlantic Studies","id":"ITEM-1","issued":{"date-parts":[["2019"]]},"page":"1-17","title":"Black Monday, 1894: Saltfish, credit, and the ecology of politics in Newfoundland","type":"article-journal"},"uris":["http://www.mendeley.com/documents/?uuid=50e3ac86-1506-3352-8641-1ee4668ef9ad"]}],"mendeley":{"formattedCitation":"(Banoub, 2019)","plainTextFormattedCitation":"(Banoub, 2019)","previouslyFormattedCitation":"(Banoub, 2019)"},"properties":{"noteIndex":0},"schema":"https://github.com/citation-style-language/schema/raw/master/csl-citation.json"}</w:instrText>
      </w:r>
      <w:r w:rsidR="00073D37">
        <w:rPr>
          <w:rFonts w:cs="Times New Roman"/>
          <w:color w:val="000000"/>
          <w:sz w:val="22"/>
        </w:rPr>
        <w:fldChar w:fldCharType="separate"/>
      </w:r>
      <w:r w:rsidR="00073D37" w:rsidRPr="00073D37">
        <w:rPr>
          <w:rFonts w:cs="Times New Roman"/>
          <w:noProof/>
          <w:color w:val="000000"/>
          <w:sz w:val="22"/>
        </w:rPr>
        <w:t>(Banoub, 2019)</w:t>
      </w:r>
      <w:r w:rsidR="00073D37">
        <w:rPr>
          <w:rFonts w:cs="Times New Roman"/>
          <w:color w:val="000000"/>
          <w:sz w:val="22"/>
        </w:rPr>
        <w:fldChar w:fldCharType="end"/>
      </w:r>
      <w:r w:rsidRPr="009730F5">
        <w:rPr>
          <w:rFonts w:cs="Times New Roman"/>
          <w:color w:val="000000"/>
          <w:sz w:val="22"/>
        </w:rPr>
        <w:t xml:space="preserve">. </w:t>
      </w:r>
      <w:r>
        <w:rPr>
          <w:rFonts w:cs="Times New Roman"/>
          <w:color w:val="000000"/>
          <w:sz w:val="22"/>
        </w:rPr>
        <w:t>T</w:t>
      </w:r>
      <w:r w:rsidRPr="009730F5">
        <w:rPr>
          <w:rFonts w:cs="Times New Roman"/>
          <w:color w:val="000000"/>
          <w:sz w:val="22"/>
        </w:rPr>
        <w:t>his again calls t</w:t>
      </w:r>
      <w:r>
        <w:rPr>
          <w:rFonts w:cs="Times New Roman"/>
          <w:color w:val="000000"/>
          <w:sz w:val="22"/>
        </w:rPr>
        <w:t>o the fore the importance of caviar’s micropolitical</w:t>
      </w:r>
      <w:r w:rsidRPr="009730F5">
        <w:rPr>
          <w:rFonts w:cs="Times New Roman"/>
          <w:color w:val="000000"/>
          <w:sz w:val="22"/>
        </w:rPr>
        <w:t xml:space="preserve"> material</w:t>
      </w:r>
      <w:r>
        <w:rPr>
          <w:rFonts w:cs="Times New Roman"/>
          <w:color w:val="000000"/>
          <w:sz w:val="22"/>
        </w:rPr>
        <w:t xml:space="preserve"> properties; and how these properties are instrumental in </w:t>
      </w:r>
      <w:r w:rsidR="00073D37">
        <w:rPr>
          <w:rFonts w:cs="Times New Roman"/>
          <w:color w:val="000000"/>
          <w:sz w:val="22"/>
        </w:rPr>
        <w:t>co-</w:t>
      </w:r>
      <w:r>
        <w:rPr>
          <w:rFonts w:cs="Times New Roman"/>
          <w:color w:val="000000"/>
          <w:sz w:val="22"/>
        </w:rPr>
        <w:t>producing macropolitical phenomena such as the caviar grey market, which in turn has geopolitical and ecological impacts</w:t>
      </w:r>
      <w:r w:rsidRPr="009730F5">
        <w:rPr>
          <w:rFonts w:cs="Times New Roman"/>
          <w:color w:val="000000"/>
          <w:sz w:val="22"/>
        </w:rPr>
        <w:t>. </w:t>
      </w:r>
    </w:p>
    <w:p w14:paraId="11713C46" w14:textId="5565A5D1" w:rsidR="00B97063" w:rsidRPr="00D92BB1" w:rsidRDefault="00B97063" w:rsidP="00D92BB1">
      <w:pPr>
        <w:ind w:firstLine="360"/>
        <w:rPr>
          <w:rFonts w:cs="Times New Roman"/>
          <w:color w:val="000000"/>
          <w:sz w:val="22"/>
        </w:rPr>
      </w:pPr>
      <w:r w:rsidRPr="009730F5">
        <w:rPr>
          <w:rFonts w:cs="Times New Roman"/>
          <w:color w:val="000000"/>
          <w:sz w:val="22"/>
        </w:rPr>
        <w:t>Finally, I contend that a more-than-human framework for theorising ‘grey markets’ can open up avenues for thinking more broadly about other forms of illegal wildlife trade that take place at the interface between legal and illegal markets. Currently such forms of illegal wildlife trade are not typically co</w:t>
      </w:r>
      <w:r>
        <w:rPr>
          <w:rFonts w:cs="Times New Roman"/>
          <w:color w:val="000000"/>
          <w:sz w:val="22"/>
        </w:rPr>
        <w:t xml:space="preserve">nceptualised as </w:t>
      </w:r>
      <w:r w:rsidRPr="009730F5">
        <w:rPr>
          <w:rFonts w:cs="Times New Roman"/>
          <w:color w:val="000000"/>
          <w:sz w:val="22"/>
        </w:rPr>
        <w:t xml:space="preserve">grey </w:t>
      </w:r>
      <w:r>
        <w:rPr>
          <w:rFonts w:cs="Times New Roman"/>
          <w:color w:val="000000"/>
          <w:sz w:val="22"/>
        </w:rPr>
        <w:t xml:space="preserve">markets, but I argue that the grey market </w:t>
      </w:r>
      <w:r w:rsidRPr="009730F5">
        <w:rPr>
          <w:rFonts w:cs="Times New Roman"/>
          <w:color w:val="000000"/>
          <w:sz w:val="22"/>
        </w:rPr>
        <w:t xml:space="preserve">framework can be widely applicable to other forms of illicit wildlife trade beyond caviar. In particular, an expanded version of this </w:t>
      </w:r>
      <w:r w:rsidR="00D92BB1">
        <w:rPr>
          <w:rFonts w:cs="Times New Roman"/>
          <w:color w:val="000000"/>
          <w:sz w:val="22"/>
        </w:rPr>
        <w:t xml:space="preserve">‘grey market’ </w:t>
      </w:r>
      <w:r w:rsidRPr="009730F5">
        <w:rPr>
          <w:rFonts w:cs="Times New Roman"/>
          <w:color w:val="000000"/>
          <w:sz w:val="22"/>
        </w:rPr>
        <w:t xml:space="preserve">framework </w:t>
      </w:r>
      <w:r w:rsidR="00D92BB1">
        <w:rPr>
          <w:rFonts w:cs="Times New Roman"/>
          <w:color w:val="000000"/>
          <w:sz w:val="22"/>
        </w:rPr>
        <w:t xml:space="preserve">which aligns with more-than-human geopolitical ecology’s interest in the political affordances of nonhuman animals and objects, </w:t>
      </w:r>
      <w:r w:rsidRPr="009730F5">
        <w:rPr>
          <w:rFonts w:cs="Times New Roman"/>
          <w:color w:val="000000"/>
          <w:sz w:val="22"/>
        </w:rPr>
        <w:t>can add mo</w:t>
      </w:r>
      <w:r>
        <w:rPr>
          <w:rFonts w:cs="Times New Roman"/>
          <w:color w:val="000000"/>
          <w:sz w:val="22"/>
        </w:rPr>
        <w:t xml:space="preserve">re nuance to understandings of </w:t>
      </w:r>
      <w:r>
        <w:rPr>
          <w:rFonts w:cs="Times New Roman"/>
          <w:color w:val="000000"/>
          <w:sz w:val="22"/>
        </w:rPr>
        <w:lastRenderedPageBreak/>
        <w:t>grey markets</w:t>
      </w:r>
      <w:r w:rsidRPr="009730F5">
        <w:rPr>
          <w:rFonts w:cs="Times New Roman"/>
          <w:color w:val="000000"/>
          <w:sz w:val="22"/>
        </w:rPr>
        <w:t xml:space="preserve">; as well as providing new ways of explaining the </w:t>
      </w:r>
      <w:r w:rsidR="00D92BB1">
        <w:rPr>
          <w:rFonts w:cs="Times New Roman"/>
          <w:color w:val="000000"/>
          <w:sz w:val="22"/>
        </w:rPr>
        <w:t xml:space="preserve">more-than-human </w:t>
      </w:r>
      <w:r w:rsidRPr="009730F5">
        <w:rPr>
          <w:rFonts w:cs="Times New Roman"/>
          <w:color w:val="000000"/>
          <w:sz w:val="22"/>
        </w:rPr>
        <w:t>mechanisms by which illicit market</w:t>
      </w:r>
      <w:r w:rsidR="00D92BB1">
        <w:rPr>
          <w:rFonts w:cs="Times New Roman"/>
          <w:color w:val="000000"/>
          <w:sz w:val="22"/>
        </w:rPr>
        <w:t xml:space="preserve">s for wildlife come into being </w:t>
      </w:r>
      <w:r w:rsidRPr="009730F5">
        <w:rPr>
          <w:rFonts w:cs="Times New Roman"/>
          <w:color w:val="000000"/>
          <w:sz w:val="22"/>
        </w:rPr>
        <w:t>and function.</w:t>
      </w:r>
    </w:p>
    <w:p w14:paraId="4FF856AD" w14:textId="52EFC9E5" w:rsidR="00763270" w:rsidRDefault="00B97063" w:rsidP="00D92BB1">
      <w:pPr>
        <w:ind w:firstLine="360"/>
        <w:rPr>
          <w:rFonts w:cs="Times New Roman"/>
          <w:color w:val="000000"/>
          <w:sz w:val="22"/>
        </w:rPr>
      </w:pPr>
      <w:r w:rsidRPr="009730F5">
        <w:rPr>
          <w:rFonts w:cs="Times New Roman"/>
          <w:color w:val="000000"/>
          <w:sz w:val="22"/>
        </w:rPr>
        <w:t>In sum, the chapter engages with the materiality of caviar to demonstrate how its micropolitical material potentials have macropolitical implications</w:t>
      </w:r>
      <w:r w:rsidR="00D92BB1">
        <w:rPr>
          <w:rFonts w:cs="Times New Roman"/>
          <w:color w:val="000000"/>
          <w:sz w:val="22"/>
        </w:rPr>
        <w:t xml:space="preserve"> </w:t>
      </w:r>
      <w:r w:rsidR="00D92BB1">
        <w:rPr>
          <w:rFonts w:cs="Times New Roman"/>
          <w:color w:val="000000"/>
          <w:sz w:val="22"/>
        </w:rPr>
        <w:fldChar w:fldCharType="begin" w:fldLock="1"/>
      </w:r>
      <w:r w:rsidR="00967992">
        <w:rPr>
          <w:rFonts w:cs="Times New Roman"/>
          <w:color w:val="000000"/>
          <w:sz w:val="22"/>
        </w:rPr>
        <w:instrText>ADDIN CSL_CITATION {"citationItems":[{"id":"ITEM-1","itemData":{"DOI":"10.1068/a46138","ISSN":"0308-518X","abstract":"Political ecology has had a long connection with materials, going back to some of its canonical concerns. Yet materials are rendered inert with no capacity to mobilize political action. Further, the influence of matter in wider ecologies of human–animal cohabitation is poorly acknowledged. This paper examines the role of materials in mediating people's relationships with elephants in rural northeast India. Drawing upon ethnographic research and ethological studies of elephants, the paper shows that human–elephant conflict is not simply a linear outcome of interactions between elephants and people. Materials, in this case alcohol, play a vital role. Alcohol binds people and elephants in unforeseen ways. The sociopolitical outcomes alcohol generates have deep impacts on the livelihoods of the rural poor and the well-being of elephants. This examination of social and political life through concerted interactions between humans, animals, and materials ecologizes politics, making it more attuned to the more-th...","author":[{"dropping-particle":"","family":"Barua","given":"Maan","non-dropping-particle":"","parse-names":false,"suffix":""}],"container-title":"Environment and Planning A","id":"ITEM-1","issue":"6","issued":{"date-parts":[["2014","6","1"]]},"page":"1462-1478","publisher":"SAGE PublicationsSage UK: London, England","title":"Volatile Ecologies: Towards a Material Politics of Human—Animal Relations","type":"article-journal","volume":"46"},"uris":["http://www.mendeley.com/documents/?uuid=41624c7b-45fc-3cee-a577-8fddf0d65969"]}],"mendeley":{"formattedCitation":"(Barua, 2014)","plainTextFormattedCitation":"(Barua, 2014)","previouslyFormattedCitation":"(Barua, 2014)"},"properties":{"noteIndex":0},"schema":"https://github.com/citation-style-language/schema/raw/master/csl-citation.json"}</w:instrText>
      </w:r>
      <w:r w:rsidR="00D92BB1">
        <w:rPr>
          <w:rFonts w:cs="Times New Roman"/>
          <w:color w:val="000000"/>
          <w:sz w:val="22"/>
        </w:rPr>
        <w:fldChar w:fldCharType="separate"/>
      </w:r>
      <w:r w:rsidR="00D92BB1" w:rsidRPr="00D92BB1">
        <w:rPr>
          <w:rFonts w:cs="Times New Roman"/>
          <w:noProof/>
          <w:color w:val="000000"/>
          <w:sz w:val="22"/>
        </w:rPr>
        <w:t>(Barua, 2014)</w:t>
      </w:r>
      <w:r w:rsidR="00D92BB1">
        <w:rPr>
          <w:rFonts w:cs="Times New Roman"/>
          <w:color w:val="000000"/>
          <w:sz w:val="22"/>
        </w:rPr>
        <w:fldChar w:fldCharType="end"/>
      </w:r>
      <w:r w:rsidRPr="009730F5">
        <w:rPr>
          <w:rFonts w:cs="Times New Roman"/>
          <w:color w:val="000000"/>
          <w:sz w:val="22"/>
        </w:rPr>
        <w:t>. These macropolitical implica</w:t>
      </w:r>
      <w:r w:rsidR="00D92BB1">
        <w:rPr>
          <w:rFonts w:cs="Times New Roman"/>
          <w:color w:val="000000"/>
          <w:sz w:val="22"/>
        </w:rPr>
        <w:t>tions are a result of both the intrinsically ‘</w:t>
      </w:r>
      <w:r w:rsidRPr="009730F5">
        <w:rPr>
          <w:rFonts w:cs="Times New Roman"/>
          <w:color w:val="000000"/>
          <w:sz w:val="22"/>
        </w:rPr>
        <w:t xml:space="preserve">grey’ nature of caviar as a material, and also how human actors enrol this materiality in ‘grey’ ways. These varying expressions of ‘greyness’ - in the materiality of caviar and how it is </w:t>
      </w:r>
      <w:r w:rsidR="00D92BB1">
        <w:rPr>
          <w:rFonts w:cs="Times New Roman"/>
          <w:color w:val="000000"/>
          <w:sz w:val="22"/>
        </w:rPr>
        <w:t>employed</w:t>
      </w:r>
      <w:r w:rsidRPr="009730F5">
        <w:rPr>
          <w:rFonts w:cs="Times New Roman"/>
          <w:color w:val="000000"/>
          <w:sz w:val="22"/>
        </w:rPr>
        <w:t xml:space="preserve"> - ultimately culminate in the establishment of a grey caviar market</w:t>
      </w:r>
      <w:r>
        <w:rPr>
          <w:rFonts w:cs="Times New Roman"/>
          <w:color w:val="000000"/>
          <w:sz w:val="22"/>
        </w:rPr>
        <w:t xml:space="preserve"> in the EU</w:t>
      </w:r>
      <w:r w:rsidRPr="009730F5">
        <w:rPr>
          <w:rFonts w:cs="Times New Roman"/>
          <w:color w:val="000000"/>
          <w:sz w:val="22"/>
        </w:rPr>
        <w:t>. This grey caviar market is made up of a nu</w:t>
      </w:r>
      <w:r w:rsidR="00763270">
        <w:rPr>
          <w:rFonts w:cs="Times New Roman"/>
          <w:color w:val="000000"/>
          <w:sz w:val="22"/>
        </w:rPr>
        <w:t>mber of illicit activities, which</w:t>
      </w:r>
      <w:r w:rsidRPr="009730F5">
        <w:rPr>
          <w:rFonts w:cs="Times New Roman"/>
          <w:color w:val="000000"/>
          <w:sz w:val="22"/>
        </w:rPr>
        <w:t xml:space="preserve"> have emerged as a result of the loopholes that exist</w:t>
      </w:r>
      <w:r w:rsidR="00D92BB1">
        <w:rPr>
          <w:rFonts w:cs="Times New Roman"/>
          <w:color w:val="000000"/>
          <w:sz w:val="22"/>
        </w:rPr>
        <w:t xml:space="preserve"> in</w:t>
      </w:r>
      <w:r w:rsidR="00763270">
        <w:rPr>
          <w:rFonts w:cs="Times New Roman"/>
          <w:color w:val="000000"/>
          <w:sz w:val="22"/>
        </w:rPr>
        <w:t xml:space="preserve"> the regulatory frameworks when one form of trade is prohibited, whilst another is permitted. </w:t>
      </w:r>
    </w:p>
    <w:p w14:paraId="04E12833" w14:textId="77777777" w:rsidR="00763270" w:rsidRDefault="00763270" w:rsidP="00D92BB1">
      <w:pPr>
        <w:ind w:firstLine="360"/>
        <w:rPr>
          <w:rFonts w:cs="Times New Roman"/>
          <w:color w:val="000000"/>
          <w:sz w:val="22"/>
        </w:rPr>
      </w:pPr>
    </w:p>
    <w:p w14:paraId="107B81BB" w14:textId="77777777" w:rsidR="00C71FC3" w:rsidRDefault="00C71FC3">
      <w:pPr>
        <w:spacing w:line="259" w:lineRule="auto"/>
        <w:jc w:val="left"/>
        <w:rPr>
          <w:rFonts w:cs="Times New Roman"/>
          <w:color w:val="000000"/>
          <w:sz w:val="22"/>
        </w:rPr>
      </w:pPr>
      <w:r>
        <w:rPr>
          <w:rFonts w:cs="Times New Roman"/>
          <w:color w:val="000000"/>
          <w:sz w:val="22"/>
        </w:rPr>
        <w:br w:type="page"/>
      </w:r>
    </w:p>
    <w:p w14:paraId="60B3016A" w14:textId="17D7814D" w:rsidR="00C71FC3" w:rsidRDefault="00C71FC3" w:rsidP="00C71FC3">
      <w:pPr>
        <w:pStyle w:val="Heading1"/>
      </w:pPr>
      <w:bookmarkStart w:id="74" w:name="_Toc453224232"/>
      <w:r>
        <w:lastRenderedPageBreak/>
        <w:t xml:space="preserve">Chapter 6: </w:t>
      </w:r>
      <w:r w:rsidR="00967716">
        <w:t>Conserving sturgeon? The securitized politics of caviar production</w:t>
      </w:r>
      <w:bookmarkEnd w:id="74"/>
    </w:p>
    <w:p w14:paraId="4CC7C29F" w14:textId="77777777" w:rsidR="00967716" w:rsidRDefault="00967716" w:rsidP="00967716">
      <w:pPr>
        <w:pStyle w:val="Heading2"/>
      </w:pPr>
      <w:bookmarkStart w:id="75" w:name="_Toc453224233"/>
      <w:r w:rsidRPr="00D536C1">
        <w:t>6.0 Introduction</w:t>
      </w:r>
      <w:bookmarkEnd w:id="75"/>
    </w:p>
    <w:p w14:paraId="7355901B" w14:textId="77777777" w:rsidR="000D3466" w:rsidRDefault="00967716" w:rsidP="00967716">
      <w:pPr>
        <w:rPr>
          <w:rFonts w:cs="Times New Roman"/>
          <w:sz w:val="22"/>
        </w:rPr>
      </w:pPr>
      <w:r>
        <w:rPr>
          <w:rFonts w:cs="Times New Roman"/>
          <w:sz w:val="22"/>
        </w:rPr>
        <w:t>This chapter examines the political implications of securitizing farmed caviar production in the EU. I argue that the securitization of farmed caviar production is an overlooked geopolitical-ecological implication of the caviar trade regulations. In demonstrating this, I examine</w:t>
      </w:r>
      <w:r w:rsidR="00C73F1A">
        <w:rPr>
          <w:rFonts w:cs="Times New Roman"/>
          <w:sz w:val="22"/>
        </w:rPr>
        <w:t xml:space="preserve"> how</w:t>
      </w:r>
      <w:r>
        <w:rPr>
          <w:rFonts w:cs="Times New Roman"/>
          <w:sz w:val="22"/>
        </w:rPr>
        <w:t xml:space="preserve"> farmed caviar production has been promoted as a policy intervention and conservation strategy by CITES, the EU, EU Member State governments, and NGOs. This policy support has given rise to a powerful narrative that positions farmed caviar production as a conservation panacea for endangered wild sturgeon. However, I argue that this narrative is riddled with gaps; and in highlighting these absences, I cast doubt over the conservation benefit of farmed caviar production and show that this is a policy grey area. </w:t>
      </w:r>
    </w:p>
    <w:p w14:paraId="26821CF6" w14:textId="72591220" w:rsidR="00967716" w:rsidRDefault="00967716" w:rsidP="0091359C">
      <w:pPr>
        <w:ind w:firstLine="720"/>
        <w:rPr>
          <w:rFonts w:cs="Times New Roman"/>
          <w:sz w:val="22"/>
        </w:rPr>
      </w:pPr>
      <w:r>
        <w:rPr>
          <w:rFonts w:cs="Times New Roman"/>
          <w:sz w:val="22"/>
        </w:rPr>
        <w:t xml:space="preserve">Nevertheless, the omissions in the narrative have been largely overlooked, and this imperfect narrative has been put to political use. Indeed, I argue that the narrative has served as a ‘green pretext’ </w:t>
      </w:r>
      <w:r>
        <w:rPr>
          <w:rFonts w:cs="Times New Roman"/>
          <w:sz w:val="22"/>
        </w:rPr>
        <w:fldChar w:fldCharType="begin" w:fldLock="1"/>
      </w:r>
      <w:r>
        <w:rPr>
          <w:rFonts w:cs="Times New Roman"/>
          <w:sz w:val="22"/>
        </w:rPr>
        <w:instrText>ADDIN CSL_CITATION {"citationItems":[{"id":"ITEM-1","itemData":{"DOI":"10.1080/03066150.2012.658777","ISSN":"03066150","abstract":"While conflict-related dynamics are recognized as causes of land grabbing in Colombia, violent processes of exclusion and expropriation behind 'greener' projects are often seen as disconnected from them. The case of ecotourism in Tayrona National Natural Park makes it possible to explore the geographies of violence that sustain tourism in the area and their role in shaping everyday resource politics. This paper shows how green pretexts of paradisiacal spots in need of protection have contributed to privatization and dispossession. Furthermore, it details how land-grabbing dynamics have been enabled by processes of sociospatial demarcation that produce not-green-enough subjects as bodies-out-of-place. © 2012 Copyright Taylor and Francis Group, LLC.","author":[{"dropping-particle":"","family":"Ojeda","given":"Diana","non-dropping-particle":"","parse-names":false,"suffix":""}],"container-title":"Journal of Peasant Studies","id":"ITEM-1","issue":"2","issued":{"date-parts":[["2012"]]},"page":"357-375","title":"Green pretexts: Ecotourism, neoliberal conservation and land grabbing in Tayrona National Natural Park, Colombia","type":"article-journal","volume":"39"},"uris":["http://www.mendeley.com/documents/?uuid=ac841b65-b0fa-4085-8bce-3c2bdc1b4fb8"]}],"mendeley":{"formattedCitation":"(Ojeda, 2012)","plainTextFormattedCitation":"(Ojeda, 2012)","previouslyFormattedCitation":"(Ojeda, 2012)"},"properties":{"noteIndex":0},"schema":"https://github.com/citation-style-language/schema/raw/master/csl-citation.json"}</w:instrText>
      </w:r>
      <w:r>
        <w:rPr>
          <w:rFonts w:cs="Times New Roman"/>
          <w:sz w:val="22"/>
        </w:rPr>
        <w:fldChar w:fldCharType="separate"/>
      </w:r>
      <w:r w:rsidRPr="00D27CD8">
        <w:rPr>
          <w:rFonts w:cs="Times New Roman"/>
          <w:noProof/>
          <w:sz w:val="22"/>
        </w:rPr>
        <w:t>(Ojeda, 2012)</w:t>
      </w:r>
      <w:r>
        <w:rPr>
          <w:rFonts w:cs="Times New Roman"/>
          <w:sz w:val="22"/>
        </w:rPr>
        <w:fldChar w:fldCharType="end"/>
      </w:r>
      <w:r>
        <w:rPr>
          <w:rFonts w:cs="Times New Roman"/>
          <w:sz w:val="22"/>
        </w:rPr>
        <w:t xml:space="preserve"> to justify the on-going securitization of farmed caviar production in the EU. </w:t>
      </w:r>
      <w:r w:rsidR="000D3466">
        <w:rPr>
          <w:rFonts w:cs="Times New Roman"/>
          <w:sz w:val="22"/>
        </w:rPr>
        <w:t xml:space="preserve">Securitization refers to “the way that issues are described or remade as security threats” </w:t>
      </w:r>
      <w:r w:rsidR="000D3466">
        <w:rPr>
          <w:rFonts w:cs="Times New Roman"/>
          <w:sz w:val="22"/>
        </w:rPr>
        <w:fldChar w:fldCharType="begin" w:fldLock="1"/>
      </w:r>
      <w:r w:rsidR="000D3466">
        <w:rPr>
          <w:rFonts w:cs="Times New Roman"/>
          <w:sz w:val="22"/>
        </w:rPr>
        <w:instrText>ADDIN CSL_CITATION {"citationItems":[{"id":"ITEM-1","itemData":{"ISBN":"9781783476237","author":[{"dropping-particle":"","family":"Elliott","given":"Lorraine","non-dropping-particle":"","parse-names":false,"suffix":""}],"container-title":"Handbook of Transnational Environmental Crime","id":"ITEM-1","issued":{"date-parts":[["2016"]]},"page":"68-87","title":"The securitization of transnational environmental crime and the militarization of conservation","type":"article-journal"},"uris":["http://www.mendeley.com/documents/?uuid=adb082d6-3aa0-4d85-b4fd-91b6d4a8bb70"]}],"mendeley":{"formattedCitation":"(Elliott, 2016)","manualFormatting":"(Elliott, 2016: 69)","plainTextFormattedCitation":"(Elliott, 2016)","previouslyFormattedCitation":"(Elliott, 2016)"},"properties":{"noteIndex":0},"schema":"https://github.com/citation-style-language/schema/raw/master/csl-citation.json"}</w:instrText>
      </w:r>
      <w:r w:rsidR="000D3466">
        <w:rPr>
          <w:rFonts w:cs="Times New Roman"/>
          <w:sz w:val="22"/>
        </w:rPr>
        <w:fldChar w:fldCharType="separate"/>
      </w:r>
      <w:r w:rsidR="000D3466" w:rsidRPr="00883E89">
        <w:rPr>
          <w:rFonts w:cs="Times New Roman"/>
          <w:noProof/>
          <w:sz w:val="22"/>
        </w:rPr>
        <w:t>(Elliott, 2016</w:t>
      </w:r>
      <w:r w:rsidR="000D3466">
        <w:rPr>
          <w:rFonts w:cs="Times New Roman"/>
          <w:noProof/>
          <w:sz w:val="22"/>
        </w:rPr>
        <w:t>: 69</w:t>
      </w:r>
      <w:r w:rsidR="000D3466" w:rsidRPr="00883E89">
        <w:rPr>
          <w:rFonts w:cs="Times New Roman"/>
          <w:noProof/>
          <w:sz w:val="22"/>
        </w:rPr>
        <w:t>)</w:t>
      </w:r>
      <w:r w:rsidR="000D3466">
        <w:rPr>
          <w:rFonts w:cs="Times New Roman"/>
          <w:sz w:val="22"/>
        </w:rPr>
        <w:fldChar w:fldCharType="end"/>
      </w:r>
      <w:r w:rsidR="000D3466">
        <w:rPr>
          <w:rFonts w:cs="Times New Roman"/>
          <w:sz w:val="22"/>
        </w:rPr>
        <w:t>, which prompt specific interventions to deal with them. This chapter examines how farmed caviar production has been resituated in the EU conservation-security landscape, as a</w:t>
      </w:r>
      <w:r w:rsidR="00230DAE">
        <w:rPr>
          <w:rFonts w:cs="Times New Roman"/>
          <w:sz w:val="22"/>
        </w:rPr>
        <w:t>n apparent</w:t>
      </w:r>
      <w:r w:rsidR="000D3466">
        <w:rPr>
          <w:rFonts w:cs="Times New Roman"/>
          <w:sz w:val="22"/>
        </w:rPr>
        <w:t xml:space="preserve"> response to the threat of sturgeon extinction. </w:t>
      </w:r>
      <w:r w:rsidR="0091359C">
        <w:rPr>
          <w:rFonts w:cs="Times New Roman"/>
          <w:sz w:val="22"/>
        </w:rPr>
        <w:t>I</w:t>
      </w:r>
      <w:r>
        <w:rPr>
          <w:rFonts w:cs="Times New Roman"/>
          <w:sz w:val="22"/>
        </w:rPr>
        <w:t>n scratching beneath the surface of the securitization process, I examine how narratives and strategies related to conservation, sec</w:t>
      </w:r>
      <w:r w:rsidR="0091359C">
        <w:rPr>
          <w:rFonts w:cs="Times New Roman"/>
          <w:sz w:val="22"/>
        </w:rPr>
        <w:t>urity, and capital accumulation</w:t>
      </w:r>
      <w:r>
        <w:rPr>
          <w:rFonts w:cs="Times New Roman"/>
          <w:sz w:val="22"/>
        </w:rPr>
        <w:t xml:space="preserve"> coalesce in farmed caviar production. I ultimately argue that farmed caviar production is an example of ‘accumulation by securitization’ </w:t>
      </w:r>
      <w:r>
        <w:rPr>
          <w:rFonts w:cs="Times New Roman"/>
          <w:sz w:val="22"/>
        </w:rPr>
        <w:fldChar w:fldCharType="begin" w:fldLock="1"/>
      </w:r>
      <w:r w:rsidR="00EC7F7E">
        <w:rPr>
          <w:rFonts w:cs="Times New Roman"/>
          <w:sz w:val="22"/>
        </w:rPr>
        <w:instrText>ADDIN CSL_CITATION {"citationItems":[{"id":"ITEM-1","itemData":{"DOI":"10.1016/j.geoforum.2015.03.005","ISSN":"00167185","abstract":"Part of a broader interest in the escalating securitization of conservation practice, scholars are beginning to take note of an emerging relationship between conservation-securitization, capital accumulation, and dispossession. We develop the concept of accumulation by securitization to better grasp this trend, positioning it in the critical literatures on neoliberal conservation, green grabbing, and conservation-security. The concept captures the ways in which capital accumulation, often tied to land and resource enclosure, is enabled by practices and logics of security. Security logics, moreover, increasingly provoke the dispossession of vulnerable communities, thereby enabling accumulation. We ground the concept by turning to the Greater Lebombo Conservancy (GLC) in the Mozambican borderlands. This is a new privately-held conservancy built as a securitized buffer zone to obstruct the movement of commercial rhino poachers into South Africa's adjacent Kruger National Park. We show how wildlife tourism-related accumulation here is enabled by, and in some ways contingent upon, the GLC's success in curbing poaching incursions, and, relatedly, how security concerns become the grounds upon which resident communities are displaced. In terms of the latter, we suggest security provides a troubling, depoliticized alibi for dispossession. Like broader neoliberal conservation and green grabbing, we illustrate how accumulation by securitization plays out within complex new networks of state and private actors. Yet these significantly expand to include including security actors and others motivated by security concerns.","author":[{"dropping-particle":"","family":"Massé","given":"Francis","non-dropping-particle":"","parse-names":false,"suffix":""},{"dropping-particle":"","family":"Lunstrum","given":"Elizabeth","non-dropping-particle":"","parse-names":false,"suffix":""}],"container-title":"Geoforum","id":"ITEM-1","issued":{"date-parts":[["2016"]]},"page":"227-237","title":"Accumulation by securitization: Commercial poaching, neoliberal conservation, and the creation of new wildlife frontiers","type":"article-journal","volume":"69"},"uris":["http://www.mendeley.com/documents/?uuid=f414a6fa-a1ed-47cd-9572-2fa93dae0d21"]}],"mendeley":{"formattedCitation":"(Massé and Lunstrum, 2016)","plainTextFormattedCitation":"(Massé and Lunstrum, 2016)","previouslyFormattedCitation":"(Massé and Lunstrum, 2016)"},"properties":{"noteIndex":0},"schema":"https://github.com/citation-style-language/schema/raw/master/csl-citation.json"}</w:instrText>
      </w:r>
      <w:r>
        <w:rPr>
          <w:rFonts w:cs="Times New Roman"/>
          <w:sz w:val="22"/>
        </w:rPr>
        <w:fldChar w:fldCharType="separate"/>
      </w:r>
      <w:r w:rsidR="00042533" w:rsidRPr="00042533">
        <w:rPr>
          <w:rFonts w:cs="Times New Roman"/>
          <w:noProof/>
          <w:sz w:val="22"/>
        </w:rPr>
        <w:t>(Massé and Lunstrum, 2016)</w:t>
      </w:r>
      <w:r>
        <w:rPr>
          <w:rFonts w:cs="Times New Roman"/>
          <w:sz w:val="22"/>
        </w:rPr>
        <w:fldChar w:fldCharType="end"/>
      </w:r>
      <w:r>
        <w:rPr>
          <w:rFonts w:cs="Times New Roman"/>
          <w:sz w:val="22"/>
        </w:rPr>
        <w:t xml:space="preserve">, whereby new opportunities for capital accumulation are produced by the aligning of security and conservation agendas – even if the practical conservation value of farmed caviar production is overwhelmingly unclear. </w:t>
      </w:r>
    </w:p>
    <w:p w14:paraId="0C199A51" w14:textId="64B42367" w:rsidR="00967716" w:rsidRDefault="00967716" w:rsidP="00967716">
      <w:pPr>
        <w:rPr>
          <w:rFonts w:cs="Times New Roman"/>
          <w:sz w:val="22"/>
        </w:rPr>
      </w:pPr>
      <w:r>
        <w:rPr>
          <w:rFonts w:cs="Times New Roman"/>
          <w:sz w:val="22"/>
        </w:rPr>
        <w:tab/>
        <w:t xml:space="preserve">Farmed production of endangered wild animals is viewed by some as a conservation policy option for tackling illegal wildlife trade and wildlife trafficking </w:t>
      </w:r>
      <w:r>
        <w:rPr>
          <w:rFonts w:cs="Times New Roman"/>
          <w:sz w:val="22"/>
        </w:rPr>
        <w:fldChar w:fldCharType="begin" w:fldLock="1"/>
      </w:r>
      <w:r w:rsidR="00EC7F7E">
        <w:rPr>
          <w:rFonts w:cs="Times New Roman"/>
          <w:sz w:val="22"/>
        </w:rPr>
        <w:instrText>ADDIN CSL_CITATION {"citationItems":[{"id":"ITEM-1","itemData":{"DOI":"10.1016/j.gecco.2019.e00714","ISSN":"23519894","abstract":"Pangolins are threatened by overexploitation for local and international use. They are subject to an international commercial trade ban, and are also the focus of other interventions, including attempts at commercial captive breeding. The impact that the latter could have on the conservation of wild populations deserves consideration. We critically evaluate the feasibility of commercial captive breeding (or farming) of pangolins to displace wild collection and assess its potential conservation impact on pangolin conservation using a recently published framework developed for this purpose. Of the 17 conditions posited that need to be met for supply-side interventions to displace wild collection, we find that pangolins meet a maximum of only six conditions. This analysis suggests that pangolin farming will not displace wild collection in the near future. Major barriers include an inability to breed pangolins on a commercial scale and available data suggest that it would be unprofitable. The immediate impact of pangolin farming on conservation of the species’ is unclear, but it is unlikely to benefit the conservation of wild populations. If commercial captive breeding were possible, it is uncertain how it would affect economic incentives for poaching, interactions between legal and illegal markets, stockpile policies, and how consumers and Traditional Chinese Medicine (TCM) practitioners would respond. To understand better the potential overall impact of pangolin farming on wild populations there is a need for further research on these uncertainties. The framework used has utility in analysing the potential impact of wildlife farming but there remains a need for a more robust approach to evaluate potential impacts of supply-side interventions.","author":[{"dropping-particle":"","family":"Challender","given":"Daniel W.S.","non-dropping-particle":"","parse-names":false,"suffix":""},{"dropping-particle":"","family":"Sas-Rolfes","given":"Michael't","non-dropping-particle":"","parse-names":false,"suffix":""},{"dropping-particle":"","family":"Ades","given":"Gary W.J.","non-dropping-particle":"","parse-names":false,"suffix":""},{"dropping-particle":"","family":"Chin","given":"Jason S.C.","non-dropping-particle":"","parse-names":false,"suffix":""},{"dropping-particle":"","family":"Ching-Min Sun","given":"Nick","non-dropping-particle":"","parse-names":false,"suffix":""},{"dropping-particle":"","family":"Chong","given":"Ju lian","non-dropping-particle":"","parse-names":false,"suffix":""},{"dropping-particle":"","family":"Connelly","given":"Ellen","non-dropping-particle":"","parse-names":false,"suffix":""},{"dropping-particle":"","family":"Hywood","given":"Lisa","non-dropping-particle":"","parse-names":false,"suffix":""},{"dropping-particle":"","family":"Luz","given":"Sonja","non-dropping-particle":"","parse-names":false,"suffix":""},{"dropping-particle":"","family":"Mohapatra","given":"Rajesh K.","non-dropping-particle":"","parse-names":false,"suffix":""},{"dropping-particle":"","family":"Ornellas","given":"Paul","non-dropping-particle":"de","parse-names":false,"suffix":""},{"dropping-particle":"","family":"Parker","given":"Keri","non-dropping-particle":"","parse-names":false,"suffix":""},{"dropping-particle":"","family":"Pietersen","given":"Darren W.","non-dropping-particle":"","parse-names":false,"suffix":""},{"dropping-particle":"","family":"Roberton","given":"Scott I.","non-dropping-particle":"","parse-names":false,"suffix":""},{"dropping-particle":"","family":"Semiadi","given":"Gono","non-dropping-particle":"","parse-names":false,"suffix":""},{"dropping-particle":"","family":"Shaw","given":"Debbie","non-dropping-particle":"","parse-names":false,"suffix":""},{"dropping-particle":"","family":"Shepherd","given":"Chris R.","non-dropping-particle":"","parse-names":false,"suffix":""},{"dropping-particle":"","family":"Thomson","given":"Paul","non-dropping-particle":"","parse-names":false,"suffix":""},{"dropping-particle":"","family":"Wang","given":"Yifu","non-dropping-particle":"","parse-names":false,"suffix":""},{"dropping-particle":"","family":"Wicker","given":"Leanne","non-dropping-particle":"","parse-names":false,"suffix":""},{"dropping-particle":"","family":"Wu","given":"Shi Bao","non-dropping-particle":"","parse-names":false,"suffix":""},{"dropping-particle":"","family":"Nash","given":"Helen C.","non-dropping-particle":"","parse-names":false,"suffix":""}],"container-title":"Global Ecology and Conservation","id":"ITEM-1","issued":{"date-parts":[["2019"]]},"page":"e00714","publisher":"Elsevier Ltd","title":"Evaluating the feasibility of pangolin farming and its potential conservation impact","type":"article-journal","volume":"20"},"uris":["http://www.mendeley.com/documents/?uuid=e54d5d3a-4453-4149-96fa-8d588057955b"]}],"mendeley":{"formattedCitation":"(Challender &lt;i&gt;et al.&lt;/i&gt;, 2019)","plainTextFormattedCitation":"(Challender et al., 2019)","previouslyFormattedCitation":"(Challender &lt;i&gt;et al.&lt;/i&gt;, 2019)"},"properties":{"noteIndex":0},"schema":"https://github.com/citation-style-language/schema/raw/master/csl-citation.json"}</w:instrText>
      </w:r>
      <w:r>
        <w:rPr>
          <w:rFonts w:cs="Times New Roman"/>
          <w:sz w:val="22"/>
        </w:rPr>
        <w:fldChar w:fldCharType="separate"/>
      </w:r>
      <w:r w:rsidR="00042533" w:rsidRPr="00042533">
        <w:rPr>
          <w:rFonts w:cs="Times New Roman"/>
          <w:noProof/>
          <w:sz w:val="22"/>
        </w:rPr>
        <w:t xml:space="preserve">(Challender </w:t>
      </w:r>
      <w:r w:rsidR="00042533" w:rsidRPr="00042533">
        <w:rPr>
          <w:rFonts w:cs="Times New Roman"/>
          <w:i/>
          <w:noProof/>
          <w:sz w:val="22"/>
        </w:rPr>
        <w:t>et al.</w:t>
      </w:r>
      <w:r w:rsidR="00042533" w:rsidRPr="00042533">
        <w:rPr>
          <w:rFonts w:cs="Times New Roman"/>
          <w:noProof/>
          <w:sz w:val="22"/>
        </w:rPr>
        <w:t>, 2019)</w:t>
      </w:r>
      <w:r>
        <w:rPr>
          <w:rFonts w:cs="Times New Roman"/>
          <w:sz w:val="22"/>
        </w:rPr>
        <w:fldChar w:fldCharType="end"/>
      </w:r>
      <w:r>
        <w:rPr>
          <w:rFonts w:cs="Times New Roman"/>
          <w:sz w:val="22"/>
        </w:rPr>
        <w:t xml:space="preserve">. However ‘conservation farming’ </w:t>
      </w:r>
      <w:r>
        <w:rPr>
          <w:rFonts w:cs="Times New Roman"/>
          <w:sz w:val="22"/>
        </w:rPr>
        <w:fldChar w:fldCharType="begin" w:fldLock="1"/>
      </w:r>
      <w:r w:rsidR="00EC7F7E">
        <w:rPr>
          <w:rFonts w:cs="Times New Roman"/>
          <w:sz w:val="22"/>
        </w:rPr>
        <w:instrText>ADDIN CSL_CITATION {"citationItems":[{"id":"ITEM-1","itemData":{"DOI":"10.1111/conl.12681","ISSN":"1755263X","abstract":"Thousands of species worldwide are threatened with extinction due to human activities. For some animals, such as elephants, totoaba, and bluefin tuna, population declines are largely driven by hunting. High prices and large profits create a strong incentive for illegal hunting, even in the face of penalties and strict international restrictions against trade. One innovative solution to help reverse the declines of such species is to farm them to increase supply, thereby reducing prices and decreasing hunting incentives. However, this idea has been criticized as impractical, though some examples exist of successful implementation. Here, we evaluate the hurdles facing endangered species farming as a market-based mechanism to reduce illegal harvest of wild populations and provide guidance on when it is most likely to be effective. Using a simple model, we show how farming costs and enforcement of anti-poaching measures are key drivers of success for this solution. We also argue that many of the most promising candidates are aquatic species that have been largely overlooked. Thus, while conservation farming may not be a solution for all endangered species, it should be more seriously considered for species that could be produced quickly and cost-effectively.","author":[{"dropping-particle":"","family":"Gentry","given":"Rebecca R.","non-dropping-particle":"","parse-names":false,"suffix":""},{"dropping-particle":"","family":"Gaines","given":"Steven D.","non-dropping-particle":"","parse-names":false,"suffix":""},{"dropping-particle":"","family":"Gabe","given":"Jeremy S.","non-dropping-particle":"","parse-names":false,"suffix":""},{"dropping-particle":"","family":"Lester","given":"Sarah E.","non-dropping-particle":"","parse-names":false,"suffix":""}],"container-title":"Conservation Letters","id":"ITEM-1","issue":"6","issued":{"date-parts":[["2019"]]},"page":"1-7","title":"Looking to aquatic species for conservation farming success","type":"article-journal","volume":"12"},"uris":["http://www.mendeley.com/documents/?uuid=2d5d891b-ac98-4eee-8e5b-b53ae5e20d0a"]}],"mendeley":{"formattedCitation":"(Gentry &lt;i&gt;et al.&lt;/i&gt;, 2019)","plainTextFormattedCitation":"(Gentry et al., 2019)","previouslyFormattedCitation":"(Gentry &lt;i&gt;et al.&lt;/i&gt;, 2019)"},"properties":{"noteIndex":0},"schema":"https://github.com/citation-style-language/schema/raw/master/csl-citation.json"}</w:instrText>
      </w:r>
      <w:r>
        <w:rPr>
          <w:rFonts w:cs="Times New Roman"/>
          <w:sz w:val="22"/>
        </w:rPr>
        <w:fldChar w:fldCharType="separate"/>
      </w:r>
      <w:r w:rsidR="00042533" w:rsidRPr="00042533">
        <w:rPr>
          <w:rFonts w:cs="Times New Roman"/>
          <w:noProof/>
          <w:sz w:val="22"/>
        </w:rPr>
        <w:t xml:space="preserve">(Gentry </w:t>
      </w:r>
      <w:r w:rsidR="00042533" w:rsidRPr="00042533">
        <w:rPr>
          <w:rFonts w:cs="Times New Roman"/>
          <w:i/>
          <w:noProof/>
          <w:sz w:val="22"/>
        </w:rPr>
        <w:t>et al.</w:t>
      </w:r>
      <w:r w:rsidR="00042533" w:rsidRPr="00042533">
        <w:rPr>
          <w:rFonts w:cs="Times New Roman"/>
          <w:noProof/>
          <w:sz w:val="22"/>
        </w:rPr>
        <w:t>, 2019)</w:t>
      </w:r>
      <w:r>
        <w:rPr>
          <w:rFonts w:cs="Times New Roman"/>
          <w:sz w:val="22"/>
        </w:rPr>
        <w:fldChar w:fldCharType="end"/>
      </w:r>
      <w:r>
        <w:rPr>
          <w:rFonts w:cs="Times New Roman"/>
          <w:sz w:val="22"/>
        </w:rPr>
        <w:t xml:space="preserve"> is a controversial policy o</w:t>
      </w:r>
      <w:r w:rsidR="009961DF">
        <w:rPr>
          <w:rFonts w:cs="Times New Roman"/>
          <w:sz w:val="22"/>
        </w:rPr>
        <w:t>ption, and there is said to be “</w:t>
      </w:r>
      <w:r>
        <w:rPr>
          <w:rFonts w:cs="Times New Roman"/>
          <w:sz w:val="22"/>
        </w:rPr>
        <w:t>limited understanding of the conditions under which farmi</w:t>
      </w:r>
      <w:r w:rsidR="009961DF">
        <w:rPr>
          <w:rFonts w:cs="Times New Roman"/>
          <w:sz w:val="22"/>
        </w:rPr>
        <w:t>ng can aid conservation efforts”</w:t>
      </w:r>
      <w:r>
        <w:rPr>
          <w:rFonts w:cs="Times New Roman"/>
          <w:sz w:val="22"/>
        </w:rPr>
        <w:t xml:space="preserve"> (Challender </w:t>
      </w:r>
      <w:r w:rsidRPr="007C2565">
        <w:rPr>
          <w:rFonts w:cs="Times New Roman"/>
          <w:i/>
          <w:sz w:val="22"/>
        </w:rPr>
        <w:t>et al</w:t>
      </w:r>
      <w:r>
        <w:rPr>
          <w:rFonts w:cs="Times New Roman"/>
          <w:sz w:val="22"/>
        </w:rPr>
        <w:t>., 2019:2). Despite this, farmed production of c</w:t>
      </w:r>
      <w:r w:rsidR="009961DF">
        <w:rPr>
          <w:rFonts w:cs="Times New Roman"/>
          <w:sz w:val="22"/>
        </w:rPr>
        <w:t>aviar has emerged as a dominant</w:t>
      </w:r>
      <w:r>
        <w:rPr>
          <w:rFonts w:cs="Times New Roman"/>
          <w:sz w:val="22"/>
        </w:rPr>
        <w:t xml:space="preserve"> policy and conservation discourse in the European Union, garnering little critical attention or controversy in the process. I</w:t>
      </w:r>
      <w:r w:rsidR="0091359C">
        <w:rPr>
          <w:rFonts w:cs="Times New Roman"/>
          <w:sz w:val="22"/>
        </w:rPr>
        <w:t>n line with O’Lear (2018)</w:t>
      </w:r>
      <w:r w:rsidR="00230DAE">
        <w:rPr>
          <w:rFonts w:cs="Times New Roman"/>
          <w:sz w:val="22"/>
        </w:rPr>
        <w:t>,</w:t>
      </w:r>
      <w:r w:rsidR="0091359C">
        <w:rPr>
          <w:rFonts w:cs="Times New Roman"/>
          <w:sz w:val="22"/>
        </w:rPr>
        <w:t xml:space="preserve"> I</w:t>
      </w:r>
      <w:r>
        <w:rPr>
          <w:rFonts w:cs="Times New Roman"/>
          <w:sz w:val="22"/>
        </w:rPr>
        <w:t xml:space="preserve"> argue that farmed caviar production has been stabilised as a geopolitical</w:t>
      </w:r>
      <w:r w:rsidR="00230DAE">
        <w:rPr>
          <w:rFonts w:cs="Times New Roman"/>
          <w:sz w:val="22"/>
        </w:rPr>
        <w:t>-ecological discourse in the EU</w:t>
      </w:r>
      <w:r>
        <w:rPr>
          <w:rFonts w:cs="Times New Roman"/>
          <w:sz w:val="22"/>
        </w:rPr>
        <w:t xml:space="preserve"> via a powerful narrative that positions farmed caviar production as the panacea for sturgeon conservation. For the most-part, caviar industry representatives are the primary proponents of this narrative; but policymakers, NGO representatives, and scientists also promulgate this view, and at the same time, often demonstrate little critical </w:t>
      </w:r>
      <w:r>
        <w:rPr>
          <w:rFonts w:cs="Times New Roman"/>
          <w:sz w:val="22"/>
        </w:rPr>
        <w:lastRenderedPageBreak/>
        <w:t xml:space="preserve">engagement with the foundations of this narrative. I show that the widespread uptake of this narrative has given rise to the overwhelming securitization of farmed caviar production in the EU. </w:t>
      </w:r>
    </w:p>
    <w:p w14:paraId="4D41D4D1" w14:textId="2BE7E142" w:rsidR="00967716" w:rsidRDefault="00967716" w:rsidP="00967716">
      <w:pPr>
        <w:ind w:firstLine="720"/>
        <w:rPr>
          <w:rFonts w:cs="Times New Roman"/>
          <w:sz w:val="22"/>
        </w:rPr>
      </w:pPr>
      <w:r>
        <w:rPr>
          <w:rFonts w:cs="Times New Roman"/>
          <w:sz w:val="22"/>
        </w:rPr>
        <w:t xml:space="preserve">The caviar industry increasingly justifies the securitization of their operations under the ‘green pretext’ (Ojeda, 2012) of conservation. This in turn legitimates the extension of security logics into the physical infrastructures and material practices of caviar aquaculture facilities, as producers argue that they must intensify production in order to produce more caviar at a faster pace. This has </w:t>
      </w:r>
      <w:r w:rsidR="00230DAE">
        <w:rPr>
          <w:rFonts w:cs="Times New Roman"/>
          <w:sz w:val="22"/>
        </w:rPr>
        <w:t>resulted in a</w:t>
      </w:r>
      <w:r>
        <w:rPr>
          <w:rFonts w:cs="Times New Roman"/>
          <w:sz w:val="22"/>
        </w:rPr>
        <w:t xml:space="preserve"> ‘respatializa</w:t>
      </w:r>
      <w:r w:rsidR="009961DF">
        <w:rPr>
          <w:rFonts w:cs="Times New Roman"/>
          <w:sz w:val="22"/>
        </w:rPr>
        <w:t>tion of security’, which moves “</w:t>
      </w:r>
      <w:r>
        <w:rPr>
          <w:rFonts w:cs="Times New Roman"/>
          <w:sz w:val="22"/>
        </w:rPr>
        <w:t>the discourse and practice of securitization into new spaces and into t</w:t>
      </w:r>
      <w:r w:rsidR="009961DF">
        <w:rPr>
          <w:rFonts w:cs="Times New Roman"/>
          <w:sz w:val="22"/>
        </w:rPr>
        <w:t>he bodies of nonhuman organisms”</w:t>
      </w:r>
      <w:r>
        <w:rPr>
          <w:rFonts w:cs="Times New Roman"/>
          <w:sz w:val="22"/>
        </w:rPr>
        <w:t xml:space="preserve"> </w:t>
      </w:r>
      <w:r>
        <w:rPr>
          <w:rFonts w:cs="Times New Roman"/>
          <w:sz w:val="22"/>
        </w:rPr>
        <w:fldChar w:fldCharType="begin" w:fldLock="1"/>
      </w:r>
      <w:r w:rsidR="004A2BF2">
        <w:rPr>
          <w:rFonts w:cs="Times New Roman"/>
          <w:sz w:val="22"/>
        </w:rPr>
        <w:instrText>ADDIN CSL_CITATION {"citationItems":[{"id":"ITEM-1","itemData":{"DOI":"10.4324/9781315672731-10","author":[{"dropping-particle":"","family":"Johnson","given":"ELIZABETH R.","non-dropping-particle":"","parse-names":false,"suffix":""}],"id":"ITEM-1","issued":{"date-parts":[["2015","12","22"]]},"page":"79-98","publisher":"Routledge","title":"Governing Jellyfish: Eco-Security and Planetary “Life” in the Anthropocene","type":"article-journal"},"uris":["http://www.mendeley.com/documents/?uuid=c5033973-8724-3c1b-a1be-2bbabba4b553"]}],"mendeley":{"formattedCitation":"(ELIZABETH R. Johnson, 2015)","manualFormatting":"(Johnson, 2015: 61)","plainTextFormattedCitation":"(ELIZABETH R. Johnson, 2015)","previouslyFormattedCitation":"(ELIZABETH R. Johnson, 2015)"},"properties":{"noteIndex":0},"schema":"https://github.com/citation-style-language/schema/raw/master/csl-citation.json"}</w:instrText>
      </w:r>
      <w:r>
        <w:rPr>
          <w:rFonts w:cs="Times New Roman"/>
          <w:sz w:val="22"/>
        </w:rPr>
        <w:fldChar w:fldCharType="separate"/>
      </w:r>
      <w:r w:rsidRPr="00CD75FC">
        <w:rPr>
          <w:rFonts w:cs="Times New Roman"/>
          <w:noProof/>
          <w:sz w:val="22"/>
        </w:rPr>
        <w:t>(Johnson, 2015</w:t>
      </w:r>
      <w:r>
        <w:rPr>
          <w:rFonts w:cs="Times New Roman"/>
          <w:noProof/>
          <w:sz w:val="22"/>
        </w:rPr>
        <w:t>: 61</w:t>
      </w:r>
      <w:r w:rsidRPr="00CD75FC">
        <w:rPr>
          <w:rFonts w:cs="Times New Roman"/>
          <w:noProof/>
          <w:sz w:val="22"/>
        </w:rPr>
        <w:t>)</w:t>
      </w:r>
      <w:r>
        <w:rPr>
          <w:rFonts w:cs="Times New Roman"/>
          <w:sz w:val="22"/>
        </w:rPr>
        <w:fldChar w:fldCharType="end"/>
      </w:r>
      <w:r>
        <w:rPr>
          <w:rFonts w:cs="Times New Roman"/>
          <w:sz w:val="22"/>
        </w:rPr>
        <w:t xml:space="preserve">. By critically examining the securitized materialities and practices of farmed caviar production in the EU, I demonstrate how the securitization </w:t>
      </w:r>
      <w:r w:rsidR="009961DF">
        <w:rPr>
          <w:rFonts w:cs="Times New Roman"/>
          <w:sz w:val="22"/>
        </w:rPr>
        <w:t>process</w:t>
      </w:r>
      <w:r>
        <w:rPr>
          <w:rFonts w:cs="Times New Roman"/>
          <w:sz w:val="22"/>
        </w:rPr>
        <w:t xml:space="preserve"> represents an example of ‘accumulation by securitization’ (</w:t>
      </w:r>
      <w:r w:rsidRPr="00AF3463">
        <w:rPr>
          <w:rFonts w:cs="Times New Roman"/>
          <w:noProof/>
          <w:sz w:val="22"/>
        </w:rPr>
        <w:t>Massé and Lunstrum, 2016</w:t>
      </w:r>
      <w:r>
        <w:rPr>
          <w:rFonts w:cs="Times New Roman"/>
          <w:noProof/>
          <w:sz w:val="22"/>
        </w:rPr>
        <w:t>)</w:t>
      </w:r>
      <w:r w:rsidR="009961DF">
        <w:rPr>
          <w:rFonts w:cs="Times New Roman"/>
          <w:sz w:val="22"/>
        </w:rPr>
        <w:t>, which is achieved under</w:t>
      </w:r>
      <w:r>
        <w:rPr>
          <w:rFonts w:cs="Times New Roman"/>
          <w:sz w:val="22"/>
        </w:rPr>
        <w:t xml:space="preserve"> the pretext of conservation. I therefore determine that the primary implication of the securitization of farmed caviar production in the EU is capital accumulation, whilst the conservation impact remains unclear even though it i</w:t>
      </w:r>
      <w:r w:rsidR="007C27FA">
        <w:rPr>
          <w:rFonts w:cs="Times New Roman"/>
          <w:sz w:val="22"/>
        </w:rPr>
        <w:t>s presented as a truth</w:t>
      </w:r>
      <w:r>
        <w:rPr>
          <w:rFonts w:cs="Times New Roman"/>
          <w:sz w:val="22"/>
        </w:rPr>
        <w:t xml:space="preserve">. Thus, this chapter complicates and adds nuance to the conservation narrative that sustains farmed caviar production as a geopolitical-ecological discourse in the EU. </w:t>
      </w:r>
    </w:p>
    <w:p w14:paraId="718E2306" w14:textId="5DB3967D" w:rsidR="00967716" w:rsidRDefault="00967716" w:rsidP="00967716">
      <w:pPr>
        <w:ind w:firstLine="720"/>
        <w:rPr>
          <w:rFonts w:cs="Times New Roman"/>
          <w:sz w:val="22"/>
        </w:rPr>
      </w:pPr>
      <w:r>
        <w:rPr>
          <w:rFonts w:cs="Times New Roman"/>
          <w:sz w:val="22"/>
        </w:rPr>
        <w:t xml:space="preserve">The main argument of this thesis is that EU caviar trade regulations have gaps and grey areas that have produced (unintended) geopolitical-ecological implications. This chapter contributes to the main argument by demonstrating that the narrative characterising farmed caviar production as a conservation policy intervention has significant gaps. </w:t>
      </w:r>
      <w:r w:rsidR="007C27FA">
        <w:rPr>
          <w:rFonts w:cs="Times New Roman"/>
          <w:sz w:val="22"/>
        </w:rPr>
        <w:t>Specifically,</w:t>
      </w:r>
      <w:r>
        <w:rPr>
          <w:rFonts w:cs="Times New Roman"/>
          <w:sz w:val="22"/>
        </w:rPr>
        <w:t xml:space="preserve"> the hegemonic narrative does not take into account a number of socio-political-economic factors that complicate the conservation potential of farmed caviar production. Instead, the conservation credentials of farmed caviar production are presented as a simplistic truth statement. However, attention to these overlooked socio-political-economic factors shows that the conservation potential of farmed caviar production in the EU is ac</w:t>
      </w:r>
      <w:r w:rsidR="007C27FA">
        <w:rPr>
          <w:rFonts w:cs="Times New Roman"/>
          <w:sz w:val="22"/>
        </w:rPr>
        <w:t>tually a policy grey area, as it</w:t>
      </w:r>
      <w:r>
        <w:rPr>
          <w:rFonts w:cs="Times New Roman"/>
          <w:sz w:val="22"/>
        </w:rPr>
        <w:t xml:space="preserve"> has not been systematically measured or demonstrated to-date. I therefore argue that overlooking these socio-political-economic factors is a policy gap that has had unintended consequences: namely, fostering the securitization of farmed caviar production under the ‘green pretext’ (Ojeda, 2012) of conservation.</w:t>
      </w:r>
    </w:p>
    <w:p w14:paraId="74E299DC" w14:textId="5275EA72" w:rsidR="00967716" w:rsidRDefault="00967716" w:rsidP="007C27FA">
      <w:pPr>
        <w:ind w:firstLine="720"/>
        <w:rPr>
          <w:rFonts w:cs="Times New Roman"/>
          <w:sz w:val="22"/>
        </w:rPr>
      </w:pPr>
      <w:r>
        <w:rPr>
          <w:rFonts w:cs="Times New Roman"/>
          <w:sz w:val="22"/>
        </w:rPr>
        <w:t xml:space="preserve">The chapter is structured as follows. In section 6.1 I critically analyse the narrative that farmed caviar production is a conservation panacea for endangered sturgeon. I examine </w:t>
      </w:r>
      <w:r w:rsidR="007C27FA">
        <w:rPr>
          <w:rFonts w:cs="Times New Roman"/>
          <w:sz w:val="22"/>
        </w:rPr>
        <w:t xml:space="preserve">how this narrative materialises </w:t>
      </w:r>
      <w:r>
        <w:rPr>
          <w:rFonts w:cs="Times New Roman"/>
          <w:sz w:val="22"/>
        </w:rPr>
        <w:t>and how it serves to entrench farmed caviar production as a geopolitical-ecological discourse. I then introduce counter voices that highlight the gap</w:t>
      </w:r>
      <w:r w:rsidR="007C27FA">
        <w:rPr>
          <w:rFonts w:cs="Times New Roman"/>
          <w:sz w:val="22"/>
        </w:rPr>
        <w:t xml:space="preserve">s in this policy move, and subsequently demonstrate that </w:t>
      </w:r>
      <w:r>
        <w:rPr>
          <w:rFonts w:cs="Times New Roman"/>
          <w:sz w:val="22"/>
        </w:rPr>
        <w:t xml:space="preserve">the conservation potential of farmed caviar production is a policy grey area. </w:t>
      </w:r>
      <w:r w:rsidR="007C27FA">
        <w:rPr>
          <w:rFonts w:cs="Times New Roman"/>
          <w:sz w:val="22"/>
        </w:rPr>
        <w:t xml:space="preserve">Section </w:t>
      </w:r>
      <w:r>
        <w:rPr>
          <w:rFonts w:cs="Times New Roman"/>
          <w:sz w:val="22"/>
        </w:rPr>
        <w:t>6.2,</w:t>
      </w:r>
      <w:r w:rsidR="007C27FA">
        <w:rPr>
          <w:rFonts w:cs="Times New Roman"/>
          <w:sz w:val="22"/>
        </w:rPr>
        <w:t xml:space="preserve"> examines how despite these grey areas, </w:t>
      </w:r>
      <w:r>
        <w:rPr>
          <w:rFonts w:cs="Times New Roman"/>
          <w:sz w:val="22"/>
        </w:rPr>
        <w:t xml:space="preserve">the </w:t>
      </w:r>
      <w:r w:rsidR="00230DAE">
        <w:rPr>
          <w:rFonts w:cs="Times New Roman"/>
          <w:sz w:val="22"/>
        </w:rPr>
        <w:t>apparent</w:t>
      </w:r>
      <w:r>
        <w:rPr>
          <w:rFonts w:cs="Times New Roman"/>
          <w:sz w:val="22"/>
        </w:rPr>
        <w:t xml:space="preserve"> conservation benefit of farmed caviar production is deployed as a ‘green pretext’ (Ojeda, 2012) to justify and legitimate the securitization of farmed caviar operations. I describe how security logics have been integrated into </w:t>
      </w:r>
      <w:r>
        <w:rPr>
          <w:rFonts w:cs="Times New Roman"/>
          <w:sz w:val="22"/>
        </w:rPr>
        <w:lastRenderedPageBreak/>
        <w:t xml:space="preserve">both the material infrastructures and practices of farmed caviar production; and then disentangle how these securitized infrastructures and practices are integral to the process of ‘accumulation by securitization’ </w:t>
      </w:r>
      <w:r>
        <w:rPr>
          <w:rFonts w:cs="Times New Roman"/>
          <w:sz w:val="22"/>
        </w:rPr>
        <w:fldChar w:fldCharType="begin" w:fldLock="1"/>
      </w:r>
      <w:r w:rsidR="00EC7F7E">
        <w:rPr>
          <w:rFonts w:cs="Times New Roman"/>
          <w:sz w:val="22"/>
        </w:rPr>
        <w:instrText>ADDIN CSL_CITATION {"citationItems":[{"id":"ITEM-1","itemData":{"DOI":"10.1016/j.geoforum.2015.03.005","ISSN":"00167185","abstract":"Part of a broader interest in the escalating securitization of conservation practice, scholars are beginning to take note of an emerging relationship between conservation-securitization, capital accumulation, and dispossession. We develop the concept of accumulation by securitization to better grasp this trend, positioning it in the critical literatures on neoliberal conservation, green grabbing, and conservation-security. The concept captures the ways in which capital accumulation, often tied to land and resource enclosure, is enabled by practices and logics of security. Security logics, moreover, increasingly provoke the dispossession of vulnerable communities, thereby enabling accumulation. We ground the concept by turning to the Greater Lebombo Conservancy (GLC) in the Mozambican borderlands. This is a new privately-held conservancy built as a securitized buffer zone to obstruct the movement of commercial rhino poachers into South Africa's adjacent Kruger National Park. We show how wildlife tourism-related accumulation here is enabled by, and in some ways contingent upon, the GLC's success in curbing poaching incursions, and, relatedly, how security concerns become the grounds upon which resident communities are displaced. In terms of the latter, we suggest security provides a troubling, depoliticized alibi for dispossession. Like broader neoliberal conservation and green grabbing, we illustrate how accumulation by securitization plays out within complex new networks of state and private actors. Yet these significantly expand to include including security actors and others motivated by security concerns.","author":[{"dropping-particle":"","family":"Massé","given":"Francis","non-dropping-particle":"","parse-names":false,"suffix":""},{"dropping-particle":"","family":"Lunstrum","given":"Elizabeth","non-dropping-particle":"","parse-names":false,"suffix":""}],"container-title":"Geoforum","id":"ITEM-1","issued":{"date-parts":[["2016"]]},"page":"227-237","title":"Accumulation by securitization: Commercial poaching, neoliberal conservation, and the creation of new wildlife frontiers","type":"article-journal","volume":"69"},"uris":["http://www.mendeley.com/documents/?uuid=f414a6fa-a1ed-47cd-9572-2fa93dae0d21"]}],"mendeley":{"formattedCitation":"(Massé and Lunstrum, 2016)","plainTextFormattedCitation":"(Massé and Lunstrum, 2016)","previouslyFormattedCitation":"(Massé and Lunstrum, 2016)"},"properties":{"noteIndex":0},"schema":"https://github.com/citation-style-language/schema/raw/master/csl-citation.json"}</w:instrText>
      </w:r>
      <w:r>
        <w:rPr>
          <w:rFonts w:cs="Times New Roman"/>
          <w:sz w:val="22"/>
        </w:rPr>
        <w:fldChar w:fldCharType="separate"/>
      </w:r>
      <w:r w:rsidR="00042533" w:rsidRPr="00042533">
        <w:rPr>
          <w:rFonts w:cs="Times New Roman"/>
          <w:noProof/>
          <w:sz w:val="22"/>
        </w:rPr>
        <w:t>(Massé and Lunstrum, 2016)</w:t>
      </w:r>
      <w:r>
        <w:rPr>
          <w:rFonts w:cs="Times New Roman"/>
          <w:sz w:val="22"/>
        </w:rPr>
        <w:fldChar w:fldCharType="end"/>
      </w:r>
      <w:r>
        <w:rPr>
          <w:rFonts w:cs="Times New Roman"/>
          <w:sz w:val="22"/>
        </w:rPr>
        <w:t xml:space="preserve">. I examine how </w:t>
      </w:r>
      <w:r w:rsidR="007C27FA">
        <w:rPr>
          <w:rFonts w:cs="Times New Roman"/>
          <w:sz w:val="22"/>
        </w:rPr>
        <w:t xml:space="preserve">the alignment of conservation and security in this context, </w:t>
      </w:r>
      <w:r>
        <w:rPr>
          <w:rFonts w:cs="Times New Roman"/>
          <w:sz w:val="22"/>
        </w:rPr>
        <w:t>has produced opportunities for capital accumulation that are more tangible than any</w:t>
      </w:r>
      <w:r w:rsidR="007C27FA">
        <w:rPr>
          <w:rFonts w:cs="Times New Roman"/>
          <w:sz w:val="22"/>
        </w:rPr>
        <w:t xml:space="preserve"> conservation outcomes. Finally, in section 6.3 I </w:t>
      </w:r>
      <w:r>
        <w:rPr>
          <w:rFonts w:cs="Times New Roman"/>
          <w:sz w:val="22"/>
        </w:rPr>
        <w:t xml:space="preserve">consider the more-than-human implications of ‘accumulation by securitization’ </w:t>
      </w:r>
      <w:r>
        <w:rPr>
          <w:rFonts w:cs="Times New Roman"/>
          <w:sz w:val="22"/>
        </w:rPr>
        <w:fldChar w:fldCharType="begin" w:fldLock="1"/>
      </w:r>
      <w:r w:rsidR="00EC7F7E">
        <w:rPr>
          <w:rFonts w:cs="Times New Roman"/>
          <w:sz w:val="22"/>
        </w:rPr>
        <w:instrText>ADDIN CSL_CITATION {"citationItems":[{"id":"ITEM-1","itemData":{"DOI":"10.1016/j.geoforum.2015.03.005","ISSN":"00167185","abstract":"Part of a broader interest in the escalating securitization of conservation practice, scholars are beginning to take note of an emerging relationship between conservation-securitization, capital accumulation, and dispossession. We develop the concept of accumulation by securitization to better grasp this trend, positioning it in the critical literatures on neoliberal conservation, green grabbing, and conservation-security. The concept captures the ways in which capital accumulation, often tied to land and resource enclosure, is enabled by practices and logics of security. Security logics, moreover, increasingly provoke the dispossession of vulnerable communities, thereby enabling accumulation. We ground the concept by turning to the Greater Lebombo Conservancy (GLC) in the Mozambican borderlands. This is a new privately-held conservancy built as a securitized buffer zone to obstruct the movement of commercial rhino poachers into South Africa's adjacent Kruger National Park. We show how wildlife tourism-related accumulation here is enabled by, and in some ways contingent upon, the GLC's success in curbing poaching incursions, and, relatedly, how security concerns become the grounds upon which resident communities are displaced. In terms of the latter, we suggest security provides a troubling, depoliticized alibi for dispossession. Like broader neoliberal conservation and green grabbing, we illustrate how accumulation by securitization plays out within complex new networks of state and private actors. Yet these significantly expand to include including security actors and others motivated by security concerns.","author":[{"dropping-particle":"","family":"Massé","given":"Francis","non-dropping-particle":"","parse-names":false,"suffix":""},{"dropping-particle":"","family":"Lunstrum","given":"Elizabeth","non-dropping-particle":"","parse-names":false,"suffix":""}],"container-title":"Geoforum","id":"ITEM-1","issued":{"date-parts":[["2016"]]},"page":"227-237","title":"Accumulation by securitization: Commercial poaching, neoliberal conservation, and the creation of new wildlife frontiers","type":"article-journal","volume":"69"},"uris":["http://www.mendeley.com/documents/?uuid=f414a6fa-a1ed-47cd-9572-2fa93dae0d21"]}],"mendeley":{"formattedCitation":"(Massé and Lunstrum, 2016)","plainTextFormattedCitation":"(Massé and Lunstrum, 2016)","previouslyFormattedCitation":"(Massé and Lunstrum, 2016)"},"properties":{"noteIndex":0},"schema":"https://github.com/citation-style-language/schema/raw/master/csl-citation.json"}</w:instrText>
      </w:r>
      <w:r>
        <w:rPr>
          <w:rFonts w:cs="Times New Roman"/>
          <w:sz w:val="22"/>
        </w:rPr>
        <w:fldChar w:fldCharType="separate"/>
      </w:r>
      <w:r w:rsidR="00042533" w:rsidRPr="00042533">
        <w:rPr>
          <w:rFonts w:cs="Times New Roman"/>
          <w:noProof/>
          <w:sz w:val="22"/>
        </w:rPr>
        <w:t>(Massé and Lunstrum, 2016)</w:t>
      </w:r>
      <w:r>
        <w:rPr>
          <w:rFonts w:cs="Times New Roman"/>
          <w:sz w:val="22"/>
        </w:rPr>
        <w:fldChar w:fldCharType="end"/>
      </w:r>
      <w:r>
        <w:rPr>
          <w:rFonts w:cs="Times New Roman"/>
          <w:sz w:val="22"/>
        </w:rPr>
        <w:t xml:space="preserve">. </w:t>
      </w:r>
      <w:r w:rsidR="00230DAE">
        <w:rPr>
          <w:rFonts w:cs="Times New Roman"/>
          <w:sz w:val="22"/>
        </w:rPr>
        <w:t>Questions regarding</w:t>
      </w:r>
      <w:r>
        <w:rPr>
          <w:rFonts w:cs="Times New Roman"/>
          <w:sz w:val="22"/>
        </w:rPr>
        <w:t xml:space="preserve"> the ethics of securitizing farmed caviar production are rendered invisible by the power of the conservation narrative</w:t>
      </w:r>
      <w:r w:rsidR="007C27FA">
        <w:rPr>
          <w:rFonts w:cs="Times New Roman"/>
          <w:sz w:val="22"/>
        </w:rPr>
        <w:t xml:space="preserve">, and this </w:t>
      </w:r>
      <w:r w:rsidR="00230DAE">
        <w:rPr>
          <w:rFonts w:cs="Times New Roman"/>
          <w:sz w:val="22"/>
        </w:rPr>
        <w:t xml:space="preserve">I argue, </w:t>
      </w:r>
      <w:r w:rsidR="007C27FA">
        <w:rPr>
          <w:rFonts w:cs="Times New Roman"/>
          <w:sz w:val="22"/>
        </w:rPr>
        <w:t>can have negative implications for captive sturgeon</w:t>
      </w:r>
      <w:r>
        <w:rPr>
          <w:rFonts w:cs="Times New Roman"/>
          <w:sz w:val="22"/>
        </w:rPr>
        <w:t>.</w:t>
      </w:r>
    </w:p>
    <w:p w14:paraId="3435705A" w14:textId="77777777" w:rsidR="00967716" w:rsidRDefault="00967716" w:rsidP="00967716">
      <w:pPr>
        <w:pStyle w:val="Heading2"/>
      </w:pPr>
    </w:p>
    <w:p w14:paraId="01240809" w14:textId="77777777" w:rsidR="00967716" w:rsidRPr="00505264" w:rsidRDefault="00967716" w:rsidP="00967716">
      <w:pPr>
        <w:pStyle w:val="Heading2"/>
      </w:pPr>
      <w:bookmarkStart w:id="76" w:name="_Toc453224234"/>
      <w:r w:rsidRPr="00505264">
        <w:t xml:space="preserve">6.1 </w:t>
      </w:r>
      <w:r>
        <w:t>The power of narrative: farmed caviar production, a conservation panacea?</w:t>
      </w:r>
      <w:bookmarkEnd w:id="76"/>
      <w:r>
        <w:t xml:space="preserve"> </w:t>
      </w:r>
    </w:p>
    <w:p w14:paraId="5E5504DA" w14:textId="71CC42B6" w:rsidR="00967716" w:rsidRDefault="00967716" w:rsidP="00967716">
      <w:pPr>
        <w:rPr>
          <w:rFonts w:cs="Times New Roman"/>
          <w:sz w:val="22"/>
        </w:rPr>
      </w:pPr>
      <w:r>
        <w:rPr>
          <w:rFonts w:cs="Times New Roman"/>
          <w:sz w:val="22"/>
        </w:rPr>
        <w:t xml:space="preserve">As outlined in chapter four, the major efforts to regulate caviar trade globally have focused upon restricting the harvest of wild sturgeon for caviar production. A subsequent result of these regulatory restrictions has been the proliferation of farmed caviar production as a ‘supply-side’ policy response </w:t>
      </w:r>
      <w:r>
        <w:rPr>
          <w:rFonts w:cs="Times New Roman"/>
          <w:sz w:val="22"/>
        </w:rPr>
        <w:fldChar w:fldCharType="begin" w:fldLock="1"/>
      </w:r>
      <w:r w:rsidR="00EC7F7E">
        <w:rPr>
          <w:rFonts w:cs="Times New Roman"/>
          <w:sz w:val="22"/>
        </w:rPr>
        <w:instrText>ADDIN CSL_CITATION {"citationItems":[{"id":"ITEM-1","itemData":{"DOI":"10.1016/j.gecco.2019.e00714","ISSN":"23519894","abstract":"Pangolins are threatened by overexploitation for local and international use. They are subject to an international commercial trade ban, and are also the focus of other interventions, including attempts at commercial captive breeding. The impact that the latter could have on the conservation of wild populations deserves consideration. We critically evaluate the feasibility of commercial captive breeding (or farming) of pangolins to displace wild collection and assess its potential conservation impact on pangolin conservation using a recently published framework developed for this purpose. Of the 17 conditions posited that need to be met for supply-side interventions to displace wild collection, we find that pangolins meet a maximum of only six conditions. This analysis suggests that pangolin farming will not displace wild collection in the near future. Major barriers include an inability to breed pangolins on a commercial scale and available data suggest that it would be unprofitable. The immediate impact of pangolin farming on conservation of the species’ is unclear, but it is unlikely to benefit the conservation of wild populations. If commercial captive breeding were possible, it is uncertain how it would affect economic incentives for poaching, interactions between legal and illegal markets, stockpile policies, and how consumers and Traditional Chinese Medicine (TCM) practitioners would respond. To understand better the potential overall impact of pangolin farming on wild populations there is a need for further research on these uncertainties. The framework used has utility in analysing the potential impact of wildlife farming but there remains a need for a more robust approach to evaluate potential impacts of supply-side interventions.","author":[{"dropping-particle":"","family":"Challender","given":"Daniel W.S.","non-dropping-particle":"","parse-names":false,"suffix":""},{"dropping-particle":"","family":"Sas-Rolfes","given":"Michael't","non-dropping-particle":"","parse-names":false,"suffix":""},{"dropping-particle":"","family":"Ades","given":"Gary W.J.","non-dropping-particle":"","parse-names":false,"suffix":""},{"dropping-particle":"","family":"Chin","given":"Jason S.C.","non-dropping-particle":"","parse-names":false,"suffix":""},{"dropping-particle":"","family":"Ching-Min Sun","given":"Nick","non-dropping-particle":"","parse-names":false,"suffix":""},{"dropping-particle":"","family":"Chong","given":"Ju lian","non-dropping-particle":"","parse-names":false,"suffix":""},{"dropping-particle":"","family":"Connelly","given":"Ellen","non-dropping-particle":"","parse-names":false,"suffix":""},{"dropping-particle":"","family":"Hywood","given":"Lisa","non-dropping-particle":"","parse-names":false,"suffix":""},{"dropping-particle":"","family":"Luz","given":"Sonja","non-dropping-particle":"","parse-names":false,"suffix":""},{"dropping-particle":"","family":"Mohapatra","given":"Rajesh K.","non-dropping-particle":"","parse-names":false,"suffix":""},{"dropping-particle":"","family":"Ornellas","given":"Paul","non-dropping-particle":"de","parse-names":false,"suffix":""},{"dropping-particle":"","family":"Parker","given":"Keri","non-dropping-particle":"","parse-names":false,"suffix":""},{"dropping-particle":"","family":"Pietersen","given":"Darren W.","non-dropping-particle":"","parse-names":false,"suffix":""},{"dropping-particle":"","family":"Roberton","given":"Scott I.","non-dropping-particle":"","parse-names":false,"suffix":""},{"dropping-particle":"","family":"Semiadi","given":"Gono","non-dropping-particle":"","parse-names":false,"suffix":""},{"dropping-particle":"","family":"Shaw","given":"Debbie","non-dropping-particle":"","parse-names":false,"suffix":""},{"dropping-particle":"","family":"Shepherd","given":"Chris R.","non-dropping-particle":"","parse-names":false,"suffix":""},{"dropping-particle":"","family":"Thomson","given":"Paul","non-dropping-particle":"","parse-names":false,"suffix":""},{"dropping-particle":"","family":"Wang","given":"Yifu","non-dropping-particle":"","parse-names":false,"suffix":""},{"dropping-particle":"","family":"Wicker","given":"Leanne","non-dropping-particle":"","parse-names":false,"suffix":""},{"dropping-particle":"","family":"Wu","given":"Shi Bao","non-dropping-particle":"","parse-names":false,"suffix":""},{"dropping-particle":"","family":"Nash","given":"Helen C.","non-dropping-particle":"","parse-names":false,"suffix":""}],"container-title":"Global Ecology and Conservation","id":"ITEM-1","issued":{"date-parts":[["2019"]]},"page":"e00714","publisher":"Elsevier Ltd","title":"Evaluating the feasibility of pangolin farming and its potential conservation impact","type":"article-journal","volume":"20"},"uris":["http://www.mendeley.com/documents/?uuid=e54d5d3a-4453-4149-96fa-8d588057955b"]}],"mendeley":{"formattedCitation":"(Challender &lt;i&gt;et al.&lt;/i&gt;, 2019)","plainTextFormattedCitation":"(Challender et al., 2019)","previouslyFormattedCitation":"(Challender &lt;i&gt;et al.&lt;/i&gt;, 2019)"},"properties":{"noteIndex":0},"schema":"https://github.com/citation-style-language/schema/raw/master/csl-citation.json"}</w:instrText>
      </w:r>
      <w:r>
        <w:rPr>
          <w:rFonts w:cs="Times New Roman"/>
          <w:sz w:val="22"/>
        </w:rPr>
        <w:fldChar w:fldCharType="separate"/>
      </w:r>
      <w:r w:rsidR="00042533" w:rsidRPr="00042533">
        <w:rPr>
          <w:rFonts w:cs="Times New Roman"/>
          <w:noProof/>
          <w:sz w:val="22"/>
        </w:rPr>
        <w:t xml:space="preserve">(Challender </w:t>
      </w:r>
      <w:r w:rsidR="00042533" w:rsidRPr="00042533">
        <w:rPr>
          <w:rFonts w:cs="Times New Roman"/>
          <w:i/>
          <w:noProof/>
          <w:sz w:val="22"/>
        </w:rPr>
        <w:t>et al.</w:t>
      </w:r>
      <w:r w:rsidR="00042533" w:rsidRPr="00042533">
        <w:rPr>
          <w:rFonts w:cs="Times New Roman"/>
          <w:noProof/>
          <w:sz w:val="22"/>
        </w:rPr>
        <w:t>, 2019)</w:t>
      </w:r>
      <w:r>
        <w:rPr>
          <w:rFonts w:cs="Times New Roman"/>
          <w:sz w:val="22"/>
        </w:rPr>
        <w:fldChar w:fldCharType="end"/>
      </w:r>
      <w:r>
        <w:rPr>
          <w:rFonts w:cs="Times New Roman"/>
          <w:sz w:val="22"/>
        </w:rPr>
        <w:t xml:space="preserve"> that is designed to continue to meet global demand for caviar. The high-level policy support for sturgeon aquaculture has resulted in farmed caviar production becoming entrenched as a geopolitical-ecological discourse in the European Union. </w:t>
      </w:r>
    </w:p>
    <w:p w14:paraId="7EA81940" w14:textId="5B91A1F2" w:rsidR="00967716" w:rsidRDefault="00967716" w:rsidP="00967716">
      <w:pPr>
        <w:ind w:firstLine="720"/>
        <w:rPr>
          <w:rFonts w:cs="Times New Roman"/>
          <w:sz w:val="22"/>
        </w:rPr>
      </w:pPr>
      <w:r>
        <w:rPr>
          <w:rFonts w:cs="Times New Roman"/>
          <w:sz w:val="22"/>
        </w:rPr>
        <w:t>O’Lear argues that geopolitical dis</w:t>
      </w:r>
      <w:r w:rsidR="005C7C12">
        <w:rPr>
          <w:rFonts w:cs="Times New Roman"/>
          <w:sz w:val="22"/>
        </w:rPr>
        <w:t>courses about the environment, “</w:t>
      </w:r>
      <w:r>
        <w:rPr>
          <w:rFonts w:cs="Times New Roman"/>
          <w:sz w:val="22"/>
        </w:rPr>
        <w:t>establish a particular way of orde</w:t>
      </w:r>
      <w:r w:rsidR="005C7C12">
        <w:rPr>
          <w:rFonts w:cs="Times New Roman"/>
          <w:sz w:val="22"/>
        </w:rPr>
        <w:t>ring and prioritizing the world”</w:t>
      </w:r>
      <w:r>
        <w:rPr>
          <w:rFonts w:cs="Times New Roman"/>
          <w:sz w:val="22"/>
        </w:rPr>
        <w:t xml:space="preserve"> </w:t>
      </w:r>
      <w:r>
        <w:rPr>
          <w:rFonts w:cs="Times New Roman"/>
          <w:sz w:val="22"/>
        </w:rPr>
        <w:fldChar w:fldCharType="begin" w:fldLock="1"/>
      </w:r>
      <w:r>
        <w:rPr>
          <w:rFonts w:cs="Times New Roman"/>
          <w:sz w:val="22"/>
        </w:rPr>
        <w:instrText>ADDIN CSL_CITATION {"citationItems":[{"id":"ITEM-1","itemData":{"ISBN":"1442265817","abstract":" This thought-provoking and clearly argued text provides a critical geopolitical lens for understanding global environment politics. A subfield of political geography, environmental geopolitics examines how environmental themes are used to support geopolitical arguments and physical realities of power and place. Shannon O’Lear considers common, problematic traits of such familiar but widely misunderstood narratives about human-environment relationships. Mainstream themes about human-environment relationships include narratives about presumed connections between human population trends and resource scarcity; ways in which conflict and violence are linked to resource use or environmental degradation; climate security; and the application of science to solve environmental problems. O’Lear questions these narratives, arguing that the role or meaning of the environment is rarely specified, humans’ role in these situations tends to be considered selectively, and little attention is paid to spatial dimensions of human-environment relationships. She shows that how we tend to think about environmental concerns often obscure value judgments and constrain more dynamic approaches to human-environment relationships. Environmental geopolitics demonstrates how we can question familiar assumptions to generate more just and creative approaches to our many relationships with the environment.\r\n","author":[{"dropping-particle":"","family":"O'Lear","given":"Shannon","non-dropping-particle":"","parse-names":false,"suffix":""}],"id":"ITEM-1","issued":{"date-parts":[["2018"]]},"number-of-pages":"216","title":"Environmental Geopolitics","type":"book"},"uris":["http://www.mendeley.com/documents/?uuid=59389a53-42d6-3563-9aec-f89f03ab5871"]}],"mendeley":{"formattedCitation":"(O’Lear, 2018)","manualFormatting":"(2018:15)","plainTextFormattedCitation":"(O’Lear, 2018)","previouslyFormattedCitation":"(O’Lear, 2018)"},"properties":{"noteIndex":0},"schema":"https://github.com/citation-style-language/schema/raw/master/csl-citation.json"}</w:instrText>
      </w:r>
      <w:r>
        <w:rPr>
          <w:rFonts w:cs="Times New Roman"/>
          <w:sz w:val="22"/>
        </w:rPr>
        <w:fldChar w:fldCharType="separate"/>
      </w:r>
      <w:r w:rsidRPr="00764A4D">
        <w:rPr>
          <w:rFonts w:cs="Times New Roman"/>
          <w:noProof/>
          <w:sz w:val="22"/>
        </w:rPr>
        <w:t>(2018</w:t>
      </w:r>
      <w:r>
        <w:rPr>
          <w:rFonts w:cs="Times New Roman"/>
          <w:noProof/>
          <w:sz w:val="22"/>
        </w:rPr>
        <w:t>:15</w:t>
      </w:r>
      <w:r w:rsidRPr="00764A4D">
        <w:rPr>
          <w:rFonts w:cs="Times New Roman"/>
          <w:noProof/>
          <w:sz w:val="22"/>
        </w:rPr>
        <w:t>)</w:t>
      </w:r>
      <w:r>
        <w:rPr>
          <w:rFonts w:cs="Times New Roman"/>
          <w:sz w:val="22"/>
        </w:rPr>
        <w:fldChar w:fldCharType="end"/>
      </w:r>
      <w:r>
        <w:rPr>
          <w:rFonts w:cs="Times New Roman"/>
          <w:sz w:val="22"/>
        </w:rPr>
        <w:t xml:space="preserve">. To this extent, the embedding of caviar aquaculture as a geopolitical-ecological discourse in the EU, has been fuelled </w:t>
      </w:r>
      <w:r w:rsidR="00EE4FBA">
        <w:rPr>
          <w:rFonts w:cs="Times New Roman"/>
          <w:sz w:val="22"/>
        </w:rPr>
        <w:t xml:space="preserve">by </w:t>
      </w:r>
      <w:r>
        <w:rPr>
          <w:rFonts w:cs="Times New Roman"/>
          <w:sz w:val="22"/>
        </w:rPr>
        <w:t>a policy shift that prioritises the commercial captive breeding of sturgeon for caviar, over wild harvest. This policy shift has been increasingly promoted by powerful political entities and global regulatory actors such as the CITES Secretariat. Indeed, a representative of the CI</w:t>
      </w:r>
      <w:r w:rsidR="005C7C12">
        <w:rPr>
          <w:rFonts w:cs="Times New Roman"/>
          <w:sz w:val="22"/>
        </w:rPr>
        <w:t>TES Secretariat explained that “</w:t>
      </w:r>
      <w:r>
        <w:rPr>
          <w:rFonts w:cs="Times New Roman"/>
          <w:sz w:val="22"/>
        </w:rPr>
        <w:t>the main push within CITES over the last years… was to basically rewrite the resolution in a way that it accommodates aquaculture – caviar produced in aquaculture and sturgeon produced in aquaculture – better</w:t>
      </w:r>
      <w:r w:rsidR="005C7C12">
        <w:rPr>
          <w:rFonts w:cs="Times New Roman"/>
          <w:sz w:val="22"/>
        </w:rPr>
        <w:t>”</w:t>
      </w:r>
      <w:r w:rsidRPr="005B292F">
        <w:rPr>
          <w:rStyle w:val="FootnoteReference"/>
        </w:rPr>
        <w:footnoteReference w:id="153"/>
      </w:r>
      <w:r>
        <w:rPr>
          <w:rFonts w:cs="Times New Roman"/>
          <w:sz w:val="22"/>
        </w:rPr>
        <w:t>. To this extent, caviar aquaculture has become entrenched as a geopolitical-ecological conservation-policy discourse that has gained support at</w:t>
      </w:r>
      <w:r w:rsidR="005C7C12">
        <w:rPr>
          <w:rFonts w:cs="Times New Roman"/>
          <w:sz w:val="22"/>
        </w:rPr>
        <w:t xml:space="preserve"> the highest global policy</w:t>
      </w:r>
      <w:r>
        <w:rPr>
          <w:rFonts w:cs="Times New Roman"/>
          <w:sz w:val="22"/>
        </w:rPr>
        <w:t xml:space="preserve"> levels. This discourse is further consolidated by the dissemination of a powerful narrative that designates farmed caviar production </w:t>
      </w:r>
      <w:r w:rsidR="005C7C12">
        <w:rPr>
          <w:rFonts w:cs="Times New Roman"/>
          <w:sz w:val="22"/>
        </w:rPr>
        <w:t xml:space="preserve">as </w:t>
      </w:r>
      <w:r>
        <w:rPr>
          <w:rFonts w:cs="Times New Roman"/>
          <w:sz w:val="22"/>
        </w:rPr>
        <w:t xml:space="preserve">the preeminent solution to declining sturgeon populations in the wild. </w:t>
      </w:r>
    </w:p>
    <w:p w14:paraId="2AB6011C" w14:textId="77777777" w:rsidR="00967716" w:rsidRPr="00553621" w:rsidRDefault="00967716" w:rsidP="00967716">
      <w:pPr>
        <w:pStyle w:val="Heading3"/>
      </w:pPr>
    </w:p>
    <w:p w14:paraId="235557A1" w14:textId="77777777" w:rsidR="00967716" w:rsidRPr="00553621" w:rsidRDefault="00967716" w:rsidP="00967716">
      <w:pPr>
        <w:pStyle w:val="Heading3"/>
      </w:pPr>
      <w:bookmarkStart w:id="77" w:name="_Toc453224235"/>
      <w:r w:rsidRPr="00553621">
        <w:t>6.1.1 Caviar and conservation farming: The narrative</w:t>
      </w:r>
      <w:bookmarkEnd w:id="77"/>
    </w:p>
    <w:p w14:paraId="1C0F9345" w14:textId="768C9A75" w:rsidR="00967716" w:rsidRDefault="00967716" w:rsidP="00967716">
      <w:pPr>
        <w:rPr>
          <w:rFonts w:cs="Times New Roman"/>
          <w:sz w:val="22"/>
        </w:rPr>
      </w:pPr>
      <w:r>
        <w:rPr>
          <w:rFonts w:cs="Times New Roman"/>
          <w:sz w:val="22"/>
        </w:rPr>
        <w:t>As the primary global instrument for regulating international caviar trade, CITES R</w:t>
      </w:r>
      <w:r w:rsidR="005C7C12">
        <w:rPr>
          <w:rFonts w:cs="Times New Roman"/>
          <w:sz w:val="22"/>
        </w:rPr>
        <w:t>esolution Conf 12.7 recognises “</w:t>
      </w:r>
      <w:r>
        <w:rPr>
          <w:rFonts w:cs="Times New Roman"/>
          <w:sz w:val="22"/>
        </w:rPr>
        <w:t xml:space="preserve">that the production of sturgeons in captivity </w:t>
      </w:r>
      <w:r w:rsidRPr="00F77BAE">
        <w:rPr>
          <w:rFonts w:cs="Times New Roman"/>
          <w:i/>
          <w:sz w:val="22"/>
        </w:rPr>
        <w:t>may</w:t>
      </w:r>
      <w:r>
        <w:rPr>
          <w:rFonts w:cs="Times New Roman"/>
          <w:sz w:val="22"/>
        </w:rPr>
        <w:t xml:space="preserve"> contribute to alleviating pressure on wild populations</w:t>
      </w:r>
      <w:r w:rsidR="005C7C12">
        <w:rPr>
          <w:rFonts w:cs="Times New Roman"/>
          <w:sz w:val="22"/>
        </w:rPr>
        <w:t>”</w:t>
      </w:r>
      <w:r w:rsidR="004C1513">
        <w:rPr>
          <w:rFonts w:cs="Times New Roman"/>
          <w:sz w:val="22"/>
        </w:rPr>
        <w:t xml:space="preserve"> </w:t>
      </w:r>
      <w:r w:rsidR="004C1513">
        <w:rPr>
          <w:rFonts w:cs="Times New Roman"/>
          <w:sz w:val="22"/>
        </w:rPr>
        <w:fldChar w:fldCharType="begin" w:fldLock="1"/>
      </w:r>
      <w:r w:rsidR="00280EB6">
        <w:rPr>
          <w:rFonts w:cs="Times New Roman"/>
          <w:sz w:val="22"/>
        </w:rPr>
        <w:instrText>ADDIN CSL_CITATION {"citationItems":[{"id":"ITEM-1","itemData":{"author":[{"dropping-particle":"","family":"CITES","given":"","non-dropping-particle":"","parse-names":false,"suffix":""}],"container-title":"Resolution Conf. 12.7 (Rev. CoP17)","id":"ITEM-1","issued":{"date-parts":[["2002"]]},"page":"1-7","title":"Conservation of and trade in sturgeons and paddlefish","type":"article-journal","volume":"7"},"uris":["http://www.mendeley.com/documents/?uuid=71071027-be10-4791-b045-d6e22fb46311"]}],"mendeley":{"formattedCitation":"(CITES, 2002)","manualFormatting":"(CITES, 2002:1, emphasis added)","plainTextFormattedCitation":"(CITES, 2002)","previouslyFormattedCitation":"(CITES, 2002)"},"properties":{"noteIndex":0},"schema":"https://github.com/citation-style-language/schema/raw/master/csl-citation.json"}</w:instrText>
      </w:r>
      <w:r w:rsidR="004C1513">
        <w:rPr>
          <w:rFonts w:cs="Times New Roman"/>
          <w:sz w:val="22"/>
        </w:rPr>
        <w:fldChar w:fldCharType="separate"/>
      </w:r>
      <w:r w:rsidR="004C1513" w:rsidRPr="004C1513">
        <w:rPr>
          <w:rFonts w:cs="Times New Roman"/>
          <w:noProof/>
          <w:sz w:val="22"/>
        </w:rPr>
        <w:t>(CITES, 2002</w:t>
      </w:r>
      <w:r w:rsidR="004C1513">
        <w:rPr>
          <w:rFonts w:cs="Times New Roman"/>
          <w:noProof/>
          <w:sz w:val="22"/>
        </w:rPr>
        <w:t>:1, emphasis added</w:t>
      </w:r>
      <w:r w:rsidR="004C1513" w:rsidRPr="004C1513">
        <w:rPr>
          <w:rFonts w:cs="Times New Roman"/>
          <w:noProof/>
          <w:sz w:val="22"/>
        </w:rPr>
        <w:t>)</w:t>
      </w:r>
      <w:r w:rsidR="004C1513">
        <w:rPr>
          <w:rFonts w:cs="Times New Roman"/>
          <w:sz w:val="22"/>
        </w:rPr>
        <w:fldChar w:fldCharType="end"/>
      </w:r>
      <w:r w:rsidR="004C1513">
        <w:rPr>
          <w:rFonts w:cs="Times New Roman"/>
          <w:sz w:val="22"/>
        </w:rPr>
        <w:t xml:space="preserve">. </w:t>
      </w:r>
      <w:r>
        <w:rPr>
          <w:rFonts w:cs="Times New Roman"/>
          <w:sz w:val="22"/>
        </w:rPr>
        <w:t xml:space="preserve">Although supportive of sturgeon aquaculture, </w:t>
      </w:r>
      <w:r>
        <w:rPr>
          <w:rFonts w:cs="Times New Roman"/>
          <w:sz w:val="22"/>
        </w:rPr>
        <w:lastRenderedPageBreak/>
        <w:t>this statement pales in comparison to s</w:t>
      </w:r>
      <w:r w:rsidR="005C7C12">
        <w:rPr>
          <w:rFonts w:cs="Times New Roman"/>
          <w:sz w:val="22"/>
        </w:rPr>
        <w:t xml:space="preserve">ome of the proclamations I </w:t>
      </w:r>
      <w:r>
        <w:rPr>
          <w:rFonts w:cs="Times New Roman"/>
          <w:sz w:val="22"/>
        </w:rPr>
        <w:t>witnessed about the conservation benefits of farmed caviar production. It seems that some actors – particularly in the caviar industry – have harnessed and built upon the statement laid out in CITES Resolution Conf 12.7, and in</w:t>
      </w:r>
      <w:r w:rsidR="005C7C12">
        <w:rPr>
          <w:rFonts w:cs="Times New Roman"/>
          <w:sz w:val="22"/>
        </w:rPr>
        <w:t xml:space="preserve"> the process have developed a powerful </w:t>
      </w:r>
      <w:r>
        <w:rPr>
          <w:rFonts w:cs="Times New Roman"/>
          <w:sz w:val="22"/>
        </w:rPr>
        <w:t xml:space="preserve">narrative that positions caviar aquaculture as the conservation panacea for endangered sturgeon. </w:t>
      </w:r>
    </w:p>
    <w:p w14:paraId="1C917CBF" w14:textId="7B79B2B8" w:rsidR="00967716" w:rsidRDefault="00967716" w:rsidP="00967716">
      <w:pPr>
        <w:ind w:firstLine="720"/>
        <w:rPr>
          <w:rFonts w:cs="Times New Roman"/>
          <w:sz w:val="22"/>
        </w:rPr>
      </w:pPr>
      <w:r>
        <w:rPr>
          <w:rFonts w:cs="Times New Roman"/>
          <w:sz w:val="22"/>
        </w:rPr>
        <w:t xml:space="preserve">For example, when discussing the regulatory mechanisms with sturgeon farmer and caviar producer Danut, he was supportive of the introduction of </w:t>
      </w:r>
      <w:r w:rsidR="00B9039A">
        <w:rPr>
          <w:rFonts w:cs="Times New Roman"/>
          <w:sz w:val="22"/>
        </w:rPr>
        <w:t xml:space="preserve">the </w:t>
      </w:r>
      <w:r>
        <w:rPr>
          <w:rFonts w:cs="Times New Roman"/>
          <w:sz w:val="22"/>
        </w:rPr>
        <w:t xml:space="preserve">export quotas and labelling system, but countered that these mechanisms alone would not save sturgeon because they do nothing to satiate demand for caviar. He remonstrated that the extent of sturgeon farming and quantity of caviar produced through aquaculture in the EU generally, and in Romania in particular, was not enough to </w:t>
      </w:r>
      <w:r w:rsidR="005C7C12">
        <w:rPr>
          <w:rFonts w:cs="Times New Roman"/>
          <w:sz w:val="22"/>
        </w:rPr>
        <w:t>support sturgeon conservation: “</w:t>
      </w:r>
      <w:r>
        <w:rPr>
          <w:rFonts w:cs="Times New Roman"/>
          <w:sz w:val="22"/>
        </w:rPr>
        <w:t>If nobody is producing enough, then what is the label helping?</w:t>
      </w:r>
      <w:r w:rsidR="005C7C12">
        <w:rPr>
          <w:rFonts w:cs="Times New Roman"/>
          <w:sz w:val="22"/>
        </w:rPr>
        <w:t>”</w:t>
      </w:r>
      <w:r w:rsidRPr="005B292F">
        <w:rPr>
          <w:rStyle w:val="FootnoteReference"/>
        </w:rPr>
        <w:footnoteReference w:id="154"/>
      </w:r>
      <w:r>
        <w:rPr>
          <w:rFonts w:cs="Times New Roman"/>
          <w:sz w:val="22"/>
        </w:rPr>
        <w:t xml:space="preserve">. Rather, he ardently reinforced his view that supply-side conservation interventions must be ramped up in the EU, and that the farming of sturgeon and farmed production of caviar needs to flourish, as </w:t>
      </w:r>
      <w:r w:rsidR="005C7C12">
        <w:rPr>
          <w:rFonts w:cs="Times New Roman"/>
          <w:sz w:val="22"/>
        </w:rPr>
        <w:t>“</w:t>
      </w:r>
      <w:r>
        <w:rPr>
          <w:rFonts w:cs="Times New Roman"/>
          <w:sz w:val="22"/>
        </w:rPr>
        <w:t xml:space="preserve">to save the species you can save it </w:t>
      </w:r>
      <w:r w:rsidRPr="007F2D9D">
        <w:rPr>
          <w:rFonts w:cs="Times New Roman"/>
          <w:i/>
          <w:sz w:val="22"/>
        </w:rPr>
        <w:t>only</w:t>
      </w:r>
      <w:r>
        <w:rPr>
          <w:rFonts w:cs="Times New Roman"/>
          <w:sz w:val="22"/>
        </w:rPr>
        <w:t xml:space="preserve"> through aquaculture</w:t>
      </w:r>
      <w:r w:rsidR="005C7C12">
        <w:rPr>
          <w:rFonts w:cs="Times New Roman"/>
          <w:sz w:val="22"/>
        </w:rPr>
        <w:t>”</w:t>
      </w:r>
      <w:r w:rsidRPr="005B292F">
        <w:rPr>
          <w:rStyle w:val="FootnoteReference"/>
        </w:rPr>
        <w:footnoteReference w:id="155"/>
      </w:r>
      <w:r>
        <w:rPr>
          <w:rFonts w:cs="Times New Roman"/>
          <w:sz w:val="22"/>
        </w:rPr>
        <w:t xml:space="preserve">. </w:t>
      </w:r>
    </w:p>
    <w:p w14:paraId="78AE28A9" w14:textId="77F18D54" w:rsidR="00967716" w:rsidRDefault="00967716" w:rsidP="00EE4FBA">
      <w:pPr>
        <w:ind w:firstLine="720"/>
        <w:rPr>
          <w:rFonts w:cs="Times New Roman"/>
          <w:sz w:val="22"/>
        </w:rPr>
      </w:pPr>
      <w:r>
        <w:rPr>
          <w:rFonts w:cs="Times New Roman"/>
          <w:sz w:val="22"/>
        </w:rPr>
        <w:t>Delegates at the Aller Aqua 9th International Sturgeon Conference</w:t>
      </w:r>
      <w:r w:rsidRPr="005B292F">
        <w:rPr>
          <w:rStyle w:val="FootnoteReference"/>
        </w:rPr>
        <w:footnoteReference w:id="156"/>
      </w:r>
      <w:r>
        <w:rPr>
          <w:rFonts w:cs="Times New Roman"/>
          <w:sz w:val="22"/>
        </w:rPr>
        <w:t xml:space="preserve"> held in Warsaw in November 2018 also expressed similar sentiments. This conference was targeted primarily at sturgeon and caviar producers, with a focus on discussing current trade issues and sharing practical knowledge on farming sturgeon and caviar production. Aside from sturgeon farmers and caviar producers, the presenters and attendees also included scientists and NGO representatives. It was these latter delegates in particular who sought to impart upon farmers and caviar producers, the message that aquaculture is imperative for sturgeon conservation. For example, a representative of the World Sturgeon Conservation Society stressed that:</w:t>
      </w:r>
    </w:p>
    <w:p w14:paraId="3D38551A" w14:textId="3C6EF6C0" w:rsidR="00EE4FBA" w:rsidRPr="00EE4FBA" w:rsidRDefault="005C7C12" w:rsidP="00EE4FBA">
      <w:pPr>
        <w:pStyle w:val="Quote"/>
      </w:pPr>
      <w:r>
        <w:t>W</w:t>
      </w:r>
      <w:r w:rsidR="00967716" w:rsidRPr="00072048">
        <w:t>e need to push the producers. It [conservation] is something for the producers to support… We hope producers understand how important conservation is and</w:t>
      </w:r>
      <w:r w:rsidR="00967716">
        <w:t xml:space="preserve"> will</w:t>
      </w:r>
      <w:r w:rsidR="00967716" w:rsidRPr="00072048">
        <w:t xml:space="preserve"> be willing to help… </w:t>
      </w:r>
      <w:r w:rsidR="00967716" w:rsidRPr="00771BC4">
        <w:t>there are some opportunities where only aquaculture is able to support the conservation of the species</w:t>
      </w:r>
      <w:r w:rsidR="00967716" w:rsidRPr="005B292F">
        <w:rPr>
          <w:rStyle w:val="FootnoteReference"/>
        </w:rPr>
        <w:footnoteReference w:id="157"/>
      </w:r>
      <w:r w:rsidR="00967716">
        <w:t>.</w:t>
      </w:r>
    </w:p>
    <w:p w14:paraId="558EB3E1" w14:textId="707CE456" w:rsidR="00967716" w:rsidRDefault="00967716" w:rsidP="00967716">
      <w:pPr>
        <w:rPr>
          <w:rFonts w:cs="Times New Roman"/>
          <w:sz w:val="22"/>
        </w:rPr>
      </w:pPr>
      <w:r w:rsidRPr="00C24D36">
        <w:rPr>
          <w:rFonts w:cs="Times New Roman"/>
          <w:sz w:val="22"/>
        </w:rPr>
        <w:t>Moreover, a sturgeon geneticist speaking a</w:t>
      </w:r>
      <w:r w:rsidR="00155E78" w:rsidRPr="00C24D36">
        <w:rPr>
          <w:rFonts w:cs="Times New Roman"/>
          <w:sz w:val="22"/>
        </w:rPr>
        <w:t>t the conference declared that “</w:t>
      </w:r>
      <w:r w:rsidRPr="00C24D36">
        <w:rPr>
          <w:rFonts w:cs="Times New Roman"/>
          <w:sz w:val="22"/>
        </w:rPr>
        <w:t>aquaculture has an</w:t>
      </w:r>
      <w:r w:rsidR="00155E78" w:rsidRPr="00C24D36">
        <w:rPr>
          <w:rFonts w:cs="Times New Roman"/>
          <w:sz w:val="22"/>
        </w:rPr>
        <w:t xml:space="preserve"> important role in conservation”, and that “</w:t>
      </w:r>
      <w:r w:rsidRPr="00C24D36">
        <w:rPr>
          <w:rFonts w:cs="Times New Roman"/>
          <w:sz w:val="22"/>
        </w:rPr>
        <w:t>sturgeon might have gone extinct by now if it weren’t for aquaculture</w:t>
      </w:r>
      <w:r w:rsidR="00155E78" w:rsidRPr="00C24D36">
        <w:rPr>
          <w:rFonts w:cs="Times New Roman"/>
          <w:sz w:val="22"/>
        </w:rPr>
        <w:t>”</w:t>
      </w:r>
      <w:r w:rsidRPr="00C24D36">
        <w:rPr>
          <w:rStyle w:val="FootnoteReference"/>
        </w:rPr>
        <w:footnoteReference w:id="158"/>
      </w:r>
      <w:r w:rsidRPr="00C24D36">
        <w:rPr>
          <w:rFonts w:cs="Times New Roman"/>
          <w:sz w:val="22"/>
        </w:rPr>
        <w:t>.</w:t>
      </w:r>
      <w:r>
        <w:rPr>
          <w:rFonts w:cs="Times New Roman"/>
          <w:sz w:val="22"/>
        </w:rPr>
        <w:t xml:space="preserve"> </w:t>
      </w:r>
    </w:p>
    <w:p w14:paraId="5E97A923" w14:textId="1763E962" w:rsidR="00967716" w:rsidRDefault="00967716" w:rsidP="00967716">
      <w:pPr>
        <w:rPr>
          <w:rFonts w:cs="Times New Roman"/>
          <w:sz w:val="22"/>
        </w:rPr>
      </w:pPr>
      <w:r>
        <w:rPr>
          <w:rFonts w:cs="Times New Roman"/>
          <w:sz w:val="22"/>
        </w:rPr>
        <w:lastRenderedPageBreak/>
        <w:tab/>
        <w:t>Similar narratives have also been expressed in the scientific literature, with studies posit</w:t>
      </w:r>
      <w:r w:rsidR="00155E78">
        <w:rPr>
          <w:rFonts w:cs="Times New Roman"/>
          <w:sz w:val="22"/>
        </w:rPr>
        <w:t>ioning sturgeon aquaculture as “</w:t>
      </w:r>
      <w:r>
        <w:rPr>
          <w:rFonts w:cs="Times New Roman"/>
          <w:sz w:val="22"/>
        </w:rPr>
        <w:t>of decisive importance for conservation and rest</w:t>
      </w:r>
      <w:r w:rsidR="00155E78">
        <w:rPr>
          <w:rFonts w:cs="Times New Roman"/>
          <w:sz w:val="22"/>
        </w:rPr>
        <w:t xml:space="preserve">oration of sturgeon populations” </w:t>
      </w:r>
      <w:r>
        <w:rPr>
          <w:rFonts w:cs="Times New Roman"/>
          <w:sz w:val="22"/>
        </w:rPr>
        <w:fldChar w:fldCharType="begin" w:fldLock="1"/>
      </w:r>
      <w:r>
        <w:rPr>
          <w:rFonts w:cs="Times New Roman"/>
          <w:sz w:val="22"/>
        </w:rPr>
        <w:instrText>ADDIN CSL_CITATION {"citationItems":[{"id":"ITEM-1","itemData":{"abstract":"STEFFENS, W., 2008. Significance of aquaculture for the conservation and restoration of sturgeon populations. Bulg. J. Agric. Sci., 14: 155-164 Sturgeons (family Acipenseridae), endemic in Eurasia and North America, are mostly fast-growing, long-lived migratory anadromous fish species of high ecological and economic value. They reach maturity often at high age. Most of their stocks have declined considerably during the last years. Main causes are over-exploitation, river regulations (damming) and deterioration of water quality (pollution). Several species are highly endangered, facing the risk of extinction. Besides national and international measures for improving the environment and for establishing management programmes aquaculture is of decisive importance for the conservation and restoration of sturgeon populations. First essential bases of sturgeon aquaculture by means of hypophysation were elaborated and introduced into practice already in the first half of the last century by N. L. Gerbilskij (1900-1967). Sturgeon farming has two tasks. Firstly it is necessary to produce fingerlings suited for stocking natural waters. By this means it is possible to support or even enhance the populations. Secondly sturgeon meat and caviar can be produced for the market. This substantially contributes to reduce the fishing pressure to natural stocks of sturgeons. Aquaculture of sturgeons comprises the following steps: establishment of brood stocks, propagation, incubation of eggs, rearing of fry and fingerlings, production of marketable fish, processing of meat and caviar. To improve technology and procedures for sturgeon aquaculture extensive scientific research mainly in the field of genetics, reproductive physiology, nutrition and feed manufacturing as well as prevention of diseases but also economics and marketing is required. Without aquaculture and international cooperation sturgeon species in natural waters cannot be saved.","author":[{"dropping-particle":"","family":"Steffens","given":"W","non-dropping-particle":"","parse-names":false,"suffix":""}],"container-title":"Bulgarian Journal of Agricultural Science","id":"ITEM-1","issue":"2","issued":{"date-parts":[["2008"]]},"number-of-pages":"155-164","title":"SIGNIFICANCE OF AQUACULTURE FOR THE CONSERVATION AND RESTORATION OF STURGEON POPULATIONS Systematics and Distribution","type":"report","volume":"14"},"uris":["http://www.mendeley.com/documents/?uuid=d364682f-0d75-3f32-b54b-ed37163f287a"]}],"mendeley":{"formattedCitation":"(Steffens, 2008)","manualFormatting":"(Steffens, 2008: 162)","plainTextFormattedCitation":"(Steffens, 2008)","previouslyFormattedCitation":"(Steffens, 2008)"},"properties":{"noteIndex":0},"schema":"https://github.com/citation-style-language/schema/raw/master/csl-citation.json"}</w:instrText>
      </w:r>
      <w:r>
        <w:rPr>
          <w:rFonts w:cs="Times New Roman"/>
          <w:sz w:val="22"/>
        </w:rPr>
        <w:fldChar w:fldCharType="separate"/>
      </w:r>
      <w:r w:rsidRPr="00DE3562">
        <w:rPr>
          <w:rFonts w:cs="Times New Roman"/>
          <w:noProof/>
          <w:sz w:val="22"/>
        </w:rPr>
        <w:t>(Steffens, 2008</w:t>
      </w:r>
      <w:r>
        <w:rPr>
          <w:rFonts w:cs="Times New Roman"/>
          <w:noProof/>
          <w:sz w:val="22"/>
        </w:rPr>
        <w:t>: 162</w:t>
      </w:r>
      <w:r w:rsidRPr="00DE3562">
        <w:rPr>
          <w:rFonts w:cs="Times New Roman"/>
          <w:noProof/>
          <w:sz w:val="22"/>
        </w:rPr>
        <w:t>)</w:t>
      </w:r>
      <w:r>
        <w:rPr>
          <w:rFonts w:cs="Times New Roman"/>
          <w:sz w:val="22"/>
        </w:rPr>
        <w:fldChar w:fldCharType="end"/>
      </w:r>
      <w:r>
        <w:rPr>
          <w:rFonts w:cs="Times New Roman"/>
          <w:sz w:val="22"/>
        </w:rPr>
        <w:t>. Furthermore, the narrative has trickled down into more popular forms of media, with the news section of seafood business website SeafoodSource, publish</w:t>
      </w:r>
      <w:r w:rsidR="00155E78">
        <w:rPr>
          <w:rFonts w:cs="Times New Roman"/>
          <w:sz w:val="22"/>
        </w:rPr>
        <w:t>ing an article concluding that “</w:t>
      </w:r>
      <w:r>
        <w:rPr>
          <w:rFonts w:cs="Times New Roman"/>
          <w:sz w:val="22"/>
        </w:rPr>
        <w:t>aquaculture seems to be the best hope for sturgeon’s survival</w:t>
      </w:r>
      <w:r w:rsidR="00155E78">
        <w:rPr>
          <w:rFonts w:cs="Times New Roman"/>
          <w:sz w:val="22"/>
        </w:rPr>
        <w:t>”</w:t>
      </w:r>
      <w:r w:rsidRPr="005B292F">
        <w:rPr>
          <w:rStyle w:val="FootnoteReference"/>
        </w:rPr>
        <w:footnoteReference w:id="159"/>
      </w:r>
      <w:r>
        <w:rPr>
          <w:rFonts w:cs="Times New Roman"/>
          <w:sz w:val="22"/>
        </w:rPr>
        <w:t>. High profile conservation NGOs such as WWF have also</w:t>
      </w:r>
      <w:r w:rsidR="00155E78">
        <w:rPr>
          <w:rFonts w:cs="Times New Roman"/>
          <w:sz w:val="22"/>
        </w:rPr>
        <w:t xml:space="preserve"> communicated the message that “</w:t>
      </w:r>
      <w:r>
        <w:rPr>
          <w:rFonts w:cs="Times New Roman"/>
          <w:sz w:val="22"/>
        </w:rPr>
        <w:t>farms can satisfy the demand for caviar without putting a pressure on wild populations</w:t>
      </w:r>
      <w:r w:rsidR="00155E78">
        <w:rPr>
          <w:rFonts w:cs="Times New Roman"/>
          <w:sz w:val="22"/>
        </w:rPr>
        <w:t>”</w:t>
      </w:r>
      <w:r w:rsidRPr="005B292F">
        <w:rPr>
          <w:rStyle w:val="FootnoteReference"/>
        </w:rPr>
        <w:footnoteReference w:id="160"/>
      </w:r>
      <w:r>
        <w:rPr>
          <w:rFonts w:cs="Times New Roman"/>
          <w:sz w:val="22"/>
        </w:rPr>
        <w:t>. Thus, the narrative that farmed caviar production and sturgeon aquaculture can save endangered wild sturgeon, is reinforced and disseminated across a broad spectrum of sectors ranging from conserva</w:t>
      </w:r>
      <w:r w:rsidR="00B9039A">
        <w:rPr>
          <w:rFonts w:cs="Times New Roman"/>
          <w:sz w:val="22"/>
        </w:rPr>
        <w:t>tion organisations to businesses</w:t>
      </w:r>
      <w:r>
        <w:rPr>
          <w:rFonts w:cs="Times New Roman"/>
          <w:sz w:val="22"/>
        </w:rPr>
        <w:t>. Through the widespread dissemination of this narrative, farmed caviar production is entrenched as a geopolitical-ecological discourse, and positioned as the central component in the drive to conserve wild sturgeon in the EU and beyond.</w:t>
      </w:r>
    </w:p>
    <w:p w14:paraId="7B407ADA" w14:textId="0FDBF5C1" w:rsidR="00967716" w:rsidRDefault="00967716" w:rsidP="00967716">
      <w:pPr>
        <w:ind w:firstLine="720"/>
        <w:rPr>
          <w:rFonts w:cs="Times New Roman"/>
          <w:sz w:val="22"/>
        </w:rPr>
      </w:pPr>
      <w:r>
        <w:rPr>
          <w:rFonts w:cs="Times New Roman"/>
          <w:sz w:val="22"/>
        </w:rPr>
        <w:t>In explaining exactly how farmed caviar production acts as the panacea for sturgeon conservation, prop</w:t>
      </w:r>
      <w:r w:rsidR="00155E78">
        <w:rPr>
          <w:rFonts w:cs="Times New Roman"/>
          <w:sz w:val="22"/>
        </w:rPr>
        <w:t>onents of this narrative argue: “</w:t>
      </w:r>
      <w:r>
        <w:rPr>
          <w:rFonts w:cs="Times New Roman"/>
          <w:sz w:val="22"/>
        </w:rPr>
        <w:t>that aquaculture reduces pressure on wild [sturgeon] populations. From the poachers point of view, if caviar prices decline, it is no longer so profitable for them to engage in it [poaching]</w:t>
      </w:r>
      <w:r w:rsidR="00155E78">
        <w:rPr>
          <w:rFonts w:cs="Times New Roman"/>
          <w:sz w:val="22"/>
        </w:rPr>
        <w:t>”</w:t>
      </w:r>
      <w:r w:rsidRPr="005B292F">
        <w:rPr>
          <w:rStyle w:val="FootnoteReference"/>
        </w:rPr>
        <w:footnoteReference w:id="161"/>
      </w:r>
      <w:r>
        <w:rPr>
          <w:rFonts w:cs="Times New Roman"/>
          <w:sz w:val="22"/>
        </w:rPr>
        <w:t>. Further expandin</w:t>
      </w:r>
      <w:r w:rsidR="00155E78">
        <w:rPr>
          <w:rFonts w:cs="Times New Roman"/>
          <w:sz w:val="22"/>
        </w:rPr>
        <w:t>g on this, Danut stressed that “</w:t>
      </w:r>
      <w:r>
        <w:rPr>
          <w:rFonts w:cs="Times New Roman"/>
          <w:sz w:val="22"/>
        </w:rPr>
        <w:t xml:space="preserve">because you produce more, you can sell it cheaper. The caviar. The meat. You can sell it cheaper even than the poached fish. </w:t>
      </w:r>
      <w:r w:rsidRPr="00330484">
        <w:rPr>
          <w:rFonts w:cs="Times New Roman"/>
          <w:i/>
          <w:sz w:val="22"/>
        </w:rPr>
        <w:t>Everybody</w:t>
      </w:r>
      <w:r>
        <w:rPr>
          <w:rFonts w:cs="Times New Roman"/>
          <w:sz w:val="22"/>
        </w:rPr>
        <w:t xml:space="preserve"> knows it who is in the fishing business. Through aquaculture you can protect the natural species</w:t>
      </w:r>
      <w:r w:rsidR="00155E78">
        <w:rPr>
          <w:rFonts w:cs="Times New Roman"/>
          <w:sz w:val="22"/>
        </w:rPr>
        <w:t>”</w:t>
      </w:r>
      <w:r w:rsidRPr="005B292F">
        <w:rPr>
          <w:rStyle w:val="FootnoteReference"/>
        </w:rPr>
        <w:footnoteReference w:id="162"/>
      </w:r>
      <w:r>
        <w:rPr>
          <w:rFonts w:cs="Times New Roman"/>
          <w:sz w:val="22"/>
        </w:rPr>
        <w:t xml:space="preserve">. </w:t>
      </w:r>
    </w:p>
    <w:p w14:paraId="3D6ED0EA" w14:textId="5F5170BB" w:rsidR="00FC70E0" w:rsidRDefault="00967716" w:rsidP="00FC70E0">
      <w:pPr>
        <w:ind w:firstLine="720"/>
        <w:rPr>
          <w:rFonts w:cs="Times New Roman"/>
          <w:sz w:val="22"/>
        </w:rPr>
      </w:pPr>
      <w:r>
        <w:rPr>
          <w:rFonts w:cs="Times New Roman"/>
          <w:sz w:val="22"/>
        </w:rPr>
        <w:t xml:space="preserve">This hypothesis is central to the wider field of ‘conservation farming’ </w:t>
      </w:r>
      <w:r>
        <w:rPr>
          <w:rFonts w:cs="Times New Roman"/>
          <w:sz w:val="22"/>
        </w:rPr>
        <w:fldChar w:fldCharType="begin" w:fldLock="1"/>
      </w:r>
      <w:r w:rsidR="00EC7F7E">
        <w:rPr>
          <w:rFonts w:cs="Times New Roman"/>
          <w:sz w:val="22"/>
        </w:rPr>
        <w:instrText>ADDIN CSL_CITATION {"citationItems":[{"id":"ITEM-1","itemData":{"DOI":"10.1111/conl.12681","ISSN":"1755263X","abstract":"Thousands of species worldwide are threatened with extinction due to human activities. For some animals, such as elephants, totoaba, and bluefin tuna, population declines are largely driven by hunting. High prices and large profits create a strong incentive for illegal hunting, even in the face of penalties and strict international restrictions against trade. One innovative solution to help reverse the declines of such species is to farm them to increase supply, thereby reducing prices and decreasing hunting incentives. However, this idea has been criticized as impractical, though some examples exist of successful implementation. Here, we evaluate the hurdles facing endangered species farming as a market-based mechanism to reduce illegal harvest of wild populations and provide guidance on when it is most likely to be effective. Using a simple model, we show how farming costs and enforcement of anti-poaching measures are key drivers of success for this solution. We also argue that many of the most promising candidates are aquatic species that have been largely overlooked. Thus, while conservation farming may not be a solution for all endangered species, it should be more seriously considered for species that could be produced quickly and cost-effectively.","author":[{"dropping-particle":"","family":"Gentry","given":"Rebecca R.","non-dropping-particle":"","parse-names":false,"suffix":""},{"dropping-particle":"","family":"Gaines","given":"Steven D.","non-dropping-particle":"","parse-names":false,"suffix":""},{"dropping-particle":"","family":"Gabe","given":"Jeremy S.","non-dropping-particle":"","parse-names":false,"suffix":""},{"dropping-particle":"","family":"Lester","given":"Sarah E.","non-dropping-particle":"","parse-names":false,"suffix":""}],"container-title":"Conservation Letters","id":"ITEM-1","issue":"6","issued":{"date-parts":[["2019"]]},"page":"1-7","title":"Looking to aquatic species for conservation farming success","type":"article-journal","volume":"12"},"uris":["http://www.mendeley.com/documents/?uuid=2d5d891b-ac98-4eee-8e5b-b53ae5e20d0a"]}],"mendeley":{"formattedCitation":"(Gentry &lt;i&gt;et al.&lt;/i&gt;, 2019)","plainTextFormattedCitation":"(Gentry et al., 2019)","previouslyFormattedCitation":"(Gentry &lt;i&gt;et al.&lt;/i&gt;, 2019)"},"properties":{"noteIndex":0},"schema":"https://github.com/citation-style-language/schema/raw/master/csl-citation.json"}</w:instrText>
      </w:r>
      <w:r>
        <w:rPr>
          <w:rFonts w:cs="Times New Roman"/>
          <w:sz w:val="22"/>
        </w:rPr>
        <w:fldChar w:fldCharType="separate"/>
      </w:r>
      <w:r w:rsidR="00042533" w:rsidRPr="00042533">
        <w:rPr>
          <w:rFonts w:cs="Times New Roman"/>
          <w:noProof/>
          <w:sz w:val="22"/>
        </w:rPr>
        <w:t xml:space="preserve">(Gentry </w:t>
      </w:r>
      <w:r w:rsidR="00042533" w:rsidRPr="00042533">
        <w:rPr>
          <w:rFonts w:cs="Times New Roman"/>
          <w:i/>
          <w:noProof/>
          <w:sz w:val="22"/>
        </w:rPr>
        <w:t>et al.</w:t>
      </w:r>
      <w:r w:rsidR="00042533" w:rsidRPr="00042533">
        <w:rPr>
          <w:rFonts w:cs="Times New Roman"/>
          <w:noProof/>
          <w:sz w:val="22"/>
        </w:rPr>
        <w:t>, 2019)</w:t>
      </w:r>
      <w:r>
        <w:rPr>
          <w:rFonts w:cs="Times New Roman"/>
          <w:sz w:val="22"/>
        </w:rPr>
        <w:fldChar w:fldCharType="end"/>
      </w:r>
      <w:r>
        <w:rPr>
          <w:rFonts w:cs="Times New Roman"/>
          <w:sz w:val="22"/>
        </w:rPr>
        <w:t xml:space="preserve">, upon which the geopolitical-ecological discourse of caviar aquaculture is built. The commercial captive farming of endangered wild flora and fauna threatened by overexploitation for global wildlife trade, has been implemented in a range of global contexts and is a ‘growing industry’ </w:t>
      </w:r>
      <w:r>
        <w:rPr>
          <w:rFonts w:cs="Times New Roman"/>
          <w:sz w:val="22"/>
        </w:rPr>
        <w:fldChar w:fldCharType="begin" w:fldLock="1"/>
      </w:r>
      <w:r>
        <w:rPr>
          <w:rFonts w:cs="Times New Roman"/>
          <w:sz w:val="22"/>
        </w:rPr>
        <w:instrText>ADDIN CSL_CITATION {"citationItems":[{"id":"ITEM-1","itemData":{"DOI":"10.1016/j.gecco.2016.03.007","ISSN":"23519894","abstract":"Wild animals and their derivatives are traded worldwide. Consequent poaching has been a main threat to species conservation. As current interventions and law enforcement cannot circumvent the resulting extinction of species, an alternative approach must be considered. It has been suggested that commercial breeding can keep the pressure off wild populations, referred to as wildlife farming. During this review, it is argued that wildlife farming can benefit species conservation only if the following criteria are met: (i) the legal products will form a substitute, and consumers show no preference for wild-caught animals; (ii) a substantial part of the demand is met, and the demand does not increase due to the legalized market; (iii) the legal products will be more cost-efficient, in order to combat the black market prices; (iv) wildlife farming does not rely on wild populations for re-stocking; (v) laundering of illegal products into the commercial trade is absent. For most species encountered in the wildlife trade, these criteria are unlikely to be met in reality and commercial breeding has the potential to have the opposite effect to what is desired for conservation. For some species, however, none of the criteria are violated, and wildlife farming can be considered a possible conservation tool as it may help to take the pressure off wild populations. For these species, future research should focus on the impact of legal products on the market dynamics, effective law enforcement that can prevent corruption, and wildlife forensics that enable the distinction between captive-bred and wild-caught species.","author":[{"dropping-particle":"","family":"Tensen","given":"Laura","non-dropping-particle":"","parse-names":false,"suffix":""}],"container-title":"Global Ecology and Conservation","id":"ITEM-1","issued":{"date-parts":[["2016"]]},"page":"286-298","publisher":"Elsevier B.V.","title":"Under what circumstances can wildlife farming benefit species conservation?","type":"article-journal","volume":"6"},"uris":["http://www.mendeley.com/documents/?uuid=eef8ae2e-b35d-47ab-a521-63aff1935c86"]}],"mendeley":{"formattedCitation":"(Tensen, 2016)","plainTextFormattedCitation":"(Tensen, 2016)","previouslyFormattedCitation":"(Tensen, 2016)"},"properties":{"noteIndex":0},"schema":"https://github.com/citation-style-language/schema/raw/master/csl-citation.json"}</w:instrText>
      </w:r>
      <w:r>
        <w:rPr>
          <w:rFonts w:cs="Times New Roman"/>
          <w:sz w:val="22"/>
        </w:rPr>
        <w:fldChar w:fldCharType="separate"/>
      </w:r>
      <w:r w:rsidRPr="003F20F5">
        <w:rPr>
          <w:rFonts w:cs="Times New Roman"/>
          <w:noProof/>
          <w:sz w:val="22"/>
        </w:rPr>
        <w:t>(Tensen, 2016)</w:t>
      </w:r>
      <w:r>
        <w:rPr>
          <w:rFonts w:cs="Times New Roman"/>
          <w:sz w:val="22"/>
        </w:rPr>
        <w:fldChar w:fldCharType="end"/>
      </w:r>
      <w:r>
        <w:rPr>
          <w:rFonts w:cs="Times New Roman"/>
          <w:sz w:val="22"/>
        </w:rPr>
        <w:t xml:space="preserve">. Conservation farming has been explored for species including, but not limited to: lions </w:t>
      </w:r>
      <w:r>
        <w:rPr>
          <w:rFonts w:cs="Times New Roman"/>
          <w:sz w:val="22"/>
        </w:rPr>
        <w:fldChar w:fldCharType="begin" w:fldLock="1"/>
      </w:r>
      <w:r w:rsidR="00EC7F7E">
        <w:rPr>
          <w:rFonts w:cs="Times New Roman"/>
          <w:sz w:val="22"/>
        </w:rPr>
        <w:instrText>ADDIN CSL_CITATION {"citationItems":[{"id":"ITEM-1","itemData":{"DOI":"10.1371/journal.pone.0217409","ISBN":"1111111111","ISSN":"19326203","abstract":"Commercial captive breeding and trade in body parts of threatened wild carnivores is an issue of significant concern to conservation scientists and policy-makers. Following a 2016 decision by Parties to the Convention on International Trade in Endangered Species of Wild Fauna and Flora, South Africa must establish an annual export quota for lion skeletons from captive sources, such that threats to wild lions are mitigated. As input to the quota-setting process, South Africa's Scientific Authority initiated interdisciplinary collaborative research on the captive lion industry and its potential links to wild lion conservation. A National Captive Lion Survey was conducted as one of the inputs to this research; the survey was launched in August 2017 and completed in May 2018. The structured semi-quantitative questionnaire elicited 117 usable responses, representing a substantial proportion of the industry. The survey results clearly illustrate the impact of a USA suspension on trophy imports from captive-bred South African lions, which affected 82% of respondents and economically destabilised the industry. Respondents are adapting in various ways, with many euthanizing lions and becoming increasingly reliant on income from skeleton export sales. With rising consumer demand for lion body parts, notably skulls, the export quota presents a further challenge to the industry, regulators and conservationists alike, with 52% of respondents indicating they would adapt by seeking 'alternative markets' for lion bones if the export quota allocation restricted their business. Recognizing that trade policy toward large carnivores represents a 'wicked problem', we anticipate that these results will inform future deliberations, which must nonetheless also be informed by challenging inclusive engagements with all relevant stakeholders.","author":[{"dropping-particle":"","family":"Williams","given":"Vivienne L.","non-dropping-particle":"","parse-names":false,"suffix":""},{"dropping-particle":"","family":"Sas-Rolfes","given":"Michael J.","non-dropping-particle":"","parse-names":false,"suffix":""}],"container-title":"PLoS ONE","id":"ITEM-1","issue":"5","issued":{"date-parts":[["2019"]]},"number-of-pages":"1-31","title":"Born captive: A survey of the lion breeding, keeping and hunting industries in South Africa","type":"book","volume":"14"},"uris":["http://www.mendeley.com/documents/?uuid=ecb43558-9a6c-4edb-9c74-cff4cdbe814d"]}],"mendeley":{"formattedCitation":"(Williams and Sas-Rolfes, 2019)","plainTextFormattedCitation":"(Williams and Sas-Rolfes, 2019)","previouslyFormattedCitation":"(Williams and Sas-Rolfes, 2019)"},"properties":{"noteIndex":0},"schema":"https://github.com/citation-style-language/schema/raw/master/csl-citation.json"}</w:instrText>
      </w:r>
      <w:r>
        <w:rPr>
          <w:rFonts w:cs="Times New Roman"/>
          <w:sz w:val="22"/>
        </w:rPr>
        <w:fldChar w:fldCharType="separate"/>
      </w:r>
      <w:r w:rsidR="00042533" w:rsidRPr="00042533">
        <w:rPr>
          <w:rFonts w:cs="Times New Roman"/>
          <w:noProof/>
          <w:sz w:val="22"/>
        </w:rPr>
        <w:t>(Williams and Sas-Rolfes, 2019)</w:t>
      </w:r>
      <w:r>
        <w:rPr>
          <w:rFonts w:cs="Times New Roman"/>
          <w:sz w:val="22"/>
        </w:rPr>
        <w:fldChar w:fldCharType="end"/>
      </w:r>
      <w:r>
        <w:rPr>
          <w:rFonts w:cs="Times New Roman"/>
          <w:sz w:val="22"/>
        </w:rPr>
        <w:t xml:space="preserve">, tigers </w:t>
      </w:r>
      <w:r>
        <w:rPr>
          <w:rFonts w:cs="Times New Roman"/>
          <w:sz w:val="22"/>
        </w:rPr>
        <w:fldChar w:fldCharType="begin" w:fldLock="1"/>
      </w:r>
      <w:r w:rsidR="00EC7F7E">
        <w:rPr>
          <w:rFonts w:cs="Times New Roman"/>
          <w:sz w:val="22"/>
        </w:rPr>
        <w:instrText>ADDIN CSL_CITATION {"citationItems":[{"id":"ITEM-1","itemData":{"DOI":"10.1111/j.1523-1739.2010.01468.x","ISSN":"08888892","abstract":"The lucrative, illegal trade in tigers (Panthera tigris) remains a major conservation problem. Tiger farming has been proposed as a potential solution, with farmed tigers substituting for wild tigers. At first glance, this argument's logic seems simple: farming will increase the supply of tigers, prices will fall, and poaching will no longer be profitable. We contend, however, that this supply-side argument relies on mistaken assumptions. First, tiger markets are imperfect, meaning they are dominated by a few producers who control price. Second, consumers prefer wild tigers to farmed tigers and therefore the two are not pure substitutes. In economic terms, products from wild tigers are luxury goods, commanding a price premium. Third, there is no evidence that farmed tigers can be produced or sold more cheaply than wild tigers. In sum, it is unlikely that farming will drive down the price of wild-caught tigers or decrease profitability for tiger poachers. Rather, tiger farming is more likely to increase aggregate demand for tiger products and stimulate higher levels of poaching. © 2010 Society for Conservation Biology.","author":[{"dropping-particle":"","family":"Kirkpatrick","given":"R. Craig","non-dropping-particle":"","parse-names":false,"suffix":""},{"dropping-particle":"","family":"Emerton","given":"Lucy","non-dropping-particle":"","parse-names":false,"suffix":""}],"container-title":"Conservation Biology","id":"ITEM-1","issue":"3","issued":{"date-parts":[["2010"]]},"page":"655-659","title":"Killing Tigers to Save Them: Fallacies of the Farming Argument","type":"article-journal","volume":"24"},"uris":["http://www.mendeley.com/documents/?uuid=b7bf48c6-48fe-4f70-99c2-026d1bfa0806"]}],"mendeley":{"formattedCitation":"(Kirkpatrick and Emerton, 2010)","plainTextFormattedCitation":"(Kirkpatrick and Emerton, 2010)","previouslyFormattedCitation":"(Kirkpatrick and Emerton, 2010)"},"properties":{"noteIndex":0},"schema":"https://github.com/citation-style-language/schema/raw/master/csl-citation.json"}</w:instrText>
      </w:r>
      <w:r>
        <w:rPr>
          <w:rFonts w:cs="Times New Roman"/>
          <w:sz w:val="22"/>
        </w:rPr>
        <w:fldChar w:fldCharType="separate"/>
      </w:r>
      <w:r w:rsidR="00042533" w:rsidRPr="00042533">
        <w:rPr>
          <w:rFonts w:cs="Times New Roman"/>
          <w:noProof/>
          <w:sz w:val="22"/>
        </w:rPr>
        <w:t>(Kirkpatrick and Emerton, 2010)</w:t>
      </w:r>
      <w:r>
        <w:rPr>
          <w:rFonts w:cs="Times New Roman"/>
          <w:sz w:val="22"/>
        </w:rPr>
        <w:fldChar w:fldCharType="end"/>
      </w:r>
      <w:r>
        <w:rPr>
          <w:rFonts w:cs="Times New Roman"/>
          <w:sz w:val="22"/>
        </w:rPr>
        <w:t xml:space="preserve">, alligators </w:t>
      </w:r>
      <w:r>
        <w:rPr>
          <w:rFonts w:cs="Times New Roman"/>
          <w:sz w:val="22"/>
        </w:rPr>
        <w:fldChar w:fldCharType="begin" w:fldLock="1"/>
      </w:r>
      <w:r>
        <w:rPr>
          <w:rFonts w:cs="Times New Roman"/>
          <w:sz w:val="22"/>
        </w:rPr>
        <w:instrText>ADDIN CSL_CITATION {"citationItems":[{"id":"ITEM-1","itemData":{"DOI":"10.1007/s10531-013-0501-9","ISSN":"09603115","abstract":"Wildlife farming is a contentious conservation measure. In Louisiana alligator farming has generated significant conservation gains. This case study is used to test several assumptions employed in debates about wildlife farming. These include whether farming 'floods' the market to depress prices and deter poaching, whether it encourages wild harvest and whether it can compete against wild harvest. Data from over three decades is used to model harvest behaviour with OLS and SUR models. This shows strong separation between the market between farmed and wild alligator skins. Immense rises in farmed output have not caused prices to collapse, however poaching has collapsed. This highlights that farming can have important non-price effects on poaching. Assumptions that are commonly used to debate wildlife farming are not supported in this example. Such assumptions, including open-access of the wildlife, inert and exogenous wildlife managers and excluding indirect benefits of wildlife farming tend to bias policy away from farming. Using these assumptions makes it harder to identify cases where wildlife farming could assist conservation objectives. © 2013 Springer Science+Business Media Dordrecht.","author":[{"dropping-particle":"","family":"Moyle","given":"Brendan","non-dropping-particle":"","parse-names":false,"suffix":""}],"container-title":"Biodiversity and Conservation","id":"ITEM-1","issue":"8","issued":{"date-parts":[["2013"]]},"page":"1663-1677","title":"Conservation that's more than skin-deep: Alligator farming","type":"article-journal","volume":"22"},"uris":["http://www.mendeley.com/documents/?uuid=24cd6d1d-c518-48eb-a3c4-09200d59f63f"]}],"mendeley":{"formattedCitation":"(Moyle, 2013)","plainTextFormattedCitation":"(Moyle, 2013)","previouslyFormattedCitation":"(Moyle, 2013)"},"properties":{"noteIndex":0},"schema":"https://github.com/citation-style-language/schema/raw/master/csl-citation.json"}</w:instrText>
      </w:r>
      <w:r>
        <w:rPr>
          <w:rFonts w:cs="Times New Roman"/>
          <w:sz w:val="22"/>
        </w:rPr>
        <w:fldChar w:fldCharType="separate"/>
      </w:r>
      <w:r w:rsidRPr="00F12CD7">
        <w:rPr>
          <w:rFonts w:cs="Times New Roman"/>
          <w:noProof/>
          <w:sz w:val="22"/>
        </w:rPr>
        <w:t>(Moyle, 2013)</w:t>
      </w:r>
      <w:r>
        <w:rPr>
          <w:rFonts w:cs="Times New Roman"/>
          <w:sz w:val="22"/>
        </w:rPr>
        <w:fldChar w:fldCharType="end"/>
      </w:r>
      <w:r>
        <w:rPr>
          <w:rFonts w:cs="Times New Roman"/>
          <w:sz w:val="22"/>
        </w:rPr>
        <w:t xml:space="preserve">, bears </w:t>
      </w:r>
      <w:r>
        <w:rPr>
          <w:rFonts w:cs="Times New Roman"/>
          <w:sz w:val="22"/>
        </w:rPr>
        <w:fldChar w:fldCharType="begin" w:fldLock="1"/>
      </w:r>
      <w:r w:rsidR="00EC7F7E">
        <w:rPr>
          <w:rFonts w:cs="Times New Roman"/>
          <w:sz w:val="22"/>
        </w:rPr>
        <w:instrText>ADDIN CSL_CITATION {"citationItems":[{"id":"ITEM-1","itemData":{"DOI":"10.1371/journal.pone.0021243","ISSN":"19326203","abstract":"Farming of animals and plants has recently been considered not merely as a more efficient and plentiful supply of their products but also as a means of protecting wild populations from that trade. Amongst these nascent farming products might be listed bear bile. Bear bile has been exploited by traditional Chinese medicinalists for millennia. Since the 1980s consumers have had the options of: illegal wild gall bladders, bile extracted from caged live bears or the acid synthesised chemically. Despite these alternatives bears continue to be harvested from the wild. In this paper we use stated preference techniques using a random sample of the Chinese population to estimate demand functions for wild bear bile with and without competition from farmed bear bile. We find a willingness to pay considerably more for wild bear bile than farmed. Wild bear bile has low own price elasticity and cross price elasticity with farmed bear bile. The ability of farmed bear bile to reduce demand for wild bear bile is at best limited and, at prevailing prices, may be close to zero or have the opposite effect. The demand functions estimated suggest that the own price elasticity of wild bear bile is lower when competing with farmed bear bile than when it is the only option available. This means that the incumbent product may actually sell more items at a higher price when competing than when alone in the market. This finding may be of broader interest to behavioural economists as we argue that one explanation may be that as product choice increases price has less impact on decision making. For the wildlife farming debate this indicates that at some prices the introduction of farmed competition might increase the demand for the wild product. © 2011 Dutton et al.","author":[{"dropping-particle":"","family":"Dutton","given":"Adam J.","non-dropping-particle":"","parse-names":false,"suffix":""},{"dropping-particle":"","family":"Hepburn","given":"Cameron","non-dropping-particle":"","parse-names":false,"suffix":""},{"dropping-particle":"","family":"Macdonald","given":"David W.","non-dropping-particle":"","parse-names":false,"suffix":""}],"container-title":"PLoS ONE","id":"ITEM-1","issue":"7","issued":{"date-parts":[["2011"]]},"title":"A stated preference investigation into the chinese demand for farmed vs. Wild bear bile","type":"article-journal","volume":"6"},"uris":["http://www.mendeley.com/documents/?uuid=1ee03719-f141-46c2-94d7-da71126395f3"]}],"mendeley":{"formattedCitation":"(Dutton, Hepburn and Macdonald, 2011)","plainTextFormattedCitation":"(Dutton, Hepburn and Macdonald, 2011)","previouslyFormattedCitation":"(Dutton, Hepburn and Macdonald, 2011)"},"properties":{"noteIndex":0},"schema":"https://github.com/citation-style-language/schema/raw/master/csl-citation.json"}</w:instrText>
      </w:r>
      <w:r>
        <w:rPr>
          <w:rFonts w:cs="Times New Roman"/>
          <w:sz w:val="22"/>
        </w:rPr>
        <w:fldChar w:fldCharType="separate"/>
      </w:r>
      <w:r w:rsidR="00042533" w:rsidRPr="00042533">
        <w:rPr>
          <w:rFonts w:cs="Times New Roman"/>
          <w:noProof/>
          <w:sz w:val="22"/>
        </w:rPr>
        <w:t>(Dutton, Hepburn and Macdonald, 2011)</w:t>
      </w:r>
      <w:r>
        <w:rPr>
          <w:rFonts w:cs="Times New Roman"/>
          <w:sz w:val="22"/>
        </w:rPr>
        <w:fldChar w:fldCharType="end"/>
      </w:r>
      <w:r>
        <w:rPr>
          <w:rFonts w:cs="Times New Roman"/>
          <w:sz w:val="22"/>
        </w:rPr>
        <w:t xml:space="preserve">, porcupines </w:t>
      </w:r>
      <w:r>
        <w:rPr>
          <w:rFonts w:cs="Times New Roman"/>
          <w:sz w:val="22"/>
        </w:rPr>
        <w:fldChar w:fldCharType="begin" w:fldLock="1"/>
      </w:r>
      <w:r w:rsidR="00EC7F7E">
        <w:rPr>
          <w:rFonts w:cs="Times New Roman"/>
          <w:sz w:val="22"/>
        </w:rPr>
        <w:instrText>ADDIN CSL_CITATION {"citationItems":[{"id":"ITEM-1","itemData":{"DOI":"10.1016/j.biocon.2010.07.030","ISSN":"00063207","abstract":"Commercial farming of wildlife, particularly in Southeast Asia, is currently the subject of much debate and to date, its conservation impact has been largely unexplored. This study used semi-structured interviews to build a detailed understanding of the dynamics of the commercial farming of Southeast Asian porcupine (Hystrix brachyura) in the northwest Vietnamese province of Son La. Although farm owners are obliged by law to propagate stock solely from farm-bred animals, 58% of farm owners admitted purchasing wild founder stock, with at least 19% continuing to buy wild individuals. Despite the number of farms, the primary demand on them is to supply other farms, and wild meat restaurants were still sourcing their meat from wild populations. Lower cost was a major factor driving the trade in wild animals, with wild adult porcupines being bought for half the price of farm-bred adults. With high demand from farms and restaurants, increased targeted hunting may be the cause of a dramatic decline in the wild population of porcupines across the region. © 2010 Elsevier Ltd.","author":[{"dropping-particle":"","family":"Brooks","given":"E. G.E.","non-dropping-particle":"","parse-names":false,"suffix":""},{"dropping-particle":"","family":"Roberton","given":"Scott I.","non-dropping-particle":"","parse-names":false,"suffix":""},{"dropping-particle":"","family":"Bell","given":"Diana J.","non-dropping-particle":"","parse-names":false,"suffix":""}],"container-title":"Biological Conservation","id":"ITEM-1","issue":"11","issued":{"date-parts":[["2010"]]},"page":"2808-2814","publisher":"Elsevier Ltd","title":"The conservation impact of commercial wildlife farming of porcupines in Vietnam","type":"article-journal","volume":"143"},"uris":["http://www.mendeley.com/documents/?uuid=5a5dcb03-2d00-4416-8666-c2e090350d51"]}],"mendeley":{"formattedCitation":"(Brooks, Roberton and Bell, 2010)","plainTextFormattedCitation":"(Brooks, Roberton and Bell, 2010)","previouslyFormattedCitation":"(Brooks, Roberton and Bell, 2010)"},"properties":{"noteIndex":0},"schema":"https://github.com/citation-style-language/schema/raw/master/csl-citation.json"}</w:instrText>
      </w:r>
      <w:r>
        <w:rPr>
          <w:rFonts w:cs="Times New Roman"/>
          <w:sz w:val="22"/>
        </w:rPr>
        <w:fldChar w:fldCharType="separate"/>
      </w:r>
      <w:r w:rsidR="00042533" w:rsidRPr="00042533">
        <w:rPr>
          <w:rFonts w:cs="Times New Roman"/>
          <w:noProof/>
          <w:sz w:val="22"/>
        </w:rPr>
        <w:t>(Brooks, Roberton and Bell, 2010)</w:t>
      </w:r>
      <w:r>
        <w:rPr>
          <w:rFonts w:cs="Times New Roman"/>
          <w:sz w:val="22"/>
        </w:rPr>
        <w:fldChar w:fldCharType="end"/>
      </w:r>
      <w:r>
        <w:rPr>
          <w:rFonts w:cs="Times New Roman"/>
          <w:sz w:val="22"/>
        </w:rPr>
        <w:t xml:space="preserve"> orchids </w:t>
      </w:r>
      <w:r>
        <w:rPr>
          <w:rFonts w:cs="Times New Roman"/>
          <w:sz w:val="22"/>
        </w:rPr>
        <w:fldChar w:fldCharType="begin" w:fldLock="1"/>
      </w:r>
      <w:r w:rsidR="00EC7F7E">
        <w:rPr>
          <w:rFonts w:cs="Times New Roman"/>
          <w:sz w:val="22"/>
        </w:rPr>
        <w:instrText>ADDIN CSL_CITATION {"citationItems":[{"id":"ITEM-1","itemData":{"DOI":"10.1111/cobi.12160","ISSN":"08888892","abstract":"Market-based, supply-side interventions such as domestication, cultivation, and wildlife farming have been proposed as legal substitutes for wild-collected plants and animals in the marketplace. Based on the literature, we devised a list of the conditions under which supply-side interventions may yield positive conservation outcomes. We applied it to the trade of the orchid Rhynchostylis gigantea, a protected ornamental plant. We conducted a survey of R. gigantea at Jatujak Market in Bangkok, Thailand. Farmed (legal) and wild (illegal, protected) specimens of R. gigantea were sold side-by-side at market. These results suggest farmed specimens are not being substituted for wild plants in the marketplace. For any given set of physical plant characteristics (size, condition, flowers), the origin of the plants (wild vs. farmed) did not affect price. For all price classes, farmed plants were of superior quality to wild-collected plants on the basis of most physical variables. These results suggest wild and farmed specimens represent parallel markets and may not be substitutable goods. Our results with R. gigantea highlight a range of explanations for why supply-side interventions may lack effectiveness, for example, consumer preferences for wild-collected products and low financial incentives for farming. Our results suggest that market-based conservation strategies may not be effective by themselves and may be best utilized as supplements to regulation and education. This approach represents a broad, multidisciplinary evaluation of supply-side interventions that can be applied to other plant and animal species. © 2013 Society for Conservation Biology.","author":[{"dropping-particle":"","family":"Phelps","given":"J.","non-dropping-particle":"","parse-names":false,"suffix":""},{"dropping-particle":"","family":"Carrasco","given":"L. R.","non-dropping-particle":"","parse-names":false,"suffix":""},{"dropping-particle":"","family":"Webb","given":"E. L.","non-dropping-particle":"","parse-names":false,"suffix":""}],"container-title":"Conservation Biology","id":"ITEM-1","issue":"1","issued":{"date-parts":[["2014"]]},"page":"244-257","title":"A framework for assessing supply-side wildlife conservation","type":"article-journal","volume":"28"},"uris":["http://www.mendeley.com/documents/?uuid=e052c084-3cdd-4faa-984f-c86af8ae6c7d"]}],"mendeley":{"formattedCitation":"(Phelps, Carrasco and Webb, 2014)","plainTextFormattedCitation":"(Phelps, Carrasco and Webb, 2014)","previouslyFormattedCitation":"(Phelps, Carrasco and Webb, 2014)"},"properties":{"noteIndex":0},"schema":"https://github.com/citation-style-language/schema/raw/master/csl-citation.json"}</w:instrText>
      </w:r>
      <w:r>
        <w:rPr>
          <w:rFonts w:cs="Times New Roman"/>
          <w:sz w:val="22"/>
        </w:rPr>
        <w:fldChar w:fldCharType="separate"/>
      </w:r>
      <w:r w:rsidR="00042533" w:rsidRPr="00042533">
        <w:rPr>
          <w:rFonts w:cs="Times New Roman"/>
          <w:noProof/>
          <w:sz w:val="22"/>
        </w:rPr>
        <w:t>(Phelps, Carrasco and Webb, 2014)</w:t>
      </w:r>
      <w:r>
        <w:rPr>
          <w:rFonts w:cs="Times New Roman"/>
          <w:sz w:val="22"/>
        </w:rPr>
        <w:fldChar w:fldCharType="end"/>
      </w:r>
      <w:r>
        <w:rPr>
          <w:rFonts w:cs="Times New Roman"/>
          <w:sz w:val="22"/>
        </w:rPr>
        <w:t xml:space="preserve"> and seahorses </w:t>
      </w:r>
      <w:r>
        <w:rPr>
          <w:rFonts w:cs="Times New Roman"/>
          <w:sz w:val="22"/>
        </w:rPr>
        <w:fldChar w:fldCharType="begin" w:fldLock="1"/>
      </w:r>
      <w:r w:rsidR="00EC7F7E">
        <w:rPr>
          <w:rFonts w:cs="Times New Roman"/>
          <w:sz w:val="22"/>
        </w:rPr>
        <w:instrText>ADDIN CSL_CITATION {"citationItems":[{"id":"ITEM-1","itemData":{"DOI":"10.1111/conl.12681","ISSN":"1755263X","abstract":"Thousands of species worldwide are threatened with extinction due to human activities. For some animals, such as elephants, totoaba, and bluefin tuna, population declines are largely driven by hunting. High prices and large profits create a strong incentive for illegal hunting, even in the face of penalties and strict international restrictions against trade. One innovative solution to help reverse the declines of such species is to farm them to increase supply, thereby reducing prices and decreasing hunting incentives. However, this idea has been criticized as impractical, though some examples exist of successful implementation. Here, we evaluate the hurdles facing endangered species farming as a market-based mechanism to reduce illegal harvest of wild populations and provide guidance on when it is most likely to be effective. Using a simple model, we show how farming costs and enforcement of anti-poaching measures are key drivers of success for this solution. We also argue that many of the most promising candidates are aquatic species that have been largely overlooked. Thus, while conservation farming may not be a solution for all endangered species, it should be more seriously considered for species that could be produced quickly and cost-effectively.","author":[{"dropping-particle":"","family":"Gentry","given":"Rebecca R.","non-dropping-particle":"","parse-names":false,"suffix":""},{"dropping-particle":"","family":"Gaines","given":"Steven D.","non-dropping-particle":"","parse-names":false,"suffix":""},{"dropping-particle":"","family":"Gabe","given":"Jeremy S.","non-dropping-particle":"","parse-names":false,"suffix":""},{"dropping-particle":"","family":"Lester","given":"Sarah E.","non-dropping-particle":"","parse-names":false,"suffix":""}],"container-title":"Conservation Letters","id":"ITEM-1","issue":"6","issued":{"date-parts":[["2019"]]},"page":"1-7","title":"Looking to aquatic species for conservation farming success","type":"article-journal","volume":"12"},"uris":["http://www.mendeley.com/documents/?uuid=2d5d891b-ac98-4eee-8e5b-b53ae5e20d0a"]}],"mendeley":{"formattedCitation":"(Gentry &lt;i&gt;et al.&lt;/i&gt;, 2019)","plainTextFormattedCitation":"(Gentry et al., 2019)","previouslyFormattedCitation":"(Gentry &lt;i&gt;et al.&lt;/i&gt;, 2019)"},"properties":{"noteIndex":0},"schema":"https://github.com/citation-style-language/schema/raw/master/csl-citation.json"}</w:instrText>
      </w:r>
      <w:r>
        <w:rPr>
          <w:rFonts w:cs="Times New Roman"/>
          <w:sz w:val="22"/>
        </w:rPr>
        <w:fldChar w:fldCharType="separate"/>
      </w:r>
      <w:r w:rsidR="00042533" w:rsidRPr="00042533">
        <w:rPr>
          <w:rFonts w:cs="Times New Roman"/>
          <w:noProof/>
          <w:sz w:val="22"/>
        </w:rPr>
        <w:t xml:space="preserve">(Gentry </w:t>
      </w:r>
      <w:r w:rsidR="00042533" w:rsidRPr="00042533">
        <w:rPr>
          <w:rFonts w:cs="Times New Roman"/>
          <w:i/>
          <w:noProof/>
          <w:sz w:val="22"/>
        </w:rPr>
        <w:t>et al.</w:t>
      </w:r>
      <w:r w:rsidR="00042533" w:rsidRPr="00042533">
        <w:rPr>
          <w:rFonts w:cs="Times New Roman"/>
          <w:noProof/>
          <w:sz w:val="22"/>
        </w:rPr>
        <w:t>, 2019)</w:t>
      </w:r>
      <w:r>
        <w:rPr>
          <w:rFonts w:cs="Times New Roman"/>
          <w:sz w:val="22"/>
        </w:rPr>
        <w:fldChar w:fldCharType="end"/>
      </w:r>
      <w:r>
        <w:rPr>
          <w:rFonts w:cs="Times New Roman"/>
          <w:sz w:val="22"/>
        </w:rPr>
        <w:t xml:space="preserve">. The commercial captive farming of these endangered species is predicated upon the market-based hypothesis previously described by Danut, that: </w:t>
      </w:r>
    </w:p>
    <w:p w14:paraId="525E99F6" w14:textId="77777777" w:rsidR="00FC70E0" w:rsidRDefault="00FC70E0" w:rsidP="00FC70E0">
      <w:pPr>
        <w:ind w:firstLine="720"/>
        <w:rPr>
          <w:rFonts w:cs="Times New Roman"/>
          <w:sz w:val="22"/>
        </w:rPr>
      </w:pPr>
    </w:p>
    <w:p w14:paraId="7D9942C7" w14:textId="7BA3CD51" w:rsidR="00B9039A" w:rsidRPr="00B9039A" w:rsidRDefault="006F496F" w:rsidP="00B9039A">
      <w:pPr>
        <w:pStyle w:val="Quote"/>
      </w:pPr>
      <w:r>
        <w:lastRenderedPageBreak/>
        <w:t>P</w:t>
      </w:r>
      <w:r w:rsidR="00967716">
        <w:t>rice decreases as farmed animals flood markets and as wildlife farms increase competition in markets originally dependent on overexploited stocks. As markets adjust to these new conditions, the profits of poachers decrease. Pressure on wild stocks of overexploited species is then reduced because poachers have les</w:t>
      </w:r>
      <w:r>
        <w:t xml:space="preserve">s economic incentive to harvest </w:t>
      </w:r>
      <w:r w:rsidR="00967716">
        <w:fldChar w:fldCharType="begin" w:fldLock="1"/>
      </w:r>
      <w:r w:rsidR="00EC7F7E">
        <w:instrText>ADDIN CSL_CITATION {"citationItems":[{"id":"ITEM-1","itemData":{"DOI":"10.1111/j.1523-1739.2010.01468.x","ISSN":"08888892","abstract":"The lucrative, illegal trade in tigers (Panthera tigris) remains a major conservation problem. Tiger farming has been proposed as a potential solution, with farmed tigers substituting for wild tigers. At first glance, this argument's logic seems simple: farming will increase the supply of tigers, prices will fall, and poaching will no longer be profitable. We contend, however, that this supply-side argument relies on mistaken assumptions. First, tiger markets are imperfect, meaning they are dominated by a few producers who control price. Second, consumers prefer wild tigers to farmed tigers and therefore the two are not pure substitutes. In economic terms, products from wild tigers are luxury goods, commanding a price premium. Third, there is no evidence that farmed tigers can be produced or sold more cheaply than wild tigers. In sum, it is unlikely that farming will drive down the price of wild-caught tigers or decrease profitability for tiger poachers. Rather, tiger farming is more likely to increase aggregate demand for tiger products and stimulate higher levels of poaching. © 2010 Society for Conservation Biology.","author":[{"dropping-particle":"","family":"Kirkpatrick","given":"R. Craig","non-dropping-particle":"","parse-names":false,"suffix":""},{"dropping-particle":"","family":"Emerton","given":"Lucy","non-dropping-particle":"","parse-names":false,"suffix":""}],"container-title":"Conservation Biology","id":"ITEM-1","issue":"3","issued":{"date-parts":[["2010"]]},"page":"655-659","title":"Killing Tigers to Save Them: Fallacies of the Farming Argument","type":"article-journal","volume":"24"},"uris":["http://www.mendeley.com/documents/?uuid=b7bf48c6-48fe-4f70-99c2-026d1bfa0806"]}],"mendeley":{"formattedCitation":"(Kirkpatrick and Emerton, 2010)","manualFormatting":"(Kirkpatrick and Emerton, 2010: 656)","plainTextFormattedCitation":"(Kirkpatrick and Emerton, 2010)","previouslyFormattedCitation":"(Kirkpatrick and Emerton, 2010)"},"properties":{"noteIndex":0},"schema":"https://github.com/citation-style-language/schema/raw/master/csl-citation.json"}</w:instrText>
      </w:r>
      <w:r w:rsidR="00967716">
        <w:fldChar w:fldCharType="separate"/>
      </w:r>
      <w:r w:rsidR="00967716" w:rsidRPr="00560D9D">
        <w:rPr>
          <w:noProof/>
        </w:rPr>
        <w:t>(Kirkpatrick and Emerton, 2010</w:t>
      </w:r>
      <w:r w:rsidR="00967716">
        <w:rPr>
          <w:noProof/>
        </w:rPr>
        <w:t>: 656</w:t>
      </w:r>
      <w:r w:rsidR="00967716" w:rsidRPr="00560D9D">
        <w:rPr>
          <w:noProof/>
        </w:rPr>
        <w:t>)</w:t>
      </w:r>
      <w:r w:rsidR="00967716">
        <w:fldChar w:fldCharType="end"/>
      </w:r>
      <w:r w:rsidR="00967716">
        <w:t xml:space="preserve">. </w:t>
      </w:r>
    </w:p>
    <w:p w14:paraId="4DDB17E4" w14:textId="12455F04" w:rsidR="00967716" w:rsidRDefault="00967716" w:rsidP="00FC70E0">
      <w:pPr>
        <w:ind w:firstLine="720"/>
        <w:rPr>
          <w:rFonts w:cs="Times New Roman"/>
          <w:sz w:val="22"/>
        </w:rPr>
      </w:pPr>
      <w:r w:rsidRPr="009D33EA">
        <w:rPr>
          <w:rFonts w:cs="Times New Roman"/>
          <w:sz w:val="22"/>
        </w:rPr>
        <w:t>Theoretically</w:t>
      </w:r>
      <w:r>
        <w:rPr>
          <w:rFonts w:cs="Times New Roman"/>
          <w:sz w:val="22"/>
        </w:rPr>
        <w:t xml:space="preserve"> then, farmed caviar production offers a neat market-based mechanism to counter overexploitation of sturgeon in the wild. This is an outwardly compelling solution to sturgeon conservation, and has consequently been promulgated by a diverse range of actors who disseminate the narrative that farmed caviar production is the panacea for sturgeon conservation in the EU. In the process of diffusing this narrative, the conservation potential of farmed caviar production has been presented less in theoretical terms, and increasingly as an unquestionable fact. Thus, the policy moves that have entrenched farmed caviar production as a geopolitical-ecological discourse in the EU, have inadvertently ushered in a powerful truth claim that farmed caviar production is the silver-bullet for sturgeon conservation. This narrative appears to have received little to no critical appraisal in either scientific or policy fields, and as a result has proliferated and stabilised caviar aquaculture as a geopolitical-ecological policy discourse. However, in the following section I argue that the narrative has a number of gaps, which are hidden by the truth-claim that farmed caviar production is the solution for sturgeon conservation. In reality, the conservation potential of farmed caviar production is a policy grey area. </w:t>
      </w:r>
    </w:p>
    <w:p w14:paraId="0A5ADE78" w14:textId="77777777" w:rsidR="00FC70E0" w:rsidRDefault="00FC70E0" w:rsidP="00FC70E0">
      <w:pPr>
        <w:ind w:firstLine="720"/>
        <w:rPr>
          <w:rFonts w:cs="Times New Roman"/>
          <w:sz w:val="22"/>
        </w:rPr>
      </w:pPr>
    </w:p>
    <w:p w14:paraId="69305BFE" w14:textId="77777777" w:rsidR="00967716" w:rsidRDefault="00967716" w:rsidP="00967716">
      <w:pPr>
        <w:pStyle w:val="Heading3"/>
      </w:pPr>
      <w:bookmarkStart w:id="78" w:name="_Toc453224236"/>
      <w:r>
        <w:t xml:space="preserve">6.1.2 Gaps and grey areas </w:t>
      </w:r>
      <w:r w:rsidRPr="009E2451">
        <w:t>in the conservation potential of farmed caviar production</w:t>
      </w:r>
      <w:bookmarkEnd w:id="78"/>
    </w:p>
    <w:p w14:paraId="7F461B20" w14:textId="1E59D543" w:rsidR="00967716" w:rsidRDefault="00967716" w:rsidP="00967716">
      <w:pPr>
        <w:rPr>
          <w:rFonts w:cs="Times New Roman"/>
          <w:sz w:val="22"/>
        </w:rPr>
      </w:pPr>
      <w:r>
        <w:rPr>
          <w:rFonts w:cs="Times New Roman"/>
          <w:sz w:val="22"/>
        </w:rPr>
        <w:t>Whilst the commercial captive-breeding of wild species has been promulgated as a conservation policy option for a range of endangered species inclu</w:t>
      </w:r>
      <w:r w:rsidR="00DF64FB">
        <w:rPr>
          <w:rFonts w:cs="Times New Roman"/>
          <w:sz w:val="22"/>
        </w:rPr>
        <w:t>ding sturgeon, it proves to be “</w:t>
      </w:r>
      <w:r>
        <w:rPr>
          <w:rFonts w:cs="Times New Roman"/>
          <w:sz w:val="22"/>
        </w:rPr>
        <w:t>a c</w:t>
      </w:r>
      <w:r w:rsidR="00DF64FB">
        <w:rPr>
          <w:rFonts w:cs="Times New Roman"/>
          <w:sz w:val="22"/>
        </w:rPr>
        <w:t>ontentious conservation measure”</w:t>
      </w:r>
      <w:r>
        <w:rPr>
          <w:rFonts w:cs="Times New Roman"/>
          <w:sz w:val="22"/>
        </w:rPr>
        <w:t xml:space="preserve"> </w:t>
      </w:r>
      <w:r>
        <w:rPr>
          <w:rFonts w:cs="Times New Roman"/>
          <w:sz w:val="22"/>
        </w:rPr>
        <w:fldChar w:fldCharType="begin" w:fldLock="1"/>
      </w:r>
      <w:r>
        <w:rPr>
          <w:rFonts w:cs="Times New Roman"/>
          <w:sz w:val="22"/>
        </w:rPr>
        <w:instrText>ADDIN CSL_CITATION {"citationItems":[{"id":"ITEM-1","itemData":{"DOI":"10.1007/s10531-013-0501-9","ISSN":"09603115","abstract":"Wildlife farming is a contentious conservation measure. In Louisiana alligator farming has generated significant conservation gains. This case study is used to test several assumptions employed in debates about wildlife farming. These include whether farming 'floods' the market to depress prices and deter poaching, whether it encourages wild harvest and whether it can compete against wild harvest. Data from over three decades is used to model harvest behaviour with OLS and SUR models. This shows strong separation between the market between farmed and wild alligator skins. Immense rises in farmed output have not caused prices to collapse, however poaching has collapsed. This highlights that farming can have important non-price effects on poaching. Assumptions that are commonly used to debate wildlife farming are not supported in this example. Such assumptions, including open-access of the wildlife, inert and exogenous wildlife managers and excluding indirect benefits of wildlife farming tend to bias policy away from farming. Using these assumptions makes it harder to identify cases where wildlife farming could assist conservation objectives. © 2013 Springer Science+Business Media Dordrecht.","author":[{"dropping-particle":"","family":"Moyle","given":"Brendan","non-dropping-particle":"","parse-names":false,"suffix":""}],"container-title":"Biodiversity and Conservation","id":"ITEM-1","issue":"8","issued":{"date-parts":[["2013"]]},"page":"1663-1677","title":"Conservation that's more than skin-deep: Alligator farming","type":"article-journal","volume":"22"},"uris":["http://www.mendeley.com/documents/?uuid=24cd6d1d-c518-48eb-a3c4-09200d59f63f"]}],"mendeley":{"formattedCitation":"(Moyle, 2013)","manualFormatting":"(Moyle, 2013: 1663)","plainTextFormattedCitation":"(Moyle, 2013)","previouslyFormattedCitation":"(Moyle, 2013)"},"properties":{"noteIndex":0},"schema":"https://github.com/citation-style-language/schema/raw/master/csl-citation.json"}</w:instrText>
      </w:r>
      <w:r>
        <w:rPr>
          <w:rFonts w:cs="Times New Roman"/>
          <w:sz w:val="22"/>
        </w:rPr>
        <w:fldChar w:fldCharType="separate"/>
      </w:r>
      <w:r w:rsidRPr="00F12CD7">
        <w:rPr>
          <w:rFonts w:cs="Times New Roman"/>
          <w:noProof/>
          <w:sz w:val="22"/>
        </w:rPr>
        <w:t>(Moyle, 2013</w:t>
      </w:r>
      <w:r>
        <w:rPr>
          <w:rFonts w:cs="Times New Roman"/>
          <w:noProof/>
          <w:sz w:val="22"/>
        </w:rPr>
        <w:t>: 1663</w:t>
      </w:r>
      <w:r w:rsidRPr="00F12CD7">
        <w:rPr>
          <w:rFonts w:cs="Times New Roman"/>
          <w:noProof/>
          <w:sz w:val="22"/>
        </w:rPr>
        <w:t>)</w:t>
      </w:r>
      <w:r>
        <w:rPr>
          <w:rFonts w:cs="Times New Roman"/>
          <w:sz w:val="22"/>
        </w:rPr>
        <w:fldChar w:fldCharType="end"/>
      </w:r>
      <w:r>
        <w:rPr>
          <w:rFonts w:cs="Times New Roman"/>
          <w:sz w:val="22"/>
        </w:rPr>
        <w:t xml:space="preserve">. Critics argue </w:t>
      </w:r>
      <w:r w:rsidR="00DF64FB">
        <w:rPr>
          <w:rFonts w:cs="Times New Roman"/>
          <w:sz w:val="22"/>
        </w:rPr>
        <w:t>that conservation farming puts “</w:t>
      </w:r>
      <w:r>
        <w:rPr>
          <w:rFonts w:cs="Times New Roman"/>
          <w:sz w:val="22"/>
        </w:rPr>
        <w:t xml:space="preserve">unquestioning </w:t>
      </w:r>
      <w:r w:rsidR="00DF64FB">
        <w:rPr>
          <w:rFonts w:cs="Times New Roman"/>
          <w:sz w:val="22"/>
        </w:rPr>
        <w:t>faith in the workings of market”</w:t>
      </w:r>
      <w:r>
        <w:rPr>
          <w:rFonts w:cs="Times New Roman"/>
          <w:sz w:val="22"/>
        </w:rPr>
        <w:t xml:space="preserve"> </w:t>
      </w:r>
      <w:r>
        <w:rPr>
          <w:rFonts w:cs="Times New Roman"/>
          <w:sz w:val="22"/>
        </w:rPr>
        <w:fldChar w:fldCharType="begin" w:fldLock="1"/>
      </w:r>
      <w:r w:rsidR="00EC7F7E">
        <w:rPr>
          <w:rFonts w:cs="Times New Roman"/>
          <w:sz w:val="22"/>
        </w:rPr>
        <w:instrText>ADDIN CSL_CITATION {"citationItems":[{"id":"ITEM-1","itemData":{"DOI":"10.1111/j.1523-1739.2010.01468.x","ISSN":"08888892","abstract":"The lucrative, illegal trade in tigers (Panthera tigris) remains a major conservation problem. Tiger farming has been proposed as a potential solution, with farmed tigers substituting for wild tigers. At first glance, this argument's logic seems simple: farming will increase the supply of tigers, prices will fall, and poaching will no longer be profitable. We contend, however, that this supply-side argument relies on mistaken assumptions. First, tiger markets are imperfect, meaning they are dominated by a few producers who control price. Second, consumers prefer wild tigers to farmed tigers and therefore the two are not pure substitutes. In economic terms, products from wild tigers are luxury goods, commanding a price premium. Third, there is no evidence that farmed tigers can be produced or sold more cheaply than wild tigers. In sum, it is unlikely that farming will drive down the price of wild-caught tigers or decrease profitability for tiger poachers. Rather, tiger farming is more likely to increase aggregate demand for tiger products and stimulate higher levels of poaching. © 2010 Society for Conservation Biology.","author":[{"dropping-particle":"","family":"Kirkpatrick","given":"R. Craig","non-dropping-particle":"","parse-names":false,"suffix":""},{"dropping-particle":"","family":"Emerton","given":"Lucy","non-dropping-particle":"","parse-names":false,"suffix":""}],"container-title":"Conservation Biology","id":"ITEM-1","issue":"3","issued":{"date-parts":[["2010"]]},"page":"655-659","title":"Killing Tigers to Save Them: Fallacies of the Farming Argument","type":"article-journal","volume":"24"},"uris":["http://www.mendeley.com/documents/?uuid=b7bf48c6-48fe-4f70-99c2-026d1bfa0806"]}],"mendeley":{"formattedCitation":"(Kirkpatrick and Emerton, 2010)","manualFormatting":"(Kirkpatrick and Emerton, 2010: 658)","plainTextFormattedCitation":"(Kirkpatrick and Emerton, 2010)","previouslyFormattedCitation":"(Kirkpatrick and Emerton, 2010)"},"properties":{"noteIndex":0},"schema":"https://github.com/citation-style-language/schema/raw/master/csl-citation.json"}</w:instrText>
      </w:r>
      <w:r>
        <w:rPr>
          <w:rFonts w:cs="Times New Roman"/>
          <w:sz w:val="22"/>
        </w:rPr>
        <w:fldChar w:fldCharType="separate"/>
      </w:r>
      <w:r w:rsidRPr="002B3B06">
        <w:rPr>
          <w:rFonts w:cs="Times New Roman"/>
          <w:noProof/>
          <w:sz w:val="22"/>
        </w:rPr>
        <w:t>(Kirkpatrick and Emerton, 2010</w:t>
      </w:r>
      <w:r>
        <w:rPr>
          <w:rFonts w:cs="Times New Roman"/>
          <w:noProof/>
          <w:sz w:val="22"/>
        </w:rPr>
        <w:t>: 658</w:t>
      </w:r>
      <w:r w:rsidRPr="002B3B06">
        <w:rPr>
          <w:rFonts w:cs="Times New Roman"/>
          <w:noProof/>
          <w:sz w:val="22"/>
        </w:rPr>
        <w:t>)</w:t>
      </w:r>
      <w:r>
        <w:rPr>
          <w:rFonts w:cs="Times New Roman"/>
          <w:sz w:val="22"/>
        </w:rPr>
        <w:fldChar w:fldCharType="end"/>
      </w:r>
      <w:r>
        <w:rPr>
          <w:rFonts w:cs="Times New Roman"/>
          <w:sz w:val="22"/>
        </w:rPr>
        <w:t xml:space="preserve">, to such an extent that it is built upon a </w:t>
      </w:r>
      <w:r w:rsidR="00072236">
        <w:rPr>
          <w:rFonts w:cs="Times New Roman"/>
          <w:sz w:val="22"/>
        </w:rPr>
        <w:t>number of flawed assumptions. Specifically</w:t>
      </w:r>
      <w:r>
        <w:rPr>
          <w:rFonts w:cs="Times New Roman"/>
          <w:sz w:val="22"/>
        </w:rPr>
        <w:t>, conservation farming is built upon a conceptual model that presumes the market for wildlife products is perfectly competitive and extricated from ex</w:t>
      </w:r>
      <w:r w:rsidR="00072236">
        <w:rPr>
          <w:rFonts w:cs="Times New Roman"/>
          <w:sz w:val="22"/>
        </w:rPr>
        <w:t xml:space="preserve">ternal forces beyond supply, demand and </w:t>
      </w:r>
      <w:r>
        <w:rPr>
          <w:rFonts w:cs="Times New Roman"/>
          <w:sz w:val="22"/>
        </w:rPr>
        <w:t>price dynamics.</w:t>
      </w:r>
      <w:r w:rsidR="00DF64FB">
        <w:rPr>
          <w:rFonts w:cs="Times New Roman"/>
          <w:sz w:val="22"/>
        </w:rPr>
        <w:t xml:space="preserve"> Although there is theoretical support for conservation farming, in practice it is unclear under what conditions captive-bred farming aids conservation </w:t>
      </w:r>
      <w:r w:rsidR="00DF64FB">
        <w:rPr>
          <w:rFonts w:cs="Times New Roman"/>
          <w:sz w:val="22"/>
        </w:rPr>
        <w:fldChar w:fldCharType="begin" w:fldLock="1"/>
      </w:r>
      <w:r w:rsidR="00DF64FB">
        <w:rPr>
          <w:rFonts w:cs="Times New Roman"/>
          <w:sz w:val="22"/>
        </w:rPr>
        <w:instrText>ADDIN CSL_CITATION {"citationItems":[{"id":"ITEM-1","itemData":{"DOI":"10.1016/j.gecco.2019.e00714","ISSN":"23519894","abstract":"Pangolins are threatened by overexploitation for local and international use. They are subject to an international commercial trade ban, and are also the focus of other interventions, including attempts at commercial captive breeding. The impact that the latter could have on the conservation of wild populations deserves consideration. We critically evaluate the feasibility of commercial captive breeding (or farming) of pangolins to displace wild collection and assess its potential conservation impact on pangolin conservation using a recently published framework developed for this purpose. Of the 17 conditions posited that need to be met for supply-side interventions to displace wild collection, we find that pangolins meet a maximum of only six conditions. This analysis suggests that pangolin farming will not displace wild collection in the near future. Major barriers include an inability to breed pangolins on a commercial scale and available data suggest that it would be unprofitable. The immediate impact of pangolin farming on conservation of the species’ is unclear, but it is unlikely to benefit the conservation of wild populations. If commercial captive breeding were possible, it is uncertain how it would affect economic incentives for poaching, interactions between legal and illegal markets, stockpile policies, and how consumers and Traditional Chinese Medicine (TCM) practitioners would respond. To understand better the potential overall impact of pangolin farming on wild populations there is a need for further research on these uncertainties. The framework used has utility in analysing the potential impact of wildlife farming but there remains a need for a more robust approach to evaluate potential impacts of supply-side interventions.","author":[{"dropping-particle":"","family":"Challender","given":"Daniel W.S.","non-dropping-particle":"","parse-names":false,"suffix":""},{"dropping-particle":"","family":"Sas-Rolfes","given":"Michael't","non-dropping-particle":"","parse-names":false,"suffix":""},{"dropping-particle":"","family":"Ades","given":"Gary W.J.","non-dropping-particle":"","parse-names":false,"suffix":""},{"dropping-particle":"","family":"Chin","given":"Jason S.C.","non-dropping-particle":"","parse-names":false,"suffix":""},{"dropping-particle":"","family":"Ching-Min Sun","given":"Nick","non-dropping-particle":"","parse-names":false,"suffix":""},{"dropping-particle":"","family":"Chong","given":"Ju lian","non-dropping-particle":"","parse-names":false,"suffix":""},{"dropping-particle":"","family":"Connelly","given":"Ellen","non-dropping-particle":"","parse-names":false,"suffix":""},{"dropping-particle":"","family":"Hywood","given":"Lisa","non-dropping-particle":"","parse-names":false,"suffix":""},{"dropping-particle":"","family":"Luz","given":"Sonja","non-dropping-particle":"","parse-names":false,"suffix":""},{"dropping-particle":"","family":"Mohapatra","given":"Rajesh K.","non-dropping-particle":"","parse-names":false,"suffix":""},{"dropping-particle":"","family":"Ornellas","given":"Paul","non-dropping-particle":"de","parse-names":false,"suffix":""},{"dropping-particle":"","family":"Parker","given":"Keri","non-dropping-particle":"","parse-names":false,"suffix":""},{"dropping-particle":"","family":"Pietersen","given":"Darren W.","non-dropping-particle":"","parse-names":false,"suffix":""},{"dropping-particle":"","family":"Roberton","given":"Scott I.","non-dropping-particle":"","parse-names":false,"suffix":""},{"dropping-particle":"","family":"Semiadi","given":"Gono","non-dropping-particle":"","parse-names":false,"suffix":""},{"dropping-particle":"","family":"Shaw","given":"Debbie","non-dropping-particle":"","parse-names":false,"suffix":""},{"dropping-particle":"","family":"Shepherd","given":"Chris R.","non-dropping-particle":"","parse-names":false,"suffix":""},{"dropping-particle":"","family":"Thomson","given":"Paul","non-dropping-particle":"","parse-names":false,"suffix":""},{"dropping-particle":"","family":"Wang","given":"Yifu","non-dropping-particle":"","parse-names":false,"suffix":""},{"dropping-particle":"","family":"Wicker","given":"Leanne","non-dropping-particle":"","parse-names":false,"suffix":""},{"dropping-particle":"","family":"Wu","given":"Shi Bao","non-dropping-particle":"","parse-names":false,"suffix":""},{"dropping-particle":"","family":"Nash","given":"Helen C.","non-dropping-particle":"","parse-names":false,"suffix":""}],"container-title":"Global Ecology and Conservation","id":"ITEM-1","issued":{"date-parts":[["2019"]]},"page":"e00714","publisher":"Elsevier Ltd","title":"Evaluating the feasibility of pangolin farming and its potential conservation impact","type":"article-journal","volume":"20"},"uris":["http://www.mendeley.com/documents/?uuid=e54d5d3a-4453-4149-96fa-8d588057955b"]}],"mendeley":{"formattedCitation":"(Challender &lt;i&gt;et al.&lt;/i&gt;, 2019)","plainTextFormattedCitation":"(Challender et al., 2019)","previouslyFormattedCitation":"(Challender &lt;i&gt;et al.&lt;/i&gt;, 2019)"},"properties":{"noteIndex":0},"schema":"https://github.com/citation-style-language/schema/raw/master/csl-citation.json"}</w:instrText>
      </w:r>
      <w:r w:rsidR="00DF64FB">
        <w:rPr>
          <w:rFonts w:cs="Times New Roman"/>
          <w:sz w:val="22"/>
        </w:rPr>
        <w:fldChar w:fldCharType="separate"/>
      </w:r>
      <w:r w:rsidR="00DF64FB" w:rsidRPr="00042533">
        <w:rPr>
          <w:rFonts w:cs="Times New Roman"/>
          <w:noProof/>
          <w:sz w:val="22"/>
        </w:rPr>
        <w:t xml:space="preserve">(Challender </w:t>
      </w:r>
      <w:r w:rsidR="00DF64FB" w:rsidRPr="00042533">
        <w:rPr>
          <w:rFonts w:cs="Times New Roman"/>
          <w:i/>
          <w:noProof/>
          <w:sz w:val="22"/>
        </w:rPr>
        <w:t>et al.</w:t>
      </w:r>
      <w:r w:rsidR="00DF64FB" w:rsidRPr="00042533">
        <w:rPr>
          <w:rFonts w:cs="Times New Roman"/>
          <w:noProof/>
          <w:sz w:val="22"/>
        </w:rPr>
        <w:t>, 2019)</w:t>
      </w:r>
      <w:r w:rsidR="00DF64FB">
        <w:rPr>
          <w:rFonts w:cs="Times New Roman"/>
          <w:sz w:val="22"/>
        </w:rPr>
        <w:fldChar w:fldCharType="end"/>
      </w:r>
      <w:r w:rsidR="00072236">
        <w:rPr>
          <w:rFonts w:cs="Times New Roman"/>
          <w:sz w:val="22"/>
        </w:rPr>
        <w:t>. Indeed</w:t>
      </w:r>
      <w:r w:rsidR="00DF64FB">
        <w:rPr>
          <w:rFonts w:cs="Times New Roman"/>
          <w:sz w:val="22"/>
        </w:rPr>
        <w:t xml:space="preserve"> </w:t>
      </w:r>
      <w:r>
        <w:rPr>
          <w:rFonts w:cs="Times New Roman"/>
          <w:sz w:val="22"/>
        </w:rPr>
        <w:t>in some cases</w:t>
      </w:r>
      <w:r w:rsidR="00072236">
        <w:rPr>
          <w:rFonts w:cs="Times New Roman"/>
          <w:sz w:val="22"/>
        </w:rPr>
        <w:t>,</w:t>
      </w:r>
      <w:r>
        <w:rPr>
          <w:rFonts w:cs="Times New Roman"/>
          <w:sz w:val="22"/>
        </w:rPr>
        <w:t xml:space="preserve"> legal captive-production of endangered species is said to have catalysed</w:t>
      </w:r>
      <w:r w:rsidR="00DF64FB">
        <w:rPr>
          <w:rFonts w:cs="Times New Roman"/>
          <w:sz w:val="22"/>
        </w:rPr>
        <w:t xml:space="preserve"> poaching and actually had the “</w:t>
      </w:r>
      <w:r>
        <w:rPr>
          <w:rFonts w:cs="Times New Roman"/>
          <w:sz w:val="22"/>
        </w:rPr>
        <w:t>opposite effect to what is desired for conservation</w:t>
      </w:r>
      <w:r w:rsidR="00DF64FB">
        <w:rPr>
          <w:rFonts w:cs="Times New Roman"/>
          <w:sz w:val="22"/>
        </w:rPr>
        <w:t xml:space="preserve">” </w:t>
      </w:r>
      <w:r>
        <w:rPr>
          <w:rFonts w:cs="Times New Roman"/>
          <w:sz w:val="22"/>
        </w:rPr>
        <w:fldChar w:fldCharType="begin" w:fldLock="1"/>
      </w:r>
      <w:r>
        <w:rPr>
          <w:rFonts w:cs="Times New Roman"/>
          <w:sz w:val="22"/>
        </w:rPr>
        <w:instrText>ADDIN CSL_CITATION {"citationItems":[{"id":"ITEM-1","itemData":{"DOI":"10.1016/j.gecco.2016.03.007","ISSN":"23519894","abstract":"Wild animals and their derivatives are traded worldwide. Consequent poaching has been a main threat to species conservation. As current interventions and law enforcement cannot circumvent the resulting extinction of species, an alternative approach must be considered. It has been suggested that commercial breeding can keep the pressure off wild populations, referred to as wildlife farming. During this review, it is argued that wildlife farming can benefit species conservation only if the following criteria are met: (i) the legal products will form a substitute, and consumers show no preference for wild-caught animals; (ii) a substantial part of the demand is met, and the demand does not increase due to the legalized market; (iii) the legal products will be more cost-efficient, in order to combat the black market prices; (iv) wildlife farming does not rely on wild populations for re-stocking; (v) laundering of illegal products into the commercial trade is absent. For most species encountered in the wildlife trade, these criteria are unlikely to be met in reality and commercial breeding has the potential to have the opposite effect to what is desired for conservation. For some species, however, none of the criteria are violated, and wildlife farming can be considered a possible conservation tool as it may help to take the pressure off wild populations. For these species, future research should focus on the impact of legal products on the market dynamics, effective law enforcement that can prevent corruption, and wildlife forensics that enable the distinction between captive-bred and wild-caught species.","author":[{"dropping-particle":"","family":"Tensen","given":"Laura","non-dropping-particle":"","parse-names":false,"suffix":""}],"container-title":"Global Ecology and Conservation","id":"ITEM-1","issued":{"date-parts":[["2016"]]},"page":"286-298","publisher":"Elsevier B.V.","title":"Under what circumstances can wildlife farming benefit species conservation?","type":"article-journal","volume":"6"},"uris":["http://www.mendeley.com/documents/?uuid=eef8ae2e-b35d-47ab-a521-63aff1935c86"]}],"mendeley":{"formattedCitation":"(Tensen, 2016)","manualFormatting":"(Tensen, 2016: 295)","plainTextFormattedCitation":"(Tensen, 2016)","previouslyFormattedCitation":"(Tensen, 2016)"},"properties":{"noteIndex":0},"schema":"https://github.com/citation-style-language/schema/raw/master/csl-citation.json"}</w:instrText>
      </w:r>
      <w:r>
        <w:rPr>
          <w:rFonts w:cs="Times New Roman"/>
          <w:sz w:val="22"/>
        </w:rPr>
        <w:fldChar w:fldCharType="separate"/>
      </w:r>
      <w:r w:rsidRPr="007D4EAE">
        <w:rPr>
          <w:rFonts w:cs="Times New Roman"/>
          <w:noProof/>
          <w:sz w:val="22"/>
        </w:rPr>
        <w:t>(Tensen, 2016</w:t>
      </w:r>
      <w:r>
        <w:rPr>
          <w:rFonts w:cs="Times New Roman"/>
          <w:noProof/>
          <w:sz w:val="22"/>
        </w:rPr>
        <w:t>: 295</w:t>
      </w:r>
      <w:r w:rsidRPr="007D4EAE">
        <w:rPr>
          <w:rFonts w:cs="Times New Roman"/>
          <w:noProof/>
          <w:sz w:val="22"/>
        </w:rPr>
        <w:t>)</w:t>
      </w:r>
      <w:r>
        <w:rPr>
          <w:rFonts w:cs="Times New Roman"/>
          <w:sz w:val="22"/>
        </w:rPr>
        <w:fldChar w:fldCharType="end"/>
      </w:r>
      <w:r>
        <w:rPr>
          <w:rFonts w:cs="Times New Roman"/>
          <w:sz w:val="22"/>
        </w:rPr>
        <w:t>. Despite these criticisms, the commercial captive farming of sturgeon for caviar remains largely uncontroversial, and has not attracted the same degree of critical attention as other c</w:t>
      </w:r>
      <w:r w:rsidR="00072236">
        <w:rPr>
          <w:rFonts w:cs="Times New Roman"/>
          <w:sz w:val="22"/>
        </w:rPr>
        <w:t>onservation farming initiatives</w:t>
      </w:r>
      <w:r>
        <w:rPr>
          <w:rFonts w:cs="Times New Roman"/>
          <w:sz w:val="22"/>
        </w:rPr>
        <w:t xml:space="preserve"> such as those for tigers </w:t>
      </w:r>
      <w:r>
        <w:rPr>
          <w:rFonts w:cs="Times New Roman"/>
          <w:sz w:val="22"/>
        </w:rPr>
        <w:fldChar w:fldCharType="begin" w:fldLock="1"/>
      </w:r>
      <w:r w:rsidR="00EC7F7E">
        <w:rPr>
          <w:rFonts w:cs="Times New Roman"/>
          <w:sz w:val="22"/>
        </w:rPr>
        <w:instrText>ADDIN CSL_CITATION {"citationItems":[{"id":"ITEM-1","itemData":{"DOI":"10.1111/j.1523-1739.2010.01468.x","ISSN":"08888892","abstract":"The lucrative, illegal trade in tigers (Panthera tigris) remains a major conservation problem. Tiger farming has been proposed as a potential solution, with farmed tigers substituting for wild tigers. At first glance, this argument's logic seems simple: farming will increase the supply of tigers, prices will fall, and poaching will no longer be profitable. We contend, however, that this supply-side argument relies on mistaken assumptions. First, tiger markets are imperfect, meaning they are dominated by a few producers who control price. Second, consumers prefer wild tigers to farmed tigers and therefore the two are not pure substitutes. In economic terms, products from wild tigers are luxury goods, commanding a price premium. Third, there is no evidence that farmed tigers can be produced or sold more cheaply than wild tigers. In sum, it is unlikely that farming will drive down the price of wild-caught tigers or decrease profitability for tiger poachers. Rather, tiger farming is more likely to increase aggregate demand for tiger products and stimulate higher levels of poaching. © 2010 Society for Conservation Biology.","author":[{"dropping-particle":"","family":"Kirkpatrick","given":"R. Craig","non-dropping-particle":"","parse-names":false,"suffix":""},{"dropping-particle":"","family":"Emerton","given":"Lucy","non-dropping-particle":"","parse-names":false,"suffix":""}],"container-title":"Conservation Biology","id":"ITEM-1","issue":"3","issued":{"date-parts":[["2010"]]},"page":"655-659","title":"Killing Tigers to Save Them: Fallacies of the Farming Argument","type":"article-journal","volume":"24"},"uris":["http://www.mendeley.com/documents/?uuid=b7bf48c6-48fe-4f70-99c2-026d1bfa0806"]}],"mendeley":{"formattedCitation":"(Kirkpatrick and Emerton, 2010)","plainTextFormattedCitation":"(Kirkpatrick and Emerton, 2010)","previouslyFormattedCitation":"(Kirkpatrick and Emerton, 2010)"},"properties":{"noteIndex":0},"schema":"https://github.com/citation-style-language/schema/raw/master/csl-citation.json"}</w:instrText>
      </w:r>
      <w:r>
        <w:rPr>
          <w:rFonts w:cs="Times New Roman"/>
          <w:sz w:val="22"/>
        </w:rPr>
        <w:fldChar w:fldCharType="separate"/>
      </w:r>
      <w:r w:rsidR="00042533" w:rsidRPr="00042533">
        <w:rPr>
          <w:rFonts w:cs="Times New Roman"/>
          <w:noProof/>
          <w:sz w:val="22"/>
        </w:rPr>
        <w:t>(Kirkpatrick and Emerton, 2010)</w:t>
      </w:r>
      <w:r>
        <w:rPr>
          <w:rFonts w:cs="Times New Roman"/>
          <w:sz w:val="22"/>
        </w:rPr>
        <w:fldChar w:fldCharType="end"/>
      </w:r>
      <w:r>
        <w:rPr>
          <w:rFonts w:cs="Times New Roman"/>
          <w:sz w:val="22"/>
        </w:rPr>
        <w:t xml:space="preserve"> or pangolins </w:t>
      </w:r>
      <w:r>
        <w:rPr>
          <w:rFonts w:cs="Times New Roman"/>
          <w:sz w:val="22"/>
        </w:rPr>
        <w:fldChar w:fldCharType="begin" w:fldLock="1"/>
      </w:r>
      <w:r w:rsidR="00EC7F7E">
        <w:rPr>
          <w:rFonts w:cs="Times New Roman"/>
          <w:sz w:val="22"/>
        </w:rPr>
        <w:instrText>ADDIN CSL_CITATION {"citationItems":[{"id":"ITEM-1","itemData":{"DOI":"10.1016/j.gecco.2019.e00714","ISSN":"23519894","abstract":"Pangolins are threatened by overexploitation for local and international use. They are subject to an international commercial trade ban, and are also the focus of other interventions, including attempts at commercial captive breeding. The impact that the latter could have on the conservation of wild populations deserves consideration. We critically evaluate the feasibility of commercial captive breeding (or farming) of pangolins to displace wild collection and assess its potential conservation impact on pangolin conservation using a recently published framework developed for this purpose. Of the 17 conditions posited that need to be met for supply-side interventions to displace wild collection, we find that pangolins meet a maximum of only six conditions. This analysis suggests that pangolin farming will not displace wild collection in the near future. Major barriers include an inability to breed pangolins on a commercial scale and available data suggest that it would be unprofitable. The immediate impact of pangolin farming on conservation of the species’ is unclear, but it is unlikely to benefit the conservation of wild populations. If commercial captive breeding were possible, it is uncertain how it would affect economic incentives for poaching, interactions between legal and illegal markets, stockpile policies, and how consumers and Traditional Chinese Medicine (TCM) practitioners would respond. To understand better the potential overall impact of pangolin farming on wild populations there is a need for further research on these uncertainties. The framework used has utility in analysing the potential impact of wildlife farming but there remains a need for a more robust approach to evaluate potential impacts of supply-side interventions.","author":[{"dropping-particle":"","family":"Challender","given":"Daniel W.S.","non-dropping-particle":"","parse-names":false,"suffix":""},{"dropping-particle":"","family":"Sas-Rolfes","given":"Michael't","non-dropping-particle":"","parse-names":false,"suffix":""},{"dropping-particle":"","family":"Ades","given":"Gary W.J.","non-dropping-particle":"","parse-names":false,"suffix":""},{"dropping-particle":"","family":"Chin","given":"Jason S.C.","non-dropping-particle":"","parse-names":false,"suffix":""},{"dropping-particle":"","family":"Ching-Min Sun","given":"Nick","non-dropping-particle":"","parse-names":false,"suffix":""},{"dropping-particle":"","family":"Chong","given":"Ju lian","non-dropping-particle":"","parse-names":false,"suffix":""},{"dropping-particle":"","family":"Connelly","given":"Ellen","non-dropping-particle":"","parse-names":false,"suffix":""},{"dropping-particle":"","family":"Hywood","given":"Lisa","non-dropping-particle":"","parse-names":false,"suffix":""},{"dropping-particle":"","family":"Luz","given":"Sonja","non-dropping-particle":"","parse-names":false,"suffix":""},{"dropping-particle":"","family":"Mohapatra","given":"Rajesh K.","non-dropping-particle":"","parse-names":false,"suffix":""},{"dropping-particle":"","family":"Ornellas","given":"Paul","non-dropping-particle":"de","parse-names":false,"suffix":""},{"dropping-particle":"","family":"Parker","given":"Keri","non-dropping-particle":"","parse-names":false,"suffix":""},{"dropping-particle":"","family":"Pietersen","given":"Darren W.","non-dropping-particle":"","parse-names":false,"suffix":""},{"dropping-particle":"","family":"Roberton","given":"Scott I.","non-dropping-particle":"","parse-names":false,"suffix":""},{"dropping-particle":"","family":"Semiadi","given":"Gono","non-dropping-particle":"","parse-names":false,"suffix":""},{"dropping-particle":"","family":"Shaw","given":"Debbie","non-dropping-particle":"","parse-names":false,"suffix":""},{"dropping-particle":"","family":"Shepherd","given":"Chris R.","non-dropping-particle":"","parse-names":false,"suffix":""},{"dropping-particle":"","family":"Thomson","given":"Paul","non-dropping-particle":"","parse-names":false,"suffix":""},{"dropping-particle":"","family":"Wang","given":"Yifu","non-dropping-particle":"","parse-names":false,"suffix":""},{"dropping-particle":"","family":"Wicker","given":"Leanne","non-dropping-particle":"","parse-names":false,"suffix":""},{"dropping-particle":"","family":"Wu","given":"Shi Bao","non-dropping-particle":"","parse-names":false,"suffix":""},{"dropping-particle":"","family":"Nash","given":"Helen C.","non-dropping-particle":"","parse-names":false,"suffix":""}],"container-title":"Global Ecology and Conservation","id":"ITEM-1","issued":{"date-parts":[["2019"]]},"page":"e00714","publisher":"Elsevier Ltd","title":"Evaluating the feasibility of pangolin farming and its potential conservation impact","type":"article-journal","volume":"20"},"uris":["http://www.mendeley.com/documents/?uuid=e54d5d3a-4453-4149-96fa-8d588057955b"]}],"mendeley":{"formattedCitation":"(Challender &lt;i&gt;et al.&lt;/i&gt;, 2019)","plainTextFormattedCitation":"(Challender et al., 2019)","previouslyFormattedCitation":"(Challender &lt;i&gt;et al.&lt;/i&gt;, 2019)"},"properties":{"noteIndex":0},"schema":"https://github.com/citation-style-language/schema/raw/master/csl-citation.json"}</w:instrText>
      </w:r>
      <w:r>
        <w:rPr>
          <w:rFonts w:cs="Times New Roman"/>
          <w:sz w:val="22"/>
        </w:rPr>
        <w:fldChar w:fldCharType="separate"/>
      </w:r>
      <w:r w:rsidR="00042533" w:rsidRPr="00042533">
        <w:rPr>
          <w:rFonts w:cs="Times New Roman"/>
          <w:noProof/>
          <w:sz w:val="22"/>
        </w:rPr>
        <w:t xml:space="preserve">(Challender </w:t>
      </w:r>
      <w:r w:rsidR="00042533" w:rsidRPr="00042533">
        <w:rPr>
          <w:rFonts w:cs="Times New Roman"/>
          <w:i/>
          <w:noProof/>
          <w:sz w:val="22"/>
        </w:rPr>
        <w:t>et al.</w:t>
      </w:r>
      <w:r w:rsidR="00042533" w:rsidRPr="00042533">
        <w:rPr>
          <w:rFonts w:cs="Times New Roman"/>
          <w:noProof/>
          <w:sz w:val="22"/>
        </w:rPr>
        <w:t>, 2019)</w:t>
      </w:r>
      <w:r>
        <w:rPr>
          <w:rFonts w:cs="Times New Roman"/>
          <w:sz w:val="22"/>
        </w:rPr>
        <w:fldChar w:fldCharType="end"/>
      </w:r>
      <w:r>
        <w:rPr>
          <w:rFonts w:cs="Times New Roman"/>
          <w:sz w:val="22"/>
        </w:rPr>
        <w:t xml:space="preserve">. As such, farmed </w:t>
      </w:r>
      <w:r>
        <w:rPr>
          <w:rFonts w:cs="Times New Roman"/>
          <w:sz w:val="22"/>
        </w:rPr>
        <w:lastRenderedPageBreak/>
        <w:t xml:space="preserve">production of caviar continues to garner significant traction </w:t>
      </w:r>
      <w:r w:rsidR="00072236">
        <w:rPr>
          <w:rFonts w:cs="Times New Roman"/>
          <w:sz w:val="22"/>
        </w:rPr>
        <w:t>as a compelling and neat market-</w:t>
      </w:r>
      <w:r>
        <w:rPr>
          <w:rFonts w:cs="Times New Roman"/>
          <w:sz w:val="22"/>
        </w:rPr>
        <w:t xml:space="preserve">based solution to the threat of sturgeon extinction. </w:t>
      </w:r>
    </w:p>
    <w:p w14:paraId="3F8BA47E" w14:textId="1D80CD14" w:rsidR="00967716" w:rsidRDefault="00967716" w:rsidP="00967716">
      <w:pPr>
        <w:ind w:firstLine="720"/>
        <w:rPr>
          <w:rFonts w:cs="Times New Roman"/>
          <w:sz w:val="22"/>
        </w:rPr>
      </w:pPr>
      <w:r>
        <w:rPr>
          <w:rFonts w:cs="Times New Roman"/>
          <w:sz w:val="22"/>
        </w:rPr>
        <w:t xml:space="preserve">However, not everyone shares the same conviction that farmed production of caviar is a panacea for sturgeon conservation. On the contrary, a minority of voices </w:t>
      </w:r>
      <w:r w:rsidR="00072236">
        <w:rPr>
          <w:rFonts w:cs="Times New Roman"/>
          <w:sz w:val="22"/>
        </w:rPr>
        <w:t xml:space="preserve">have challenged this narrative. In </w:t>
      </w:r>
      <w:r>
        <w:rPr>
          <w:rFonts w:cs="Times New Roman"/>
          <w:sz w:val="22"/>
        </w:rPr>
        <w:t xml:space="preserve">a similar vein to Kirkpatrick and Emerton’s (2010) criticism of the principles underpinning conservation farming, </w:t>
      </w:r>
      <w:r w:rsidR="00072236">
        <w:rPr>
          <w:rFonts w:cs="Times New Roman"/>
          <w:sz w:val="22"/>
        </w:rPr>
        <w:t xml:space="preserve">these minority voices </w:t>
      </w:r>
      <w:r>
        <w:rPr>
          <w:rFonts w:cs="Times New Roman"/>
          <w:sz w:val="22"/>
        </w:rPr>
        <w:t xml:space="preserve">have suggested that the </w:t>
      </w:r>
      <w:r w:rsidR="00072236">
        <w:rPr>
          <w:rFonts w:cs="Times New Roman"/>
          <w:sz w:val="22"/>
        </w:rPr>
        <w:t xml:space="preserve">dominant policy </w:t>
      </w:r>
      <w:r>
        <w:rPr>
          <w:rFonts w:cs="Times New Roman"/>
          <w:sz w:val="22"/>
        </w:rPr>
        <w:t>narrative espouses a simplistic and idealised portrayal of caviar market dynamics in the EU. For example, Graham who is a sturgeon farmer and caviar producer himself, departed from the mainst</w:t>
      </w:r>
      <w:r w:rsidR="00CD31D9">
        <w:rPr>
          <w:rFonts w:cs="Times New Roman"/>
          <w:sz w:val="22"/>
        </w:rPr>
        <w:t>ream by relaying his view that “</w:t>
      </w:r>
      <w:r>
        <w:rPr>
          <w:rFonts w:cs="Times New Roman"/>
          <w:sz w:val="22"/>
        </w:rPr>
        <w:t xml:space="preserve">yes farmers </w:t>
      </w:r>
      <w:r w:rsidRPr="001B0FB4">
        <w:rPr>
          <w:rFonts w:cs="Times New Roman"/>
          <w:i/>
          <w:sz w:val="22"/>
        </w:rPr>
        <w:t>say</w:t>
      </w:r>
      <w:r>
        <w:rPr>
          <w:rFonts w:cs="Times New Roman"/>
          <w:sz w:val="22"/>
        </w:rPr>
        <w:t xml:space="preserve"> they save sturgeon by cultivating them… but as much as aquaculture </w:t>
      </w:r>
      <w:r w:rsidRPr="001B0FB4">
        <w:rPr>
          <w:rFonts w:cs="Times New Roman"/>
          <w:i/>
          <w:sz w:val="22"/>
        </w:rPr>
        <w:t>says</w:t>
      </w:r>
      <w:r>
        <w:rPr>
          <w:rFonts w:cs="Times New Roman"/>
          <w:sz w:val="22"/>
        </w:rPr>
        <w:t xml:space="preserve"> that it is reducing pressure on the wild resources by supplying the market with the prized caviar, in my opinion this does not help much</w:t>
      </w:r>
      <w:r w:rsidR="00CD31D9">
        <w:rPr>
          <w:rFonts w:cs="Times New Roman"/>
          <w:sz w:val="22"/>
        </w:rPr>
        <w:t>”</w:t>
      </w:r>
      <w:r w:rsidRPr="005B292F">
        <w:rPr>
          <w:rStyle w:val="FootnoteReference"/>
        </w:rPr>
        <w:footnoteReference w:id="163"/>
      </w:r>
      <w:r>
        <w:rPr>
          <w:rFonts w:cs="Times New Roman"/>
          <w:sz w:val="22"/>
        </w:rPr>
        <w:t>. Rather, Graham recognised that whilst it is a neat economic theory that farmed caviar production can save endangered wild sturgeon, in reality thi</w:t>
      </w:r>
      <w:r w:rsidR="00072236">
        <w:rPr>
          <w:rFonts w:cs="Times New Roman"/>
          <w:sz w:val="22"/>
        </w:rPr>
        <w:t>s narrative has a number of gaps</w:t>
      </w:r>
      <w:r>
        <w:rPr>
          <w:rFonts w:cs="Times New Roman"/>
          <w:sz w:val="22"/>
        </w:rPr>
        <w:t>. In fact, the narrative overlooks significant socio-political-economic issues that would add necessary nuance to the proclamations that farmed caviar production is the conservation panacea for sturgeon.</w:t>
      </w:r>
    </w:p>
    <w:p w14:paraId="16EC95A7" w14:textId="77777777" w:rsidR="00072236" w:rsidRDefault="00967716" w:rsidP="00072236">
      <w:pPr>
        <w:ind w:firstLine="720"/>
        <w:rPr>
          <w:rFonts w:cs="Times New Roman"/>
          <w:sz w:val="22"/>
        </w:rPr>
      </w:pPr>
      <w:r>
        <w:rPr>
          <w:rFonts w:cs="Times New Roman"/>
          <w:sz w:val="22"/>
        </w:rPr>
        <w:t>Firstly, Graham’s opinion diverged from that of Danut and representatives of the World Sturgeon Conservation Society, about the possibilities for farmed caviar to undercut the price of illegally harves</w:t>
      </w:r>
      <w:r w:rsidR="00CD31D9">
        <w:rPr>
          <w:rFonts w:cs="Times New Roman"/>
          <w:sz w:val="22"/>
        </w:rPr>
        <w:t>ted caviar. He maintained that “</w:t>
      </w:r>
      <w:r>
        <w:rPr>
          <w:rFonts w:cs="Times New Roman"/>
          <w:sz w:val="22"/>
        </w:rPr>
        <w:t>it will always be cheaper to fish sturgeon than to grow the fish</w:t>
      </w:r>
      <w:r w:rsidR="00CD31D9">
        <w:rPr>
          <w:rFonts w:cs="Times New Roman"/>
          <w:sz w:val="22"/>
        </w:rPr>
        <w:t>”</w:t>
      </w:r>
      <w:r w:rsidRPr="005B292F">
        <w:rPr>
          <w:rStyle w:val="FootnoteReference"/>
        </w:rPr>
        <w:footnoteReference w:id="164"/>
      </w:r>
      <w:r>
        <w:rPr>
          <w:rFonts w:cs="Times New Roman"/>
          <w:sz w:val="22"/>
        </w:rPr>
        <w:t xml:space="preserve"> because</w:t>
      </w:r>
      <w:r w:rsidR="00072236">
        <w:rPr>
          <w:rFonts w:cs="Times New Roman"/>
          <w:sz w:val="22"/>
        </w:rPr>
        <w:t>:</w:t>
      </w:r>
      <w:r>
        <w:rPr>
          <w:rFonts w:cs="Times New Roman"/>
          <w:sz w:val="22"/>
        </w:rPr>
        <w:t xml:space="preserve"> sturgeon farmin</w:t>
      </w:r>
      <w:r w:rsidR="00072236">
        <w:rPr>
          <w:rFonts w:cs="Times New Roman"/>
          <w:sz w:val="22"/>
        </w:rPr>
        <w:t>g has high initial set-up costs;</w:t>
      </w:r>
      <w:r>
        <w:rPr>
          <w:rFonts w:cs="Times New Roman"/>
          <w:sz w:val="22"/>
        </w:rPr>
        <w:t xml:space="preserve"> it is a cost intensive farming me</w:t>
      </w:r>
      <w:r w:rsidR="00072236">
        <w:rPr>
          <w:rFonts w:cs="Times New Roman"/>
          <w:sz w:val="22"/>
        </w:rPr>
        <w:t xml:space="preserve">thod; </w:t>
      </w:r>
      <w:r>
        <w:rPr>
          <w:rFonts w:cs="Times New Roman"/>
          <w:sz w:val="22"/>
        </w:rPr>
        <w:t xml:space="preserve">and the slow maturation of sturgeon </w:t>
      </w:r>
      <w:r w:rsidR="00072236">
        <w:rPr>
          <w:rFonts w:cs="Times New Roman"/>
          <w:sz w:val="22"/>
        </w:rPr>
        <w:t xml:space="preserve">means that </w:t>
      </w:r>
      <w:r>
        <w:rPr>
          <w:rFonts w:cs="Times New Roman"/>
          <w:sz w:val="22"/>
        </w:rPr>
        <w:t xml:space="preserve">it takes many years for them to produce caviar. Caviar producer Oliya stressed that </w:t>
      </w:r>
      <w:r w:rsidR="00CD31D9">
        <w:rPr>
          <w:rFonts w:cs="Times New Roman"/>
          <w:sz w:val="22"/>
        </w:rPr>
        <w:t xml:space="preserve">legal </w:t>
      </w:r>
      <w:r>
        <w:rPr>
          <w:rFonts w:cs="Times New Roman"/>
          <w:sz w:val="22"/>
        </w:rPr>
        <w:t>caviar sold cheaply is likely to be very poor in quality, as farmed caviar prices now remain fairly static and are largely determined by the costs of running a sturge</w:t>
      </w:r>
      <w:r w:rsidR="00CD31D9">
        <w:rPr>
          <w:rFonts w:cs="Times New Roman"/>
          <w:sz w:val="22"/>
        </w:rPr>
        <w:t>on farm. She admitted that the “</w:t>
      </w:r>
      <w:r>
        <w:rPr>
          <w:rFonts w:cs="Times New Roman"/>
          <w:sz w:val="22"/>
        </w:rPr>
        <w:t xml:space="preserve">problem for the European farms, is the [running] cost. The cost is really expensive. It takes so many years, and you also have the wages of the people who work for you, and to get the temperature of the water right. You know the cost to farm is </w:t>
      </w:r>
      <w:r w:rsidRPr="001809B0">
        <w:rPr>
          <w:rFonts w:cs="Times New Roman"/>
          <w:i/>
          <w:sz w:val="22"/>
        </w:rPr>
        <w:t>very</w:t>
      </w:r>
      <w:r>
        <w:rPr>
          <w:rFonts w:cs="Times New Roman"/>
          <w:sz w:val="22"/>
        </w:rPr>
        <w:t xml:space="preserve"> high</w:t>
      </w:r>
      <w:r w:rsidR="00CD31D9">
        <w:rPr>
          <w:rFonts w:cs="Times New Roman"/>
          <w:sz w:val="22"/>
        </w:rPr>
        <w:t>”</w:t>
      </w:r>
      <w:r w:rsidRPr="005B292F">
        <w:rPr>
          <w:rStyle w:val="FootnoteReference"/>
        </w:rPr>
        <w:footnoteReference w:id="165"/>
      </w:r>
      <w:r w:rsidR="00CD31D9">
        <w:rPr>
          <w:rFonts w:cs="Times New Roman"/>
          <w:sz w:val="22"/>
        </w:rPr>
        <w:t xml:space="preserve">. </w:t>
      </w:r>
      <w:r>
        <w:rPr>
          <w:rFonts w:cs="Times New Roman"/>
          <w:sz w:val="22"/>
        </w:rPr>
        <w:t>In their account of tiger farming, Kirkpatrick and Emerton point out that alongside investment in infra</w:t>
      </w:r>
      <w:r w:rsidR="00CD31D9">
        <w:rPr>
          <w:rFonts w:cs="Times New Roman"/>
          <w:sz w:val="22"/>
        </w:rPr>
        <w:t>structure and operating costs, “</w:t>
      </w:r>
      <w:r>
        <w:rPr>
          <w:rFonts w:cs="Times New Roman"/>
          <w:sz w:val="22"/>
        </w:rPr>
        <w:t>farmers also often must shoulder the costs of the regulatory structure that allows them to sell their products. In contrast poa</w:t>
      </w:r>
      <w:r w:rsidR="00CD31D9">
        <w:rPr>
          <w:rFonts w:cs="Times New Roman"/>
          <w:sz w:val="22"/>
        </w:rPr>
        <w:t>chers have relatively low costs”</w:t>
      </w:r>
      <w:r>
        <w:rPr>
          <w:rFonts w:cs="Times New Roman"/>
          <w:sz w:val="22"/>
        </w:rPr>
        <w:t xml:space="preserve"> (2010: 657). This is true of the caviar industry, who are beholden to the demands of CITES and the bureaucratic procedures they must adhere to in order to sell their caviar. Thus with farmed caviar production there are relatively low profit margins due to high operating costs. </w:t>
      </w:r>
    </w:p>
    <w:p w14:paraId="6B325801" w14:textId="0D35F346" w:rsidR="00967716" w:rsidRDefault="00967716" w:rsidP="00072236">
      <w:pPr>
        <w:ind w:firstLine="720"/>
        <w:rPr>
          <w:rFonts w:cs="Times New Roman"/>
          <w:sz w:val="22"/>
        </w:rPr>
      </w:pPr>
      <w:r>
        <w:rPr>
          <w:rFonts w:cs="Times New Roman"/>
          <w:sz w:val="22"/>
        </w:rPr>
        <w:lastRenderedPageBreak/>
        <w:t>Kirkpatrick</w:t>
      </w:r>
      <w:r w:rsidR="00CD31D9">
        <w:rPr>
          <w:rFonts w:cs="Times New Roman"/>
          <w:sz w:val="22"/>
        </w:rPr>
        <w:t xml:space="preserve"> and Emerton also suggest that “</w:t>
      </w:r>
      <w:r>
        <w:rPr>
          <w:rFonts w:cs="Times New Roman"/>
          <w:sz w:val="22"/>
        </w:rPr>
        <w:t>with low profitability and imperfect competition, it is unlikely that farmers will oversupply a market so that prices will decrease, particularly for prod</w:t>
      </w:r>
      <w:r w:rsidR="00CD31D9">
        <w:rPr>
          <w:rFonts w:cs="Times New Roman"/>
          <w:sz w:val="22"/>
        </w:rPr>
        <w:t>ucts currently seen as a luxury”</w:t>
      </w:r>
      <w:r>
        <w:rPr>
          <w:rFonts w:cs="Times New Roman"/>
          <w:sz w:val="22"/>
        </w:rPr>
        <w:t xml:space="preserve"> (ibid). Given tha</w:t>
      </w:r>
      <w:r w:rsidR="00CD31D9">
        <w:rPr>
          <w:rFonts w:cs="Times New Roman"/>
          <w:sz w:val="22"/>
        </w:rPr>
        <w:t>t many producers maintain that “</w:t>
      </w:r>
      <w:r>
        <w:rPr>
          <w:rFonts w:cs="Times New Roman"/>
          <w:sz w:val="22"/>
        </w:rPr>
        <w:t>the image of caviar should stay as a luxury</w:t>
      </w:r>
      <w:r w:rsidR="00CD31D9">
        <w:rPr>
          <w:rFonts w:cs="Times New Roman"/>
          <w:sz w:val="22"/>
        </w:rPr>
        <w:t>”</w:t>
      </w:r>
      <w:r w:rsidRPr="005B292F">
        <w:rPr>
          <w:rStyle w:val="FootnoteReference"/>
        </w:rPr>
        <w:footnoteReference w:id="166"/>
      </w:r>
      <w:r>
        <w:rPr>
          <w:rFonts w:cs="Times New Roman"/>
          <w:sz w:val="22"/>
        </w:rPr>
        <w:t xml:space="preserve">, it seems improbable that they will be willing to reduce the price of their products if they are not able to radically reduce their operation costs at the same time. Even if the price of farmed caviar does decrease, this is likely to be marginal and take place over a long time frame. Based upon extensive </w:t>
      </w:r>
      <w:r w:rsidR="00CC5344">
        <w:rPr>
          <w:rFonts w:cs="Times New Roman"/>
          <w:sz w:val="22"/>
        </w:rPr>
        <w:t xml:space="preserve">EU </w:t>
      </w:r>
      <w:r>
        <w:rPr>
          <w:rFonts w:cs="Times New Roman"/>
          <w:sz w:val="22"/>
        </w:rPr>
        <w:t>market surveys o</w:t>
      </w:r>
      <w:r w:rsidR="00CC5344">
        <w:rPr>
          <w:rFonts w:cs="Times New Roman"/>
          <w:sz w:val="22"/>
        </w:rPr>
        <w:t>n caviar prices and availability</w:t>
      </w:r>
      <w:r>
        <w:rPr>
          <w:rFonts w:cs="Times New Roman"/>
          <w:sz w:val="22"/>
        </w:rPr>
        <w:t>, NGO representative Sigrid maintained that in sturgeon range states such as Romania, illegal caviar from poached sturgeon is currently much cheaper to purchase than farmed varieties</w:t>
      </w:r>
      <w:r w:rsidR="00CD31D9" w:rsidRPr="005B292F">
        <w:rPr>
          <w:rStyle w:val="FootnoteReference"/>
        </w:rPr>
        <w:footnoteReference w:id="167"/>
      </w:r>
      <w:r>
        <w:rPr>
          <w:rFonts w:cs="Times New Roman"/>
          <w:sz w:val="22"/>
        </w:rPr>
        <w:t xml:space="preserve">. As such, there are obvious grey areas regarding the timeframes and technicalities of </w:t>
      </w:r>
      <w:r w:rsidR="00604377">
        <w:rPr>
          <w:rFonts w:cs="Times New Roman"/>
          <w:sz w:val="22"/>
        </w:rPr>
        <w:t xml:space="preserve">if, and </w:t>
      </w:r>
      <w:r>
        <w:rPr>
          <w:rFonts w:cs="Times New Roman"/>
          <w:sz w:val="22"/>
        </w:rPr>
        <w:t>how</w:t>
      </w:r>
      <w:r w:rsidR="00604377">
        <w:rPr>
          <w:rFonts w:cs="Times New Roman"/>
          <w:sz w:val="22"/>
        </w:rPr>
        <w:t>,</w:t>
      </w:r>
      <w:r>
        <w:rPr>
          <w:rFonts w:cs="Times New Roman"/>
          <w:sz w:val="22"/>
        </w:rPr>
        <w:t xml:space="preserve"> farmed caviar prices could realistically undercut the price of poached caviar. These grey areas are excluded from the conservation narrative, but when taking these factors into consideration it is possible to surmise that the price of poached caviar will continue to remain economically competitive for the foreseeable future. </w:t>
      </w:r>
    </w:p>
    <w:p w14:paraId="0566FD3A" w14:textId="2CEB4C9D" w:rsidR="00967716" w:rsidRDefault="00967716" w:rsidP="00967716">
      <w:pPr>
        <w:ind w:firstLine="720"/>
        <w:rPr>
          <w:rFonts w:cs="Times New Roman"/>
          <w:sz w:val="22"/>
        </w:rPr>
      </w:pPr>
      <w:r>
        <w:rPr>
          <w:rFonts w:cs="Times New Roman"/>
          <w:sz w:val="22"/>
        </w:rPr>
        <w:t>A further factor that is overlooked by the narrative that farmed caviar production is the panacea for sturgeon conservation, is the on-going social desirability of wild caviar. The premise of con</w:t>
      </w:r>
      <w:r w:rsidR="00A70FC3">
        <w:rPr>
          <w:rFonts w:cs="Times New Roman"/>
          <w:sz w:val="22"/>
        </w:rPr>
        <w:t>servation farming is to assume “</w:t>
      </w:r>
      <w:r>
        <w:rPr>
          <w:rFonts w:cs="Times New Roman"/>
          <w:sz w:val="22"/>
        </w:rPr>
        <w:t>that farmed stocks</w:t>
      </w:r>
      <w:r w:rsidR="00A70FC3">
        <w:rPr>
          <w:rFonts w:cs="Times New Roman"/>
          <w:sz w:val="22"/>
        </w:rPr>
        <w:t xml:space="preserve"> can substitute for wild stocks”</w:t>
      </w:r>
      <w:r>
        <w:rPr>
          <w:rFonts w:cs="Times New Roman"/>
          <w:sz w:val="22"/>
        </w:rPr>
        <w:t xml:space="preserve"> </w:t>
      </w:r>
      <w:r>
        <w:rPr>
          <w:rFonts w:cs="Times New Roman"/>
          <w:sz w:val="22"/>
        </w:rPr>
        <w:fldChar w:fldCharType="begin" w:fldLock="1"/>
      </w:r>
      <w:r w:rsidR="00EC7F7E">
        <w:rPr>
          <w:rFonts w:cs="Times New Roman"/>
          <w:sz w:val="22"/>
        </w:rPr>
        <w:instrText>ADDIN CSL_CITATION {"citationItems":[{"id":"ITEM-1","itemData":{"DOI":"10.1111/j.1523-1739.2010.01468.x","ISSN":"08888892","abstract":"The lucrative, illegal trade in tigers (Panthera tigris) remains a major conservation problem. Tiger farming has been proposed as a potential solution, with farmed tigers substituting for wild tigers. At first glance, this argument's logic seems simple: farming will increase the supply of tigers, prices will fall, and poaching will no longer be profitable. We contend, however, that this supply-side argument relies on mistaken assumptions. First, tiger markets are imperfect, meaning they are dominated by a few producers who control price. Second, consumers prefer wild tigers to farmed tigers and therefore the two are not pure substitutes. In economic terms, products from wild tigers are luxury goods, commanding a price premium. Third, there is no evidence that farmed tigers can be produced or sold more cheaply than wild tigers. In sum, it is unlikely that farming will drive down the price of wild-caught tigers or decrease profitability for tiger poachers. Rather, tiger farming is more likely to increase aggregate demand for tiger products and stimulate higher levels of poaching. © 2010 Society for Conservation Biology.","author":[{"dropping-particle":"","family":"Kirkpatrick","given":"R. Craig","non-dropping-particle":"","parse-names":false,"suffix":""},{"dropping-particle":"","family":"Emerton","given":"Lucy","non-dropping-particle":"","parse-names":false,"suffix":""}],"container-title":"Conservation Biology","id":"ITEM-1","issue":"3","issued":{"date-parts":[["2010"]]},"page":"655-659","title":"Killing Tigers to Save Them: Fallacies of the Farming Argument","type":"article-journal","volume":"24"},"uris":["http://www.mendeley.com/documents/?uuid=b7bf48c6-48fe-4f70-99c2-026d1bfa0806"]}],"mendeley":{"formattedCitation":"(Kirkpatrick and Emerton, 2010)","manualFormatting":"(Kirkpatrick and Emerton, 2010: 657)","plainTextFormattedCitation":"(Kirkpatrick and Emerton, 2010)","previouslyFormattedCitation":"(Kirkpatrick and Emerton, 2010)"},"properties":{"noteIndex":0},"schema":"https://github.com/citation-style-language/schema/raw/master/csl-citation.json"}</w:instrText>
      </w:r>
      <w:r>
        <w:rPr>
          <w:rFonts w:cs="Times New Roman"/>
          <w:sz w:val="22"/>
        </w:rPr>
        <w:fldChar w:fldCharType="separate"/>
      </w:r>
      <w:r w:rsidRPr="00455EBE">
        <w:rPr>
          <w:rFonts w:cs="Times New Roman"/>
          <w:noProof/>
          <w:sz w:val="22"/>
        </w:rPr>
        <w:t>(Kirkpatrick and Emerton, 2010</w:t>
      </w:r>
      <w:r>
        <w:rPr>
          <w:rFonts w:cs="Times New Roman"/>
          <w:noProof/>
          <w:sz w:val="22"/>
        </w:rPr>
        <w:t>: 657</w:t>
      </w:r>
      <w:r w:rsidRPr="00455EBE">
        <w:rPr>
          <w:rFonts w:cs="Times New Roman"/>
          <w:noProof/>
          <w:sz w:val="22"/>
        </w:rPr>
        <w:t>)</w:t>
      </w:r>
      <w:r>
        <w:rPr>
          <w:rFonts w:cs="Times New Roman"/>
          <w:sz w:val="22"/>
        </w:rPr>
        <w:fldChar w:fldCharType="end"/>
      </w:r>
      <w:r>
        <w:rPr>
          <w:rFonts w:cs="Times New Roman"/>
          <w:sz w:val="22"/>
        </w:rPr>
        <w:t>. However this can only happen if the products are matched in quality, and there is an attendant shift in consumer demand and behaviour. Unfortunately, Graham stressed that flooding the market with farmed caviar will do nothing to displace the widespread perception amongst consumers – and some producers - that wild caviar is better in quality and taste than the farmed varieties</w:t>
      </w:r>
      <w:r w:rsidR="00A70FC3">
        <w:rPr>
          <w:rFonts w:cs="Times New Roman"/>
          <w:sz w:val="22"/>
        </w:rPr>
        <w:t>. Graham himself said that the “</w:t>
      </w:r>
      <w:r>
        <w:rPr>
          <w:rFonts w:cs="Times New Roman"/>
          <w:sz w:val="22"/>
        </w:rPr>
        <w:t>quality of the farmed product versus wild is usually much lower</w:t>
      </w:r>
      <w:r w:rsidR="00A70FC3">
        <w:rPr>
          <w:rFonts w:cs="Times New Roman"/>
          <w:sz w:val="22"/>
        </w:rPr>
        <w:t>”</w:t>
      </w:r>
      <w:r w:rsidRPr="005B292F">
        <w:rPr>
          <w:rStyle w:val="FootnoteReference"/>
        </w:rPr>
        <w:footnoteReference w:id="168"/>
      </w:r>
      <w:r>
        <w:rPr>
          <w:rFonts w:cs="Times New Roman"/>
          <w:sz w:val="22"/>
        </w:rPr>
        <w:t>. Other industry representatives such as caviar</w:t>
      </w:r>
      <w:r w:rsidR="00A70FC3">
        <w:rPr>
          <w:rFonts w:cs="Times New Roman"/>
          <w:sz w:val="22"/>
        </w:rPr>
        <w:t xml:space="preserve"> importer and</w:t>
      </w:r>
      <w:r>
        <w:rPr>
          <w:rFonts w:cs="Times New Roman"/>
          <w:sz w:val="22"/>
        </w:rPr>
        <w:t xml:space="preserve"> wholesaler </w:t>
      </w:r>
      <w:r w:rsidRPr="00712849">
        <w:rPr>
          <w:rFonts w:cs="Times New Roman"/>
          <w:sz w:val="22"/>
        </w:rPr>
        <w:t>Mollie</w:t>
      </w:r>
      <w:r w:rsidRPr="005B292F">
        <w:rPr>
          <w:rStyle w:val="FootnoteReference"/>
        </w:rPr>
        <w:footnoteReference w:id="169"/>
      </w:r>
      <w:r>
        <w:rPr>
          <w:rFonts w:cs="Times New Roman"/>
          <w:sz w:val="22"/>
        </w:rPr>
        <w:t xml:space="preserve"> </w:t>
      </w:r>
      <w:r w:rsidR="00072236">
        <w:rPr>
          <w:rFonts w:cs="Times New Roman"/>
          <w:sz w:val="22"/>
        </w:rPr>
        <w:t xml:space="preserve">also </w:t>
      </w:r>
      <w:r>
        <w:rPr>
          <w:rFonts w:cs="Times New Roman"/>
          <w:sz w:val="22"/>
        </w:rPr>
        <w:t>declared th</w:t>
      </w:r>
      <w:r w:rsidR="00A70FC3">
        <w:rPr>
          <w:rFonts w:cs="Times New Roman"/>
          <w:sz w:val="22"/>
        </w:rPr>
        <w:t>at the taste of wild caviar is “better”</w:t>
      </w:r>
      <w:r>
        <w:rPr>
          <w:rFonts w:cs="Times New Roman"/>
          <w:sz w:val="22"/>
        </w:rPr>
        <w:t xml:space="preserve"> than farmed varieties. This perception about quality, and the overwhelming preference for wild caviar amongst caviar industry representatives, trickles down to consumers. For example NGO representative </w:t>
      </w:r>
      <w:r w:rsidRPr="00437DA3">
        <w:rPr>
          <w:rFonts w:cs="Times New Roman"/>
          <w:sz w:val="22"/>
        </w:rPr>
        <w:t>Melanie</w:t>
      </w:r>
      <w:r w:rsidRPr="005B292F">
        <w:rPr>
          <w:rStyle w:val="FootnoteReference"/>
        </w:rPr>
        <w:footnoteReference w:id="170"/>
      </w:r>
      <w:r>
        <w:rPr>
          <w:rFonts w:cs="Times New Roman"/>
          <w:sz w:val="22"/>
        </w:rPr>
        <w:t xml:space="preserve"> explained that in the Ukrainian fishing communities she works </w:t>
      </w:r>
      <w:r w:rsidR="00072236">
        <w:rPr>
          <w:rFonts w:cs="Times New Roman"/>
          <w:sz w:val="22"/>
        </w:rPr>
        <w:t>in, poachers continue to catch B</w:t>
      </w:r>
      <w:r>
        <w:rPr>
          <w:rFonts w:cs="Times New Roman"/>
          <w:sz w:val="22"/>
        </w:rPr>
        <w:t>eluga sturgeon based upo</w:t>
      </w:r>
      <w:r w:rsidR="00A70FC3">
        <w:rPr>
          <w:rFonts w:cs="Times New Roman"/>
          <w:sz w:val="22"/>
        </w:rPr>
        <w:t>n the orders they receive from “rich people” in Kyiv. Ultimately caviar “</w:t>
      </w:r>
      <w:r>
        <w:rPr>
          <w:rFonts w:cs="Times New Roman"/>
          <w:sz w:val="22"/>
        </w:rPr>
        <w:t>is not a product, it’s a perception</w:t>
      </w:r>
      <w:r w:rsidR="00A70FC3">
        <w:rPr>
          <w:rFonts w:cs="Times New Roman"/>
          <w:sz w:val="22"/>
        </w:rPr>
        <w:t>”</w:t>
      </w:r>
      <w:r w:rsidRPr="005B292F">
        <w:rPr>
          <w:rStyle w:val="FootnoteReference"/>
        </w:rPr>
        <w:footnoteReference w:id="171"/>
      </w:r>
      <w:r>
        <w:rPr>
          <w:rFonts w:cs="Times New Roman"/>
          <w:sz w:val="22"/>
        </w:rPr>
        <w:t xml:space="preserve">, and the symbolic draw of wild caviar is likely to continue to drive demand for the ‘real’ product, irrespective of the price or availability of farmed caviar on EU markets. Thus, it remains unclear </w:t>
      </w:r>
      <w:r>
        <w:rPr>
          <w:rFonts w:cs="Times New Roman"/>
          <w:sz w:val="22"/>
        </w:rPr>
        <w:lastRenderedPageBreak/>
        <w:t xml:space="preserve">whether farmed caviar can act as a substitute for wild caviar. This is another grey area overlooked by narratives that present farmed caviar production to be a conservation panacea. </w:t>
      </w:r>
    </w:p>
    <w:p w14:paraId="5B0D4C0C" w14:textId="0DF21691" w:rsidR="00967716" w:rsidRDefault="00967716" w:rsidP="00853956">
      <w:pPr>
        <w:ind w:firstLine="720"/>
        <w:rPr>
          <w:rFonts w:cs="Times New Roman"/>
          <w:sz w:val="22"/>
        </w:rPr>
      </w:pPr>
      <w:r>
        <w:rPr>
          <w:rFonts w:cs="Times New Roman"/>
          <w:sz w:val="22"/>
        </w:rPr>
        <w:t xml:space="preserve">The conceptual models underlying supply-side conservation, also assume that the behaviour of poachers is economically rational </w:t>
      </w:r>
      <w:r>
        <w:rPr>
          <w:rFonts w:cs="Times New Roman"/>
          <w:sz w:val="22"/>
        </w:rPr>
        <w:fldChar w:fldCharType="begin" w:fldLock="1"/>
      </w:r>
      <w:r w:rsidR="00EC7F7E">
        <w:rPr>
          <w:rFonts w:cs="Times New Roman"/>
          <w:sz w:val="22"/>
        </w:rPr>
        <w:instrText>ADDIN CSL_CITATION {"citationItems":[{"id":"ITEM-1","itemData":{"DOI":"10.1111/conl.12681","ISSN":"1755263X","abstract":"Thousands of species worldwide are threatened with extinction due to human activities. For some animals, such as elephants, totoaba, and bluefin tuna, population declines are largely driven by hunting. High prices and large profits create a strong incentive for illegal hunting, even in the face of penalties and strict international restrictions against trade. One innovative solution to help reverse the declines of such species is to farm them to increase supply, thereby reducing prices and decreasing hunting incentives. However, this idea has been criticized as impractical, though some examples exist of successful implementation. Here, we evaluate the hurdles facing endangered species farming as a market-based mechanism to reduce illegal harvest of wild populations and provide guidance on when it is most likely to be effective. Using a simple model, we show how farming costs and enforcement of anti-poaching measures are key drivers of success for this solution. We also argue that many of the most promising candidates are aquatic species that have been largely overlooked. Thus, while conservation farming may not be a solution for all endangered species, it should be more seriously considered for species that could be produced quickly and cost-effectively.","author":[{"dropping-particle":"","family":"Gentry","given":"Rebecca R.","non-dropping-particle":"","parse-names":false,"suffix":""},{"dropping-particle":"","family":"Gaines","given":"Steven D.","non-dropping-particle":"","parse-names":false,"suffix":""},{"dropping-particle":"","family":"Gabe","given":"Jeremy S.","non-dropping-particle":"","parse-names":false,"suffix":""},{"dropping-particle":"","family":"Lester","given":"Sarah E.","non-dropping-particle":"","parse-names":false,"suffix":""}],"container-title":"Conservation Letters","id":"ITEM-1","issue":"6","issued":{"date-parts":[["2019"]]},"page":"1-7","title":"Looking to aquatic species for conservation farming success","type":"article-journal","volume":"12"},"uris":["http://www.mendeley.com/documents/?uuid=2d5d891b-ac98-4eee-8e5b-b53ae5e20d0a"]}],"mendeley":{"formattedCitation":"(Gentry &lt;i&gt;et al.&lt;/i&gt;, 2019)","plainTextFormattedCitation":"(Gentry et al., 2019)","previouslyFormattedCitation":"(Gentry &lt;i&gt;et al.&lt;/i&gt;, 2019)"},"properties":{"noteIndex":0},"schema":"https://github.com/citation-style-language/schema/raw/master/csl-citation.json"}</w:instrText>
      </w:r>
      <w:r>
        <w:rPr>
          <w:rFonts w:cs="Times New Roman"/>
          <w:sz w:val="22"/>
        </w:rPr>
        <w:fldChar w:fldCharType="separate"/>
      </w:r>
      <w:r w:rsidR="00042533" w:rsidRPr="00042533">
        <w:rPr>
          <w:rFonts w:cs="Times New Roman"/>
          <w:noProof/>
          <w:sz w:val="22"/>
        </w:rPr>
        <w:t xml:space="preserve">(Gentry </w:t>
      </w:r>
      <w:r w:rsidR="00042533" w:rsidRPr="00042533">
        <w:rPr>
          <w:rFonts w:cs="Times New Roman"/>
          <w:i/>
          <w:noProof/>
          <w:sz w:val="22"/>
        </w:rPr>
        <w:t>et al.</w:t>
      </w:r>
      <w:r w:rsidR="00042533" w:rsidRPr="00042533">
        <w:rPr>
          <w:rFonts w:cs="Times New Roman"/>
          <w:noProof/>
          <w:sz w:val="22"/>
        </w:rPr>
        <w:t>, 2019)</w:t>
      </w:r>
      <w:r>
        <w:rPr>
          <w:rFonts w:cs="Times New Roman"/>
          <w:sz w:val="22"/>
        </w:rPr>
        <w:fldChar w:fldCharType="end"/>
      </w:r>
      <w:r>
        <w:rPr>
          <w:rFonts w:cs="Times New Roman"/>
          <w:sz w:val="22"/>
        </w:rPr>
        <w:t xml:space="preserve">. However, Graham highlighted that in the case of sturgeon fishermen their poaching motivations are nuanced, and not solely influenced by the relative cost differential between poached caviar and farmed caviar. </w:t>
      </w:r>
      <w:r w:rsidR="00A70FC3">
        <w:rPr>
          <w:rFonts w:cs="Times New Roman"/>
          <w:sz w:val="22"/>
        </w:rPr>
        <w:t>Graham</w:t>
      </w:r>
      <w:r>
        <w:rPr>
          <w:rFonts w:cs="Times New Roman"/>
          <w:sz w:val="22"/>
        </w:rPr>
        <w:t xml:space="preserve"> pointed to the fact that the </w:t>
      </w:r>
      <w:r w:rsidR="00853956">
        <w:rPr>
          <w:rFonts w:cs="Times New Roman"/>
          <w:sz w:val="22"/>
        </w:rPr>
        <w:t>policies promoting</w:t>
      </w:r>
      <w:r>
        <w:rPr>
          <w:rFonts w:cs="Times New Roman"/>
          <w:sz w:val="22"/>
        </w:rPr>
        <w:t xml:space="preserve"> </w:t>
      </w:r>
      <w:r w:rsidR="00853956">
        <w:rPr>
          <w:rFonts w:cs="Times New Roman"/>
          <w:sz w:val="22"/>
        </w:rPr>
        <w:t>a move towards sturgeon aquaculture, do not take</w:t>
      </w:r>
      <w:r>
        <w:rPr>
          <w:rFonts w:cs="Times New Roman"/>
          <w:sz w:val="22"/>
        </w:rPr>
        <w:t xml:space="preserve"> into account the impact of</w:t>
      </w:r>
      <w:r w:rsidR="00072236">
        <w:rPr>
          <w:rFonts w:cs="Times New Roman"/>
          <w:sz w:val="22"/>
        </w:rPr>
        <w:t xml:space="preserve"> this</w:t>
      </w:r>
      <w:r w:rsidR="00A70FC3">
        <w:rPr>
          <w:rFonts w:cs="Times New Roman"/>
          <w:sz w:val="22"/>
        </w:rPr>
        <w:t xml:space="preserve"> policy shift on the livelihoods of fishermen in sturgeon range states</w:t>
      </w:r>
      <w:r w:rsidR="00853956">
        <w:rPr>
          <w:rFonts w:cs="Times New Roman"/>
          <w:sz w:val="22"/>
        </w:rPr>
        <w:t xml:space="preserve"> (the implications of which I discussed in chapter four). To briefly reiterate</w:t>
      </w:r>
      <w:r w:rsidR="00A70FC3">
        <w:rPr>
          <w:rFonts w:cs="Times New Roman"/>
          <w:sz w:val="22"/>
        </w:rPr>
        <w:t xml:space="preserve">, </w:t>
      </w:r>
      <w:r w:rsidR="00FF1010">
        <w:rPr>
          <w:rFonts w:cs="Times New Roman"/>
          <w:sz w:val="22"/>
        </w:rPr>
        <w:t xml:space="preserve">aquaculture enterprises rarely employ or provide economic benefits to fishing communities in sturgeon range states; and sturgeon fishermen may be motivated to pursue sturgeon crimes in lieu </w:t>
      </w:r>
      <w:r>
        <w:rPr>
          <w:rFonts w:cs="Times New Roman"/>
          <w:sz w:val="22"/>
        </w:rPr>
        <w:t xml:space="preserve">of alternative economic options. </w:t>
      </w:r>
      <w:r w:rsidR="00FF1010">
        <w:rPr>
          <w:rFonts w:cs="Times New Roman"/>
          <w:sz w:val="22"/>
        </w:rPr>
        <w:t>As discussed, i</w:t>
      </w:r>
      <w:r>
        <w:rPr>
          <w:rFonts w:cs="Times New Roman"/>
          <w:sz w:val="22"/>
        </w:rPr>
        <w:t>n some cases poaching is acknowledged to be a protest against the regulations. The incentive to poach is further compounded by the fact that poaching in sturgeon range states such as Romania continues to be a low-risk, high reward activity, because - as with</w:t>
      </w:r>
      <w:r w:rsidR="00FF1010">
        <w:rPr>
          <w:rFonts w:cs="Times New Roman"/>
          <w:sz w:val="22"/>
        </w:rPr>
        <w:t xml:space="preserve"> other forms of poaching – “</w:t>
      </w:r>
      <w:r>
        <w:rPr>
          <w:rFonts w:cs="Times New Roman"/>
          <w:sz w:val="22"/>
        </w:rPr>
        <w:t>rates of detection, arrest, prosecution, and convic</w:t>
      </w:r>
      <w:r w:rsidR="00FF1010">
        <w:rPr>
          <w:rFonts w:cs="Times New Roman"/>
          <w:sz w:val="22"/>
        </w:rPr>
        <w:t>tion for wildlife crime are low”</w:t>
      </w:r>
      <w:r>
        <w:rPr>
          <w:rFonts w:cs="Times New Roman"/>
          <w:sz w:val="22"/>
        </w:rPr>
        <w:t xml:space="preserve"> </w:t>
      </w:r>
      <w:r>
        <w:rPr>
          <w:rFonts w:cs="Times New Roman"/>
          <w:sz w:val="22"/>
        </w:rPr>
        <w:fldChar w:fldCharType="begin" w:fldLock="1"/>
      </w:r>
      <w:r w:rsidR="00EC7F7E">
        <w:rPr>
          <w:rFonts w:cs="Times New Roman"/>
          <w:sz w:val="22"/>
        </w:rPr>
        <w:instrText>ADDIN CSL_CITATION {"citationItems":[{"id":"ITEM-1","itemData":{"DOI":"10.1111/j.1523-1739.2010.01468.x","ISSN":"08888892","abstract":"The lucrative, illegal trade in tigers (Panthera tigris) remains a major conservation problem. Tiger farming has been proposed as a potential solution, with farmed tigers substituting for wild tigers. At first glance, this argument's logic seems simple: farming will increase the supply of tigers, prices will fall, and poaching will no longer be profitable. We contend, however, that this supply-side argument relies on mistaken assumptions. First, tiger markets are imperfect, meaning they are dominated by a few producers who control price. Second, consumers prefer wild tigers to farmed tigers and therefore the two are not pure substitutes. In economic terms, products from wild tigers are luxury goods, commanding a price premium. Third, there is no evidence that farmed tigers can be produced or sold more cheaply than wild tigers. In sum, it is unlikely that farming will drive down the price of wild-caught tigers or decrease profitability for tiger poachers. Rather, tiger farming is more likely to increase aggregate demand for tiger products and stimulate higher levels of poaching. © 2010 Society for Conservation Biology.","author":[{"dropping-particle":"","family":"Kirkpatrick","given":"R. Craig","non-dropping-particle":"","parse-names":false,"suffix":""},{"dropping-particle":"","family":"Emerton","given":"Lucy","non-dropping-particle":"","parse-names":false,"suffix":""}],"container-title":"Conservation Biology","id":"ITEM-1","issue":"3","issued":{"date-parts":[["2010"]]},"page":"655-659","title":"Killing Tigers to Save Them: Fallacies of the Farming Argument","type":"article-journal","volume":"24"},"uris":["http://www.mendeley.com/documents/?uuid=b7bf48c6-48fe-4f70-99c2-026d1bfa0806"]}],"mendeley":{"formattedCitation":"(Kirkpatrick and Emerton, 2010)","manualFormatting":"(Kirkpatrick and Emerton, 2010: 657)","plainTextFormattedCitation":"(Kirkpatrick and Emerton, 2010)","previouslyFormattedCitation":"(Kirkpatrick and Emerton, 2010)"},"properties":{"noteIndex":0},"schema":"https://github.com/citation-style-language/schema/raw/master/csl-citation.json"}</w:instrText>
      </w:r>
      <w:r>
        <w:rPr>
          <w:rFonts w:cs="Times New Roman"/>
          <w:sz w:val="22"/>
        </w:rPr>
        <w:fldChar w:fldCharType="separate"/>
      </w:r>
      <w:r w:rsidRPr="00DE19F9">
        <w:rPr>
          <w:rFonts w:cs="Times New Roman"/>
          <w:noProof/>
          <w:sz w:val="22"/>
        </w:rPr>
        <w:t>(Kirkpatrick and Emerton, 2010</w:t>
      </w:r>
      <w:r>
        <w:rPr>
          <w:rFonts w:cs="Times New Roman"/>
          <w:noProof/>
          <w:sz w:val="22"/>
        </w:rPr>
        <w:t>: 657</w:t>
      </w:r>
      <w:r w:rsidRPr="00DE19F9">
        <w:rPr>
          <w:rFonts w:cs="Times New Roman"/>
          <w:noProof/>
          <w:sz w:val="22"/>
        </w:rPr>
        <w:t>)</w:t>
      </w:r>
      <w:r>
        <w:rPr>
          <w:rFonts w:cs="Times New Roman"/>
          <w:sz w:val="22"/>
        </w:rPr>
        <w:fldChar w:fldCharType="end"/>
      </w:r>
      <w:r>
        <w:rPr>
          <w:rFonts w:cs="Times New Roman"/>
          <w:sz w:val="22"/>
        </w:rPr>
        <w:t xml:space="preserve">. Thus, there are myriad motivations for fishermen to poach; and whilst enforcement efforts remain chequered at best, poaching is likely to continue and undermine the perceived conservation benefit of farmed caviar production. In this regard, the narrative that farmed caviar production is a conservation panacea for sturgeon, takes a very static and economic view of what drives sturgeon poaching. In reality, the motivations for sturgeon poaching are nuanced; and this is therefore another overlooked </w:t>
      </w:r>
      <w:r w:rsidR="00853956">
        <w:rPr>
          <w:rFonts w:cs="Times New Roman"/>
          <w:sz w:val="22"/>
        </w:rPr>
        <w:t>factor</w:t>
      </w:r>
      <w:r>
        <w:rPr>
          <w:rFonts w:cs="Times New Roman"/>
          <w:sz w:val="22"/>
        </w:rPr>
        <w:t xml:space="preserve"> that blurs the conservation credentials of farmed caviar production.</w:t>
      </w:r>
    </w:p>
    <w:p w14:paraId="282B481F" w14:textId="492AEEB3" w:rsidR="00967716" w:rsidRDefault="00967716" w:rsidP="00235C5F">
      <w:pPr>
        <w:ind w:firstLine="720"/>
        <w:rPr>
          <w:rFonts w:cs="Times New Roman"/>
          <w:sz w:val="22"/>
        </w:rPr>
      </w:pPr>
      <w:r>
        <w:rPr>
          <w:rFonts w:cs="Times New Roman"/>
          <w:sz w:val="22"/>
        </w:rPr>
        <w:t>Moreover, the narra</w:t>
      </w:r>
      <w:r w:rsidR="00FF1010">
        <w:rPr>
          <w:rFonts w:cs="Times New Roman"/>
          <w:sz w:val="22"/>
        </w:rPr>
        <w:t>tive fails to acknowledge that “</w:t>
      </w:r>
      <w:r>
        <w:rPr>
          <w:rFonts w:cs="Times New Roman"/>
          <w:sz w:val="22"/>
        </w:rPr>
        <w:t>aquaculture has its issues</w:t>
      </w:r>
      <w:r w:rsidR="00FF1010">
        <w:rPr>
          <w:rFonts w:cs="Times New Roman"/>
          <w:sz w:val="22"/>
        </w:rPr>
        <w:t>”</w:t>
      </w:r>
      <w:r w:rsidRPr="005B292F">
        <w:rPr>
          <w:rStyle w:val="FootnoteReference"/>
        </w:rPr>
        <w:footnoteReference w:id="172"/>
      </w:r>
      <w:r w:rsidR="00FF1010">
        <w:rPr>
          <w:rFonts w:cs="Times New Roman"/>
          <w:sz w:val="22"/>
        </w:rPr>
        <w:t xml:space="preserve">. </w:t>
      </w:r>
      <w:r w:rsidR="00853956">
        <w:rPr>
          <w:rFonts w:cs="Times New Roman"/>
          <w:sz w:val="22"/>
        </w:rPr>
        <w:t>Specifically</w:t>
      </w:r>
      <w:r>
        <w:rPr>
          <w:rFonts w:cs="Times New Roman"/>
          <w:sz w:val="22"/>
        </w:rPr>
        <w:t>, caviar aquaculture enterprises are increasingly purported to be involved in illegal caviar trade – as discussed in the previous chapter. This p</w:t>
      </w:r>
      <w:r w:rsidR="00FF1010">
        <w:rPr>
          <w:rFonts w:cs="Times New Roman"/>
          <w:sz w:val="22"/>
        </w:rPr>
        <w:t>oints to a need to ensure that “</w:t>
      </w:r>
      <w:r>
        <w:rPr>
          <w:rFonts w:cs="Times New Roman"/>
          <w:sz w:val="22"/>
        </w:rPr>
        <w:t>farming establis</w:t>
      </w:r>
      <w:r w:rsidR="00FF1010">
        <w:rPr>
          <w:rFonts w:cs="Times New Roman"/>
          <w:sz w:val="22"/>
        </w:rPr>
        <w:t>hments are adequately monitored”</w:t>
      </w:r>
      <w:r>
        <w:rPr>
          <w:rFonts w:cs="Times New Roman"/>
          <w:sz w:val="22"/>
        </w:rPr>
        <w:t xml:space="preserve"> in order to prevent </w:t>
      </w:r>
      <w:r w:rsidR="00FF1010">
        <w:rPr>
          <w:rFonts w:cs="Times New Roman"/>
          <w:sz w:val="22"/>
        </w:rPr>
        <w:t xml:space="preserve">wildlife </w:t>
      </w:r>
      <w:r>
        <w:rPr>
          <w:rFonts w:cs="Times New Roman"/>
          <w:sz w:val="22"/>
        </w:rPr>
        <w:t xml:space="preserve">laundering </w:t>
      </w:r>
      <w:r>
        <w:rPr>
          <w:rFonts w:cs="Times New Roman"/>
          <w:sz w:val="22"/>
        </w:rPr>
        <w:fldChar w:fldCharType="begin" w:fldLock="1"/>
      </w:r>
      <w:r w:rsidR="00EC7F7E">
        <w:rPr>
          <w:rFonts w:cs="Times New Roman"/>
          <w:sz w:val="22"/>
        </w:rPr>
        <w:instrText>ADDIN CSL_CITATION {"citationItems":[{"id":"ITEM-1","itemData":{"DOI":"10.1016/j.gecco.2019.e00714","ISSN":"23519894","abstract":"Pangolins are threatened by overexploitation for local and international use. They are subject to an international commercial trade ban, and are also the focus of other interventions, including attempts at commercial captive breeding. The impact that the latter could have on the conservation of wild populations deserves consideration. We critically evaluate the feasibility of commercial captive breeding (or farming) of pangolins to displace wild collection and assess its potential conservation impact on pangolin conservation using a recently published framework developed for this purpose. Of the 17 conditions posited that need to be met for supply-side interventions to displace wild collection, we find that pangolins meet a maximum of only six conditions. This analysis suggests that pangolin farming will not displace wild collection in the near future. Major barriers include an inability to breed pangolins on a commercial scale and available data suggest that it would be unprofitable. The immediate impact of pangolin farming on conservation of the species’ is unclear, but it is unlikely to benefit the conservation of wild populations. If commercial captive breeding were possible, it is uncertain how it would affect economic incentives for poaching, interactions between legal and illegal markets, stockpile policies, and how consumers and Traditional Chinese Medicine (TCM) practitioners would respond. To understand better the potential overall impact of pangolin farming on wild populations there is a need for further research on these uncertainties. The framework used has utility in analysing the potential impact of wildlife farming but there remains a need for a more robust approach to evaluate potential impacts of supply-side interventions.","author":[{"dropping-particle":"","family":"Challender","given":"Daniel W.S.","non-dropping-particle":"","parse-names":false,"suffix":""},{"dropping-particle":"","family":"Sas-Rolfes","given":"Michael't","non-dropping-particle":"","parse-names":false,"suffix":""},{"dropping-particle":"","family":"Ades","given":"Gary W.J.","non-dropping-particle":"","parse-names":false,"suffix":""},{"dropping-particle":"","family":"Chin","given":"Jason S.C.","non-dropping-particle":"","parse-names":false,"suffix":""},{"dropping-particle":"","family":"Ching-Min Sun","given":"Nick","non-dropping-particle":"","parse-names":false,"suffix":""},{"dropping-particle":"","family":"Chong","given":"Ju lian","non-dropping-particle":"","parse-names":false,"suffix":""},{"dropping-particle":"","family":"Connelly","given":"Ellen","non-dropping-particle":"","parse-names":false,"suffix":""},{"dropping-particle":"","family":"Hywood","given":"Lisa","non-dropping-particle":"","parse-names":false,"suffix":""},{"dropping-particle":"","family":"Luz","given":"Sonja","non-dropping-particle":"","parse-names":false,"suffix":""},{"dropping-particle":"","family":"Mohapatra","given":"Rajesh K.","non-dropping-particle":"","parse-names":false,"suffix":""},{"dropping-particle":"","family":"Ornellas","given":"Paul","non-dropping-particle":"de","parse-names":false,"suffix":""},{"dropping-particle":"","family":"Parker","given":"Keri","non-dropping-particle":"","parse-names":false,"suffix":""},{"dropping-particle":"","family":"Pietersen","given":"Darren W.","non-dropping-particle":"","parse-names":false,"suffix":""},{"dropping-particle":"","family":"Roberton","given":"Scott I.","non-dropping-particle":"","parse-names":false,"suffix":""},{"dropping-particle":"","family":"Semiadi","given":"Gono","non-dropping-particle":"","parse-names":false,"suffix":""},{"dropping-particle":"","family":"Shaw","given":"Debbie","non-dropping-particle":"","parse-names":false,"suffix":""},{"dropping-particle":"","family":"Shepherd","given":"Chris R.","non-dropping-particle":"","parse-names":false,"suffix":""},{"dropping-particle":"","family":"Thomson","given":"Paul","non-dropping-particle":"","parse-names":false,"suffix":""},{"dropping-particle":"","family":"Wang","given":"Yifu","non-dropping-particle":"","parse-names":false,"suffix":""},{"dropping-particle":"","family":"Wicker","given":"Leanne","non-dropping-particle":"","parse-names":false,"suffix":""},{"dropping-particle":"","family":"Wu","given":"Shi Bao","non-dropping-particle":"","parse-names":false,"suffix":""},{"dropping-particle":"","family":"Nash","given":"Helen C.","non-dropping-particle":"","parse-names":false,"suffix":""}],"container-title":"Global Ecology and Conservation","id":"ITEM-1","issued":{"date-parts":[["2019"]]},"page":"e00714","publisher":"Elsevier Ltd","title":"Evaluating the feasibility of pangolin farming and its potential conservation impact","type":"article-journal","volume":"20"},"uris":["http://www.mendeley.com/documents/?uuid=e54d5d3a-4453-4149-96fa-8d588057955b"]}],"mendeley":{"formattedCitation":"(Challender &lt;i&gt;et al.&lt;/i&gt;, 2019)","manualFormatting":"(Challender et al., 2019: 10)","plainTextFormattedCitation":"(Challender et al., 2019)","previouslyFormattedCitation":"(Challender &lt;i&gt;et al.&lt;/i&gt;, 2019)"},"properties":{"noteIndex":0},"schema":"https://github.com/citation-style-language/schema/raw/master/csl-citation.json"}</w:instrText>
      </w:r>
      <w:r>
        <w:rPr>
          <w:rFonts w:cs="Times New Roman"/>
          <w:sz w:val="22"/>
        </w:rPr>
        <w:fldChar w:fldCharType="separate"/>
      </w:r>
      <w:r w:rsidRPr="00C941EA">
        <w:rPr>
          <w:rFonts w:cs="Times New Roman"/>
          <w:noProof/>
          <w:sz w:val="22"/>
        </w:rPr>
        <w:t xml:space="preserve">(Challender </w:t>
      </w:r>
      <w:r w:rsidRPr="00C941EA">
        <w:rPr>
          <w:rFonts w:cs="Times New Roman"/>
          <w:i/>
          <w:noProof/>
          <w:sz w:val="22"/>
        </w:rPr>
        <w:t>et al.</w:t>
      </w:r>
      <w:r w:rsidRPr="00C941EA">
        <w:rPr>
          <w:rFonts w:cs="Times New Roman"/>
          <w:noProof/>
          <w:sz w:val="22"/>
        </w:rPr>
        <w:t>, 2019</w:t>
      </w:r>
      <w:r>
        <w:rPr>
          <w:rFonts w:cs="Times New Roman"/>
          <w:noProof/>
          <w:sz w:val="22"/>
        </w:rPr>
        <w:t>: 10</w:t>
      </w:r>
      <w:r w:rsidRPr="00C941EA">
        <w:rPr>
          <w:rFonts w:cs="Times New Roman"/>
          <w:noProof/>
          <w:sz w:val="22"/>
        </w:rPr>
        <w:t>)</w:t>
      </w:r>
      <w:r>
        <w:rPr>
          <w:rFonts w:cs="Times New Roman"/>
          <w:sz w:val="22"/>
        </w:rPr>
        <w:fldChar w:fldCharType="end"/>
      </w:r>
      <w:r>
        <w:rPr>
          <w:rFonts w:cs="Times New Roman"/>
          <w:sz w:val="22"/>
        </w:rPr>
        <w:t xml:space="preserve">. However, in the case of caviar aquaculture facilities, ex-enforcement officer </w:t>
      </w:r>
      <w:r w:rsidRPr="00076EC7">
        <w:rPr>
          <w:rFonts w:cs="Times New Roman"/>
          <w:sz w:val="22"/>
        </w:rPr>
        <w:t>Bram</w:t>
      </w:r>
      <w:r w:rsidR="006B29B9">
        <w:rPr>
          <w:rFonts w:cs="Times New Roman"/>
          <w:sz w:val="22"/>
        </w:rPr>
        <w:t xml:space="preserve"> admitted that “</w:t>
      </w:r>
      <w:r>
        <w:rPr>
          <w:rFonts w:cs="Times New Roman"/>
          <w:sz w:val="22"/>
        </w:rPr>
        <w:t>there’s no control of the breeding stations. Nobody knows who’s responsible for these kinds of controls</w:t>
      </w:r>
      <w:r w:rsidR="006B29B9">
        <w:rPr>
          <w:rFonts w:cs="Times New Roman"/>
          <w:sz w:val="22"/>
        </w:rPr>
        <w:t>”</w:t>
      </w:r>
      <w:r w:rsidRPr="005B292F">
        <w:rPr>
          <w:rStyle w:val="FootnoteReference"/>
        </w:rPr>
        <w:footnoteReference w:id="173"/>
      </w:r>
      <w:r>
        <w:rPr>
          <w:rFonts w:cs="Times New Roman"/>
          <w:sz w:val="22"/>
        </w:rPr>
        <w:t xml:space="preserve">. </w:t>
      </w:r>
      <w:r w:rsidR="00EE3DC4">
        <w:rPr>
          <w:rFonts w:cs="Times New Roman"/>
          <w:sz w:val="22"/>
        </w:rPr>
        <w:t xml:space="preserve">Even when controls do </w:t>
      </w:r>
      <w:r w:rsidR="00853956">
        <w:rPr>
          <w:rFonts w:cs="Times New Roman"/>
          <w:sz w:val="22"/>
        </w:rPr>
        <w:t>occasionally</w:t>
      </w:r>
      <w:r w:rsidR="00EE3DC4">
        <w:rPr>
          <w:rFonts w:cs="Times New Roman"/>
          <w:sz w:val="22"/>
        </w:rPr>
        <w:t xml:space="preserve"> take place, ex-enforcement officer Michael worries that a lack of specialist knowledge amongst enforcement officers will mean that instances of laundering are missed: “what police or customs officer can tell you – ‘here we are we’ve got 7 sturgeons, how much caviar will that produce?’ It’s a nightmare!”</w:t>
      </w:r>
      <w:r w:rsidR="00EE3DC4" w:rsidRPr="005B292F">
        <w:rPr>
          <w:rStyle w:val="FootnoteReference"/>
        </w:rPr>
        <w:footnoteReference w:id="174"/>
      </w:r>
      <w:r w:rsidR="00EE3DC4">
        <w:rPr>
          <w:rFonts w:cs="Times New Roman"/>
          <w:sz w:val="22"/>
        </w:rPr>
        <w:t>. With a lack of monitoring and generally low levels of specialist knowledge amongst enforcement officers, there is a real concern that “</w:t>
      </w:r>
      <w:r>
        <w:rPr>
          <w:rFonts w:cs="Times New Roman"/>
          <w:sz w:val="22"/>
        </w:rPr>
        <w:t>laundering of wildlife products into the market of legalized, commercially-bred products could enhance poachi</w:t>
      </w:r>
      <w:r w:rsidR="00EE3DC4">
        <w:rPr>
          <w:rFonts w:cs="Times New Roman"/>
          <w:sz w:val="22"/>
        </w:rPr>
        <w:t xml:space="preserve">ng pressure </w:t>
      </w:r>
      <w:r w:rsidR="00EE3DC4">
        <w:rPr>
          <w:rFonts w:cs="Times New Roman"/>
          <w:sz w:val="22"/>
        </w:rPr>
        <w:lastRenderedPageBreak/>
        <w:t>on wild populations”</w:t>
      </w:r>
      <w:r>
        <w:rPr>
          <w:rFonts w:cs="Times New Roman"/>
          <w:sz w:val="22"/>
        </w:rPr>
        <w:t xml:space="preserve"> (Tensen, 2016: 294). This has been the case for other species including crocodiles in Thailand, turtles in China, and bears in Asia, where legalized captive-bred trade catalysed the laundering of wild </w:t>
      </w:r>
      <w:r w:rsidR="00EE3DC4">
        <w:rPr>
          <w:rFonts w:cs="Times New Roman"/>
          <w:sz w:val="22"/>
        </w:rPr>
        <w:t>specimens to such an extent the species</w:t>
      </w:r>
      <w:r>
        <w:rPr>
          <w:rFonts w:cs="Times New Roman"/>
          <w:sz w:val="22"/>
        </w:rPr>
        <w:t xml:space="preserve"> almost became extinct (Tensen, 2016). These conclusions suggest that conservation farming can actually have a detrimental effect on wild populations of endan</w:t>
      </w:r>
      <w:r w:rsidR="00235C5F">
        <w:rPr>
          <w:rFonts w:cs="Times New Roman"/>
          <w:sz w:val="22"/>
        </w:rPr>
        <w:t>gered species, because it “offers a perfect guise”</w:t>
      </w:r>
      <w:r>
        <w:rPr>
          <w:rFonts w:cs="Times New Roman"/>
          <w:sz w:val="22"/>
        </w:rPr>
        <w:t xml:space="preserve"> for laundering of wild specimens (Tensen, 2016: 293). </w:t>
      </w:r>
      <w:r w:rsidR="00235C5F">
        <w:rPr>
          <w:rFonts w:cs="Times New Roman"/>
          <w:sz w:val="22"/>
        </w:rPr>
        <w:t xml:space="preserve">As discussed in the previous chapter, there are indications that this is happening in the caviar trade in the EU. </w:t>
      </w:r>
      <w:r>
        <w:rPr>
          <w:rFonts w:cs="Times New Roman"/>
          <w:sz w:val="22"/>
        </w:rPr>
        <w:t>However these dynamics are not acknowledged in the narratives told about the conservation value of farmed caviar production; and so the laundering of wild caviar into farmed stocks rem</w:t>
      </w:r>
      <w:r w:rsidR="00853956">
        <w:rPr>
          <w:rFonts w:cs="Times New Roman"/>
          <w:sz w:val="22"/>
        </w:rPr>
        <w:t xml:space="preserve">ains an overlooked grey area in the policy narratives stabilising the move </w:t>
      </w:r>
      <w:r>
        <w:rPr>
          <w:rFonts w:cs="Times New Roman"/>
          <w:sz w:val="22"/>
        </w:rPr>
        <w:t xml:space="preserve">towards farmed caviar production. </w:t>
      </w:r>
    </w:p>
    <w:p w14:paraId="1F7A85FC" w14:textId="77777777" w:rsidR="00967716" w:rsidRDefault="00967716" w:rsidP="00967716">
      <w:pPr>
        <w:ind w:firstLine="720"/>
        <w:rPr>
          <w:rFonts w:cs="Times New Roman"/>
          <w:sz w:val="22"/>
        </w:rPr>
      </w:pPr>
      <w:r>
        <w:rPr>
          <w:rFonts w:cs="Times New Roman"/>
          <w:sz w:val="22"/>
        </w:rPr>
        <w:t xml:space="preserve">Thus, Graham’s doubts about the ability of farmed caviar production to act as the conservation panacea for sturgeon, echoes others who have raised concerns about the conservation credentials of so-called ‘conservation farming’. In sum, Tensen </w:t>
      </w:r>
      <w:r>
        <w:rPr>
          <w:rFonts w:cs="Times New Roman"/>
          <w:sz w:val="22"/>
        </w:rPr>
        <w:fldChar w:fldCharType="begin" w:fldLock="1"/>
      </w:r>
      <w:r>
        <w:rPr>
          <w:rFonts w:cs="Times New Roman"/>
          <w:sz w:val="22"/>
        </w:rPr>
        <w:instrText>ADDIN CSL_CITATION {"citationItems":[{"id":"ITEM-1","itemData":{"DOI":"10.1016/j.gecco.2016.03.007","ISSN":"23519894","abstract":"Wild animals and their derivatives are traded worldwide. Consequent poaching has been a main threat to species conservation. As current interventions and law enforcement cannot circumvent the resulting extinction of species, an alternative approach must be considered. It has been suggested that commercial breeding can keep the pressure off wild populations, referred to as wildlife farming. During this review, it is argued that wildlife farming can benefit species conservation only if the following criteria are met: (i) the legal products will form a substitute, and consumers show no preference for wild-caught animals; (ii) a substantial part of the demand is met, and the demand does not increase due to the legalized market; (iii) the legal products will be more cost-efficient, in order to combat the black market prices; (iv) wildlife farming does not rely on wild populations for re-stocking; (v) laundering of illegal products into the commercial trade is absent. For most species encountered in the wildlife trade, these criteria are unlikely to be met in reality and commercial breeding has the potential to have the opposite effect to what is desired for conservation. For some species, however, none of the criteria are violated, and wildlife farming can be considered a possible conservation tool as it may help to take the pressure off wild populations. For these species, future research should focus on the impact of legal products on the market dynamics, effective law enforcement that can prevent corruption, and wildlife forensics that enable the distinction between captive-bred and wild-caught species.","author":[{"dropping-particle":"","family":"Tensen","given":"Laura","non-dropping-particle":"","parse-names":false,"suffix":""}],"container-title":"Global Ecology and Conservation","id":"ITEM-1","issued":{"date-parts":[["2016"]]},"page":"286-298","publisher":"Elsevier B.V.","title":"Under what circumstances can wildlife farming benefit species conservation?","type":"article-journal","volume":"6"},"uris":["http://www.mendeley.com/documents/?uuid=eef8ae2e-b35d-47ab-a521-63aff1935c86"]}],"mendeley":{"formattedCitation":"(Tensen, 2016)","manualFormatting":"(2016)","plainTextFormattedCitation":"(Tensen, 2016)","previouslyFormattedCitation":"(Tensen, 2016)"},"properties":{"noteIndex":0},"schema":"https://github.com/citation-style-language/schema/raw/master/csl-citation.json"}</w:instrText>
      </w:r>
      <w:r>
        <w:rPr>
          <w:rFonts w:cs="Times New Roman"/>
          <w:sz w:val="22"/>
        </w:rPr>
        <w:fldChar w:fldCharType="separate"/>
      </w:r>
      <w:r w:rsidRPr="00E4228C">
        <w:rPr>
          <w:rFonts w:cs="Times New Roman"/>
          <w:noProof/>
          <w:sz w:val="22"/>
        </w:rPr>
        <w:t>(2016)</w:t>
      </w:r>
      <w:r>
        <w:rPr>
          <w:rFonts w:cs="Times New Roman"/>
          <w:sz w:val="22"/>
        </w:rPr>
        <w:fldChar w:fldCharType="end"/>
      </w:r>
      <w:r>
        <w:rPr>
          <w:rFonts w:cs="Times New Roman"/>
          <w:sz w:val="22"/>
        </w:rPr>
        <w:t xml:space="preserve"> suggests that wildlife farming can benefit species conservation only if it meets a number of requirements (see figure 6.1). These criteria are as follows: </w:t>
      </w:r>
    </w:p>
    <w:p w14:paraId="3A72DB48" w14:textId="56AB30CF" w:rsidR="00967716" w:rsidRPr="007374BF" w:rsidRDefault="00967716" w:rsidP="00967716">
      <w:pPr>
        <w:pStyle w:val="Quote"/>
      </w:pPr>
      <w:r w:rsidRPr="00A879BA">
        <w:t>(i) the legal products will form a substitute, and consumers show no preference for wild-caught animals; (ii) a substantial part of the demand is met, and the demand does not increase due to the legalized market; (iii) the legal products will be more cost-efficient, in order to combat the black market prices; (iv) wildlife farming does not rely on wild populations for re- stocking; (v) laundering of illegal products into</w:t>
      </w:r>
      <w:r w:rsidR="00F2292D">
        <w:t xml:space="preserve"> the commercial trade is absent</w:t>
      </w:r>
      <w:r w:rsidRPr="00A879BA">
        <w:t xml:space="preserve"> </w:t>
      </w:r>
      <w:r>
        <w:fldChar w:fldCharType="begin" w:fldLock="1"/>
      </w:r>
      <w:r>
        <w:instrText>ADDIN CSL_CITATION {"citationItems":[{"id":"ITEM-1","itemData":{"DOI":"10.1016/j.gecco.2016.03.007","ISSN":"23519894","abstract":"Wild animals and their derivatives are traded worldwide. Consequent poaching has been a main threat to species conservation. As current interventions and law enforcement cannot circumvent the resulting extinction of species, an alternative approach must be considered. It has been suggested that commercial breeding can keep the pressure off wild populations, referred to as wildlife farming. During this review, it is argued that wildlife farming can benefit species conservation only if the following criteria are met: (i) the legal products will form a substitute, and consumers show no preference for wild-caught animals; (ii) a substantial part of the demand is met, and the demand does not increase due to the legalized market; (iii) the legal products will be more cost-efficient, in order to combat the black market prices; (iv) wildlife farming does not rely on wild populations for re-stocking; (v) laundering of illegal products into the commercial trade is absent. For most species encountered in the wildlife trade, these criteria are unlikely to be met in reality and commercial breeding has the potential to have the opposite effect to what is desired for conservation. For some species, however, none of the criteria are violated, and wildlife farming can be considered a possible conservation tool as it may help to take the pressure off wild populations. For these species, future research should focus on the impact of legal products on the market dynamics, effective law enforcement that can prevent corruption, and wildlife forensics that enable the distinction between captive-bred and wild-caught species.","author":[{"dropping-particle":"","family":"Tensen","given":"Laura","non-dropping-particle":"","parse-names":false,"suffix":""}],"container-title":"Global Ecology and Conservation","id":"ITEM-1","issued":{"date-parts":[["2016"]]},"page":"286-298","publisher":"Elsevier B.V.","title":"Under what circumstances can wildlife farming benefit species conservation?","type":"article-journal","volume":"6"},"uris":["http://www.mendeley.com/documents/?uuid=eef8ae2e-b35d-47ab-a521-63aff1935c86"]}],"mendeley":{"formattedCitation":"(Tensen, 2016)","manualFormatting":"(Tensen, 2016: 286)","plainTextFormattedCitation":"(Tensen, 2016)","previouslyFormattedCitation":"(Tensen, 2016)"},"properties":{"noteIndex":0},"schema":"https://github.com/citation-style-language/schema/raw/master/csl-citation.json"}</w:instrText>
      </w:r>
      <w:r>
        <w:fldChar w:fldCharType="separate"/>
      </w:r>
      <w:r w:rsidRPr="00A879BA">
        <w:rPr>
          <w:noProof/>
        </w:rPr>
        <w:t>(Tensen, 2016</w:t>
      </w:r>
      <w:r>
        <w:rPr>
          <w:noProof/>
        </w:rPr>
        <w:t>: 286</w:t>
      </w:r>
      <w:r w:rsidRPr="00A879BA">
        <w:rPr>
          <w:noProof/>
        </w:rPr>
        <w:t>)</w:t>
      </w:r>
      <w:r>
        <w:fldChar w:fldCharType="end"/>
      </w:r>
      <w:r>
        <w:t>.</w:t>
      </w:r>
    </w:p>
    <w:p w14:paraId="63531E9D" w14:textId="0F14366D" w:rsidR="00967716" w:rsidRDefault="00967716" w:rsidP="00967716">
      <w:pPr>
        <w:rPr>
          <w:rFonts w:cs="Times New Roman"/>
          <w:sz w:val="22"/>
        </w:rPr>
      </w:pPr>
      <w:r>
        <w:rPr>
          <w:rFonts w:cs="Times New Roman"/>
          <w:sz w:val="22"/>
        </w:rPr>
        <w:t xml:space="preserve">Unfortunately, as identified by Graham, and discussed above, paying attention to the wider socio-political-economic factors related to sturgeon conservation and illegal caviar trade, reveals that farmed caviar production does not conclusively demonstrate most – if any- of the criteria identified by Tensen </w:t>
      </w:r>
      <w:r w:rsidR="00F2292D">
        <w:rPr>
          <w:rFonts w:cs="Times New Roman"/>
          <w:sz w:val="22"/>
        </w:rPr>
        <w:t xml:space="preserve">(2016) as necessary in order for </w:t>
      </w:r>
      <w:r>
        <w:rPr>
          <w:rFonts w:cs="Times New Roman"/>
          <w:sz w:val="22"/>
        </w:rPr>
        <w:t>captive breeding to be a suitable conservation too</w:t>
      </w:r>
      <w:r w:rsidR="00853956">
        <w:rPr>
          <w:rFonts w:cs="Times New Roman"/>
          <w:sz w:val="22"/>
        </w:rPr>
        <w:t>l</w:t>
      </w:r>
      <w:r>
        <w:rPr>
          <w:rFonts w:cs="Times New Roman"/>
          <w:sz w:val="22"/>
        </w:rPr>
        <w:t xml:space="preserve">. As such, there is reason to doubt the narrative that farmed production of caviar is the conservation panacea for wild sturgeon in the EU. </w:t>
      </w:r>
    </w:p>
    <w:p w14:paraId="41BC3B6E" w14:textId="5154D8B2" w:rsidR="00967716" w:rsidRDefault="00853956" w:rsidP="000D3466">
      <w:pPr>
        <w:ind w:firstLine="720"/>
        <w:rPr>
          <w:rFonts w:cs="Times New Roman"/>
          <w:sz w:val="22"/>
        </w:rPr>
      </w:pPr>
      <w:r>
        <w:rPr>
          <w:rFonts w:cs="Times New Roman"/>
          <w:sz w:val="22"/>
        </w:rPr>
        <w:t>Furthermore,</w:t>
      </w:r>
      <w:r w:rsidR="00967716">
        <w:rPr>
          <w:rFonts w:cs="Times New Roman"/>
          <w:sz w:val="22"/>
        </w:rPr>
        <w:t xml:space="preserve"> Kirkpatrick</w:t>
      </w:r>
      <w:r w:rsidR="004433F3">
        <w:rPr>
          <w:rFonts w:cs="Times New Roman"/>
          <w:sz w:val="22"/>
        </w:rPr>
        <w:t xml:space="preserve"> and Emerton argue that “</w:t>
      </w:r>
      <w:r w:rsidR="00967716">
        <w:rPr>
          <w:rFonts w:cs="Times New Roman"/>
          <w:sz w:val="22"/>
        </w:rPr>
        <w:t>conservation policy cannot be removed from the social and political environ</w:t>
      </w:r>
      <w:r w:rsidR="004433F3">
        <w:rPr>
          <w:rFonts w:cs="Times New Roman"/>
          <w:sz w:val="22"/>
        </w:rPr>
        <w:t>ment in which it is implemented”</w:t>
      </w:r>
      <w:r w:rsidR="00967716">
        <w:rPr>
          <w:rFonts w:cs="Times New Roman"/>
          <w:sz w:val="22"/>
        </w:rPr>
        <w:t xml:space="preserve"> </w:t>
      </w:r>
      <w:r w:rsidR="00967716">
        <w:rPr>
          <w:rFonts w:cs="Times New Roman"/>
          <w:sz w:val="22"/>
        </w:rPr>
        <w:fldChar w:fldCharType="begin" w:fldLock="1"/>
      </w:r>
      <w:r w:rsidR="00EC7F7E">
        <w:rPr>
          <w:rFonts w:cs="Times New Roman"/>
          <w:sz w:val="22"/>
        </w:rPr>
        <w:instrText>ADDIN CSL_CITATION {"citationItems":[{"id":"ITEM-1","itemData":{"DOI":"10.1111/j.1523-1739.2010.01468.x","ISSN":"08888892","abstract":"The lucrative, illegal trade in tigers (Panthera tigris) remains a major conservation problem. Tiger farming has been proposed as a potential solution, with farmed tigers substituting for wild tigers. At first glance, this argument's logic seems simple: farming will increase the supply of tigers, prices will fall, and poaching will no longer be profitable. We contend, however, that this supply-side argument relies on mistaken assumptions. First, tiger markets are imperfect, meaning they are dominated by a few producers who control price. Second, consumers prefer wild tigers to farmed tigers and therefore the two are not pure substitutes. In economic terms, products from wild tigers are luxury goods, commanding a price premium. Third, there is no evidence that farmed tigers can be produced or sold more cheaply than wild tigers. In sum, it is unlikely that farming will drive down the price of wild-caught tigers or decrease profitability for tiger poachers. Rather, tiger farming is more likely to increase aggregate demand for tiger products and stimulate higher levels of poaching. © 2010 Society for Conservation Biology.","author":[{"dropping-particle":"","family":"Kirkpatrick","given":"R. Craig","non-dropping-particle":"","parse-names":false,"suffix":""},{"dropping-particle":"","family":"Emerton","given":"Lucy","non-dropping-particle":"","parse-names":false,"suffix":""}],"container-title":"Conservation Biology","id":"ITEM-1","issue":"3","issued":{"date-parts":[["2010"]]},"page":"655-659","title":"Killing Tigers to Save Them: Fallacies of the Farming Argument","type":"article-journal","volume":"24"},"uris":["http://www.mendeley.com/documents/?uuid=b7bf48c6-48fe-4f70-99c2-026d1bfa0806"]}],"mendeley":{"formattedCitation":"(Kirkpatrick and Emerton, 2010)","manualFormatting":"(2010: 657)","plainTextFormattedCitation":"(Kirkpatrick and Emerton, 2010)","previouslyFormattedCitation":"(Kirkpatrick and Emerton, 2010)"},"properties":{"noteIndex":0},"schema":"https://github.com/citation-style-language/schema/raw/master/csl-citation.json"}</w:instrText>
      </w:r>
      <w:r w:rsidR="00967716">
        <w:rPr>
          <w:rFonts w:cs="Times New Roman"/>
          <w:sz w:val="22"/>
        </w:rPr>
        <w:fldChar w:fldCharType="separate"/>
      </w:r>
      <w:r w:rsidR="00967716">
        <w:rPr>
          <w:rFonts w:cs="Times New Roman"/>
          <w:noProof/>
          <w:sz w:val="22"/>
        </w:rPr>
        <w:t>(</w:t>
      </w:r>
      <w:r w:rsidR="00967716" w:rsidRPr="006705FD">
        <w:rPr>
          <w:rFonts w:cs="Times New Roman"/>
          <w:noProof/>
          <w:sz w:val="22"/>
        </w:rPr>
        <w:t>2010</w:t>
      </w:r>
      <w:r w:rsidR="00967716">
        <w:rPr>
          <w:rFonts w:cs="Times New Roman"/>
          <w:noProof/>
          <w:sz w:val="22"/>
        </w:rPr>
        <w:t>: 657</w:t>
      </w:r>
      <w:r w:rsidR="00967716" w:rsidRPr="006705FD">
        <w:rPr>
          <w:rFonts w:cs="Times New Roman"/>
          <w:noProof/>
          <w:sz w:val="22"/>
        </w:rPr>
        <w:t>)</w:t>
      </w:r>
      <w:r w:rsidR="00967716">
        <w:rPr>
          <w:rFonts w:cs="Times New Roman"/>
          <w:sz w:val="22"/>
        </w:rPr>
        <w:fldChar w:fldCharType="end"/>
      </w:r>
      <w:r w:rsidR="004433F3">
        <w:rPr>
          <w:rFonts w:cs="Times New Roman"/>
          <w:sz w:val="22"/>
        </w:rPr>
        <w:t>. However, the dominant</w:t>
      </w:r>
      <w:r w:rsidR="00967716">
        <w:rPr>
          <w:rFonts w:cs="Times New Roman"/>
          <w:sz w:val="22"/>
        </w:rPr>
        <w:t xml:space="preserve"> narratives that sustain caviar aquaculture as a geopolitical-ecological discourse and policy move</w:t>
      </w:r>
      <w:r>
        <w:rPr>
          <w:rFonts w:cs="Times New Roman"/>
          <w:sz w:val="22"/>
        </w:rPr>
        <w:t xml:space="preserve"> in the EU</w:t>
      </w:r>
      <w:r w:rsidR="00967716">
        <w:rPr>
          <w:rFonts w:cs="Times New Roman"/>
          <w:sz w:val="22"/>
        </w:rPr>
        <w:t xml:space="preserve">, do precisely that. The narrative removes any </w:t>
      </w:r>
      <w:r>
        <w:rPr>
          <w:rFonts w:cs="Times New Roman"/>
          <w:sz w:val="22"/>
        </w:rPr>
        <w:t>ambiguities</w:t>
      </w:r>
      <w:r w:rsidR="00967716">
        <w:rPr>
          <w:rFonts w:cs="Times New Roman"/>
          <w:sz w:val="22"/>
        </w:rPr>
        <w:t xml:space="preserve"> about the potential conservation benefits of farmed caviar production, and thereby divorces farmed caviar production from the wider socio-political context in which it is situated. However, by resituating</w:t>
      </w:r>
      <w:r>
        <w:rPr>
          <w:rFonts w:cs="Times New Roman"/>
          <w:sz w:val="22"/>
        </w:rPr>
        <w:t xml:space="preserve"> farmed caviar production amongst</w:t>
      </w:r>
      <w:r w:rsidR="00967716">
        <w:rPr>
          <w:rFonts w:cs="Times New Roman"/>
          <w:sz w:val="22"/>
        </w:rPr>
        <w:t xml:space="preserve"> the overlooked socio-political-economic factors highlighted by caviar producer Graham, I demonstrate that the practical conservation potential of farmed caviar production is overwhelmingly unclear and riddled with grey areas. Despite this, many caviar producers paint a </w:t>
      </w:r>
      <w:r w:rsidR="00967716">
        <w:rPr>
          <w:rFonts w:cs="Times New Roman"/>
          <w:sz w:val="22"/>
        </w:rPr>
        <w:lastRenderedPageBreak/>
        <w:t xml:space="preserve">singularly positive narrative about the potential of farmed caviar production to conserve wild sturgeon. </w:t>
      </w:r>
    </w:p>
    <w:p w14:paraId="01CE74E0" w14:textId="77777777" w:rsidR="00DF3CE2" w:rsidRDefault="00967716" w:rsidP="00DF3CE2">
      <w:r>
        <w:rPr>
          <w:rFonts w:cs="Times New Roman"/>
          <w:noProof/>
          <w:sz w:val="22"/>
          <w:lang w:val="en-US" w:eastAsia="en-US"/>
        </w:rPr>
        <w:drawing>
          <wp:inline distT="0" distB="0" distL="0" distR="0" wp14:anchorId="34113DDF" wp14:editId="147F6B28">
            <wp:extent cx="5274310" cy="3900170"/>
            <wp:effectExtent l="0" t="0" r="8890" b="114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20-04-20 at 16.24.54.png"/>
                    <pic:cNvPicPr/>
                  </pic:nvPicPr>
                  <pic:blipFill>
                    <a:blip r:embed="rId25">
                      <a:extLst>
                        <a:ext uri="{28A0092B-C50C-407E-A947-70E740481C1C}">
                          <a14:useLocalDpi xmlns:a14="http://schemas.microsoft.com/office/drawing/2010/main" val="0"/>
                        </a:ext>
                      </a:extLst>
                    </a:blip>
                    <a:stretch>
                      <a:fillRect/>
                    </a:stretch>
                  </pic:blipFill>
                  <pic:spPr>
                    <a:xfrm>
                      <a:off x="0" y="0"/>
                      <a:ext cx="5274310" cy="3900170"/>
                    </a:xfrm>
                    <a:prstGeom prst="rect">
                      <a:avLst/>
                    </a:prstGeom>
                  </pic:spPr>
                </pic:pic>
              </a:graphicData>
            </a:graphic>
          </wp:inline>
        </w:drawing>
      </w:r>
    </w:p>
    <w:p w14:paraId="06A90E4D" w14:textId="686674B0" w:rsidR="00DF3CE2" w:rsidRPr="00DF3CE2" w:rsidRDefault="00DF3CE2" w:rsidP="00DF3CE2">
      <w:pPr>
        <w:pStyle w:val="Heading4"/>
        <w:rPr>
          <w:rFonts w:cs="Times New Roman"/>
          <w:sz w:val="22"/>
        </w:rPr>
      </w:pPr>
      <w:bookmarkStart w:id="79" w:name="_Toc453224283"/>
      <w:r>
        <w:t>Figure 6.1: Criteria that have to be met for wildlife farming to be suitable as a conservation tool.</w:t>
      </w:r>
      <w:bookmarkEnd w:id="79"/>
    </w:p>
    <w:p w14:paraId="3F0A0B05" w14:textId="343EF627" w:rsidR="00853956" w:rsidRDefault="00967716" w:rsidP="00967716">
      <w:pPr>
        <w:rPr>
          <w:sz w:val="20"/>
          <w:szCs w:val="20"/>
        </w:rPr>
      </w:pPr>
      <w:r w:rsidRPr="00DF3CE2">
        <w:rPr>
          <w:sz w:val="20"/>
          <w:szCs w:val="20"/>
        </w:rPr>
        <w:t xml:space="preserve">(1) farmed products must provide a substitute for wild products, (2) the demand for wildlife products does not increase; (3) legalized farming is more cost-efficient than illegal poaching; (4) wildlife farms do not rely on wild population for re-stocking; (5) laundering of illegal products into the wildlife farming industry is prohibited. Source: Tensen (2016) </w:t>
      </w:r>
    </w:p>
    <w:p w14:paraId="6E7608BD" w14:textId="77777777" w:rsidR="00853956" w:rsidRPr="00853956" w:rsidRDefault="00853956" w:rsidP="00967716">
      <w:pPr>
        <w:rPr>
          <w:sz w:val="20"/>
          <w:szCs w:val="20"/>
        </w:rPr>
      </w:pPr>
    </w:p>
    <w:p w14:paraId="14872B8C" w14:textId="2A1088C4" w:rsidR="00EE4FBA" w:rsidRDefault="00967716" w:rsidP="00EE4FBA">
      <w:pPr>
        <w:ind w:firstLine="720"/>
        <w:rPr>
          <w:rFonts w:cs="Times New Roman"/>
          <w:sz w:val="22"/>
        </w:rPr>
      </w:pPr>
      <w:r>
        <w:rPr>
          <w:rFonts w:cs="Times New Roman"/>
          <w:sz w:val="22"/>
        </w:rPr>
        <w:t xml:space="preserve">Graham suggested that proponents of the conservation narrative knowingly – and tactically - omit or divert attention away from the grey areas that </w:t>
      </w:r>
      <w:r w:rsidR="00853956">
        <w:rPr>
          <w:rFonts w:cs="Times New Roman"/>
          <w:sz w:val="22"/>
        </w:rPr>
        <w:t xml:space="preserve">serve to </w:t>
      </w:r>
      <w:r>
        <w:rPr>
          <w:rFonts w:cs="Times New Roman"/>
          <w:sz w:val="22"/>
        </w:rPr>
        <w:t>cast doubt over the conservation attributes of farmed caviar production, as it is in their interest to promote captive-bred caviar as the conservation panacea for sturgeon. Disseminating and reinforcing this simplistic narrative serves a purpose for caviar producers, by firmly entrenching the view that their enterprises are an indispensible component of the sturgeon conservation lan</w:t>
      </w:r>
      <w:r w:rsidR="004433F3">
        <w:rPr>
          <w:rFonts w:cs="Times New Roman"/>
          <w:sz w:val="22"/>
        </w:rPr>
        <w:t>dscape in the EU. This dominant</w:t>
      </w:r>
      <w:r>
        <w:rPr>
          <w:rFonts w:cs="Times New Roman"/>
          <w:sz w:val="22"/>
        </w:rPr>
        <w:t xml:space="preserve"> narrative both takes advantage of, and simultaneously shapes, the continued policy support for farmed caviar production as a conservation method. The policy support lends legitimacy to the practices of caviar enterprises, further shielding them from political oversight and critical attention; which in turn, has enabled the caviar industry to pursue and justify an increased securitization of their operations. In the following </w:t>
      </w:r>
      <w:r>
        <w:rPr>
          <w:rFonts w:cs="Times New Roman"/>
          <w:sz w:val="22"/>
        </w:rPr>
        <w:lastRenderedPageBreak/>
        <w:t xml:space="preserve">section I critically interrogate the underlying reasons for, and political implications of, the increasing securitization of farmed caviar production in the EU. </w:t>
      </w:r>
    </w:p>
    <w:p w14:paraId="0A465F7F" w14:textId="209E4386" w:rsidR="00967716" w:rsidRPr="00EE4FBA" w:rsidRDefault="00967716" w:rsidP="00EE4FBA">
      <w:pPr>
        <w:pStyle w:val="Heading2"/>
        <w:rPr>
          <w:rFonts w:cs="Times New Roman"/>
          <w:sz w:val="22"/>
        </w:rPr>
      </w:pPr>
      <w:bookmarkStart w:id="80" w:name="_Toc453224237"/>
      <w:r w:rsidRPr="005D7881">
        <w:t>6.2 Securitized caviar production</w:t>
      </w:r>
      <w:bookmarkEnd w:id="80"/>
    </w:p>
    <w:p w14:paraId="6EFF7AA4" w14:textId="70F17F03" w:rsidR="00BC7E19" w:rsidRDefault="00421E54" w:rsidP="00967716">
      <w:pPr>
        <w:rPr>
          <w:rFonts w:cs="Times New Roman"/>
          <w:sz w:val="22"/>
        </w:rPr>
      </w:pPr>
      <w:r>
        <w:rPr>
          <w:rFonts w:cs="Times New Roman"/>
          <w:sz w:val="22"/>
        </w:rPr>
        <w:t>The proliferation of the</w:t>
      </w:r>
      <w:r w:rsidR="00967716">
        <w:rPr>
          <w:rFonts w:cs="Times New Roman"/>
          <w:sz w:val="22"/>
        </w:rPr>
        <w:t xml:space="preserve"> narrative </w:t>
      </w:r>
      <w:r>
        <w:rPr>
          <w:rFonts w:cs="Times New Roman"/>
          <w:sz w:val="22"/>
        </w:rPr>
        <w:t>that farmed caviar production is a conservation panacea for wild sturgeon, has had powerful material effec</w:t>
      </w:r>
      <w:r w:rsidR="00244EAD">
        <w:rPr>
          <w:rFonts w:cs="Times New Roman"/>
          <w:sz w:val="22"/>
        </w:rPr>
        <w:t>ts</w:t>
      </w:r>
      <w:r w:rsidR="0072154A">
        <w:rPr>
          <w:rFonts w:cs="Times New Roman"/>
          <w:sz w:val="22"/>
        </w:rPr>
        <w:t xml:space="preserve"> with political implications: m</w:t>
      </w:r>
      <w:r>
        <w:rPr>
          <w:rFonts w:cs="Times New Roman"/>
          <w:sz w:val="22"/>
        </w:rPr>
        <w:t>ost notably, the securitization of farmed caviar production</w:t>
      </w:r>
      <w:r w:rsidR="00BC7E19">
        <w:rPr>
          <w:rFonts w:cs="Times New Roman"/>
          <w:sz w:val="22"/>
        </w:rPr>
        <w:t xml:space="preserve"> as a ‘conservation’ method</w:t>
      </w:r>
      <w:r>
        <w:rPr>
          <w:rFonts w:cs="Times New Roman"/>
          <w:sz w:val="22"/>
        </w:rPr>
        <w:t xml:space="preserve">. </w:t>
      </w:r>
      <w:r w:rsidR="00F31363">
        <w:rPr>
          <w:rFonts w:cs="Times New Roman"/>
          <w:sz w:val="22"/>
        </w:rPr>
        <w:t>I define securitized caviar production as the on</w:t>
      </w:r>
      <w:r w:rsidR="00BC7E19">
        <w:rPr>
          <w:rFonts w:cs="Times New Roman"/>
          <w:sz w:val="22"/>
        </w:rPr>
        <w:t>-</w:t>
      </w:r>
      <w:r w:rsidR="00F31363">
        <w:rPr>
          <w:rFonts w:cs="Times New Roman"/>
          <w:sz w:val="22"/>
        </w:rPr>
        <w:t xml:space="preserve">going process by which </w:t>
      </w:r>
      <w:r w:rsidR="00BC7E19">
        <w:rPr>
          <w:rFonts w:cs="Times New Roman"/>
          <w:sz w:val="22"/>
        </w:rPr>
        <w:t xml:space="preserve">some actors have discursively transformed the production of caviar into a matter of </w:t>
      </w:r>
      <w:r w:rsidR="00244EAD">
        <w:rPr>
          <w:rFonts w:cs="Times New Roman"/>
          <w:sz w:val="22"/>
        </w:rPr>
        <w:t>conservation-</w:t>
      </w:r>
      <w:r w:rsidR="00BC7E19">
        <w:rPr>
          <w:rFonts w:cs="Times New Roman"/>
          <w:sz w:val="22"/>
        </w:rPr>
        <w:t xml:space="preserve">security; which in turn has led to the adoption of security logics and technologies into the infrastructures and practices of caviar enterprises in the EU. </w:t>
      </w:r>
      <w:r w:rsidR="001E5C74">
        <w:rPr>
          <w:rFonts w:cs="Times New Roman"/>
          <w:sz w:val="22"/>
        </w:rPr>
        <w:t xml:space="preserve">Put simply, securitized caviar production entails managing captive-bred sturgeon for caviar production, through the increasingly intertwined logics of security and conservation. </w:t>
      </w:r>
    </w:p>
    <w:p w14:paraId="12A752C6" w14:textId="1E56F218" w:rsidR="00421E54" w:rsidRDefault="001E5C74" w:rsidP="00967716">
      <w:pPr>
        <w:rPr>
          <w:rFonts w:cs="Times New Roman"/>
          <w:sz w:val="22"/>
        </w:rPr>
      </w:pPr>
      <w:r>
        <w:rPr>
          <w:rFonts w:cs="Times New Roman"/>
          <w:sz w:val="22"/>
        </w:rPr>
        <w:tab/>
        <w:t>To this extent, securitized caviar production represents a</w:t>
      </w:r>
      <w:r w:rsidR="00841CF6">
        <w:rPr>
          <w:rFonts w:cs="Times New Roman"/>
          <w:sz w:val="22"/>
        </w:rPr>
        <w:t>n apparently</w:t>
      </w:r>
      <w:r>
        <w:rPr>
          <w:rFonts w:cs="Times New Roman"/>
          <w:sz w:val="22"/>
        </w:rPr>
        <w:t xml:space="preserve"> novel iteration of the broader securitization of conservation, whereby threats to nature are </w:t>
      </w:r>
      <w:r w:rsidR="00841CF6">
        <w:rPr>
          <w:rFonts w:cs="Times New Roman"/>
          <w:sz w:val="22"/>
        </w:rPr>
        <w:t xml:space="preserve">characterised as requiring </w:t>
      </w:r>
      <w:r>
        <w:rPr>
          <w:rFonts w:cs="Times New Roman"/>
          <w:sz w:val="22"/>
        </w:rPr>
        <w:t>securitized interventions. In their increasingly established role as pseudo-conservation actors, caviar industry representatives position the double-threat of sturgeon extinction and caviar related organised crime, as a reason to extend security logics and technologies into their operations</w:t>
      </w:r>
      <w:r w:rsidR="00841CF6">
        <w:rPr>
          <w:rFonts w:cs="Times New Roman"/>
          <w:sz w:val="22"/>
        </w:rPr>
        <w:t>. In short, caviar producers argue that securitizing production enables them to produce more caviar in shorter timeframes in order to ease pressure on wild sturgeon. This justif</w:t>
      </w:r>
      <w:r w:rsidR="00622AB2">
        <w:rPr>
          <w:rFonts w:cs="Times New Roman"/>
          <w:sz w:val="22"/>
        </w:rPr>
        <w:t xml:space="preserve">ication is outwardly compelling. However, </w:t>
      </w:r>
      <w:r w:rsidR="00841CF6">
        <w:rPr>
          <w:rFonts w:cs="Times New Roman"/>
          <w:sz w:val="22"/>
        </w:rPr>
        <w:t>the implication</w:t>
      </w:r>
      <w:r w:rsidR="002754ED">
        <w:rPr>
          <w:rFonts w:cs="Times New Roman"/>
          <w:sz w:val="22"/>
        </w:rPr>
        <w:t>s and underlying motivations of securitizing</w:t>
      </w:r>
      <w:r w:rsidR="00622AB2">
        <w:rPr>
          <w:rFonts w:cs="Times New Roman"/>
          <w:sz w:val="22"/>
        </w:rPr>
        <w:t xml:space="preserve"> caviar production requires interrogation. In line with O’Lear (2018) I therefo</w:t>
      </w:r>
      <w:r w:rsidR="002754ED">
        <w:rPr>
          <w:rFonts w:cs="Times New Roman"/>
          <w:sz w:val="22"/>
        </w:rPr>
        <w:t>re argue, that ‘security’ is invoked</w:t>
      </w:r>
      <w:r w:rsidR="00622AB2">
        <w:rPr>
          <w:rFonts w:cs="Times New Roman"/>
          <w:sz w:val="22"/>
        </w:rPr>
        <w:t xml:space="preserve"> to stabilise the geopolitical-ecological discourse that farmed caviar production is a conservation panacea for endangered wild sturgeon</w:t>
      </w:r>
      <w:r w:rsidR="002754ED">
        <w:rPr>
          <w:rFonts w:cs="Times New Roman"/>
          <w:sz w:val="22"/>
        </w:rPr>
        <w:t>. But at the same time, I question who or what is actually secured</w:t>
      </w:r>
      <w:r w:rsidR="00244EAD">
        <w:rPr>
          <w:rFonts w:cs="Times New Roman"/>
          <w:sz w:val="22"/>
        </w:rPr>
        <w:t xml:space="preserve">, or benefits, from </w:t>
      </w:r>
      <w:r w:rsidR="002754ED">
        <w:rPr>
          <w:rFonts w:cs="Times New Roman"/>
          <w:sz w:val="22"/>
        </w:rPr>
        <w:t xml:space="preserve">these securitizing moves. </w:t>
      </w:r>
    </w:p>
    <w:p w14:paraId="143AE2E8" w14:textId="6F6AA879" w:rsidR="00967716" w:rsidRDefault="00967716" w:rsidP="00967716">
      <w:pPr>
        <w:ind w:firstLine="720"/>
        <w:rPr>
          <w:rFonts w:cs="Times New Roman"/>
          <w:noProof/>
          <w:sz w:val="22"/>
        </w:rPr>
      </w:pPr>
      <w:r>
        <w:rPr>
          <w:rFonts w:cs="Times New Roman"/>
          <w:sz w:val="22"/>
        </w:rPr>
        <w:t xml:space="preserve">By examining the securitized materialities and practices of farmed caviar enterprises, I demonstrate that caviar producers utilize the conservation narrative as a ‘green pretext’ </w:t>
      </w:r>
      <w:r>
        <w:rPr>
          <w:rFonts w:cs="Times New Roman"/>
          <w:sz w:val="22"/>
        </w:rPr>
        <w:fldChar w:fldCharType="begin" w:fldLock="1"/>
      </w:r>
      <w:r>
        <w:rPr>
          <w:rFonts w:cs="Times New Roman"/>
          <w:sz w:val="22"/>
        </w:rPr>
        <w:instrText>ADDIN CSL_CITATION {"citationItems":[{"id":"ITEM-1","itemData":{"DOI":"10.1080/03066150.2012.658777","ISSN":"03066150","abstract":"While conflict-related dynamics are recognized as causes of land grabbing in Colombia, violent processes of exclusion and expropriation behind 'greener' projects are often seen as disconnected from them. The case of ecotourism in Tayrona National Natural Park makes it possible to explore the geographies of violence that sustain tourism in the area and their role in shaping everyday resource politics. This paper shows how green pretexts of paradisiacal spots in need of protection have contributed to privatization and dispossession. Furthermore, it details how land-grabbing dynamics have been enabled by processes of sociospatial demarcation that produce not-green-enough subjects as bodies-out-of-place. © 2012 Copyright Taylor and Francis Group, LLC.","author":[{"dropping-particle":"","family":"Ojeda","given":"Diana","non-dropping-particle":"","parse-names":false,"suffix":""}],"container-title":"Journal of Peasant Studies","id":"ITEM-1","issue":"2","issued":{"date-parts":[["2012"]]},"page":"357-375","title":"Green pretexts: Ecotourism, neoliberal conservation and land grabbing in Tayrona National Natural Park, Colombia","type":"article-journal","volume":"39"},"uris":["http://www.mendeley.com/documents/?uuid=ac841b65-b0fa-4085-8bce-3c2bdc1b4fb8"]}],"mendeley":{"formattedCitation":"(Ojeda, 2012)","plainTextFormattedCitation":"(Ojeda, 2012)","previouslyFormattedCitation":"(Ojeda, 2012)"},"properties":{"noteIndex":0},"schema":"https://github.com/citation-style-language/schema/raw/master/csl-citation.json"}</w:instrText>
      </w:r>
      <w:r>
        <w:rPr>
          <w:rFonts w:cs="Times New Roman"/>
          <w:sz w:val="22"/>
        </w:rPr>
        <w:fldChar w:fldCharType="separate"/>
      </w:r>
      <w:r w:rsidRPr="001777E4">
        <w:rPr>
          <w:rFonts w:cs="Times New Roman"/>
          <w:noProof/>
          <w:sz w:val="22"/>
        </w:rPr>
        <w:t>(Ojeda, 2012)</w:t>
      </w:r>
      <w:r>
        <w:rPr>
          <w:rFonts w:cs="Times New Roman"/>
          <w:sz w:val="22"/>
        </w:rPr>
        <w:fldChar w:fldCharType="end"/>
      </w:r>
      <w:r>
        <w:rPr>
          <w:rFonts w:cs="Times New Roman"/>
          <w:sz w:val="22"/>
        </w:rPr>
        <w:t xml:space="preserve"> for securitizing their operations, and at the same time identifying opportunities for capital accumulation. To this extent, I argue that farmed caviar production in the EU is an example of ‘accumulation by securitization’ </w:t>
      </w:r>
      <w:r>
        <w:rPr>
          <w:rFonts w:cs="Times New Roman"/>
          <w:sz w:val="22"/>
        </w:rPr>
        <w:fldChar w:fldCharType="begin" w:fldLock="1"/>
      </w:r>
      <w:r w:rsidR="00EC7F7E">
        <w:rPr>
          <w:rFonts w:cs="Times New Roman"/>
          <w:sz w:val="22"/>
        </w:rPr>
        <w:instrText>ADDIN CSL_CITATION {"citationItems":[{"id":"ITEM-1","itemData":{"DOI":"10.1016/j.geoforum.2015.03.005","ISSN":"00167185","abstract":"Part of a broader interest in the escalating securitization of conservation practice, scholars are beginning to take note of an emerging relationship between conservation-securitization, capital accumulation, and dispossession. We develop the concept of accumulation by securitization to better grasp this trend, positioning it in the critical literatures on neoliberal conservation, green grabbing, and conservation-security. The concept captures the ways in which capital accumulation, often tied to land and resource enclosure, is enabled by practices and logics of security. Security logics, moreover, increasingly provoke the dispossession of vulnerable communities, thereby enabling accumulation. We ground the concept by turning to the Greater Lebombo Conservancy (GLC) in the Mozambican borderlands. This is a new privately-held conservancy built as a securitized buffer zone to obstruct the movement of commercial rhino poachers into South Africa's adjacent Kruger National Park. We show how wildlife tourism-related accumulation here is enabled by, and in some ways contingent upon, the GLC's success in curbing poaching incursions, and, relatedly, how security concerns become the grounds upon which resident communities are displaced. In terms of the latter, we suggest security provides a troubling, depoliticized alibi for dispossession. Like broader neoliberal conservation and green grabbing, we illustrate how accumulation by securitization plays out within complex new networks of state and private actors. Yet these significantly expand to include including security actors and others motivated by security concerns.","author":[{"dropping-particle":"","family":"Massé","given":"Francis","non-dropping-particle":"","parse-names":false,"suffix":""},{"dropping-particle":"","family":"Lunstrum","given":"Elizabeth","non-dropping-particle":"","parse-names":false,"suffix":""}],"container-title":"Geoforum","id":"ITEM-1","issued":{"date-parts":[["2016"]]},"page":"227-237","title":"Accumulation by securitization: Commercial poaching, neoliberal conservation, and the creation of new wildlife frontiers","type":"article-journal","volume":"69"},"uris":["http://www.mendeley.com/documents/?uuid=f414a6fa-a1ed-47cd-9572-2fa93dae0d21"]}],"mendeley":{"formattedCitation":"(Massé and Lunstrum, 2016)","plainTextFormattedCitation":"(Massé and Lunstrum, 2016)","previouslyFormattedCitation":"(Massé and Lunstrum, 2016)"},"properties":{"noteIndex":0},"schema":"https://github.com/citation-style-language/schema/raw/master/csl-citation.json"}</w:instrText>
      </w:r>
      <w:r>
        <w:rPr>
          <w:rFonts w:cs="Times New Roman"/>
          <w:sz w:val="22"/>
        </w:rPr>
        <w:fldChar w:fldCharType="separate"/>
      </w:r>
      <w:r w:rsidR="00042533" w:rsidRPr="00042533">
        <w:rPr>
          <w:rFonts w:cs="Times New Roman"/>
          <w:noProof/>
          <w:sz w:val="22"/>
        </w:rPr>
        <w:t>(Massé and Lunstrum, 2016)</w:t>
      </w:r>
      <w:r>
        <w:rPr>
          <w:rFonts w:cs="Times New Roman"/>
          <w:sz w:val="22"/>
        </w:rPr>
        <w:fldChar w:fldCharType="end"/>
      </w:r>
      <w:r>
        <w:rPr>
          <w:rFonts w:cs="Times New Roman"/>
          <w:sz w:val="22"/>
        </w:rPr>
        <w:t xml:space="preserve">. </w:t>
      </w:r>
      <w:r w:rsidR="002754ED">
        <w:rPr>
          <w:rFonts w:cs="Times New Roman"/>
          <w:sz w:val="22"/>
        </w:rPr>
        <w:t>Accumulation by securitization “</w:t>
      </w:r>
      <w:r>
        <w:rPr>
          <w:rFonts w:cs="Times New Roman"/>
          <w:sz w:val="22"/>
        </w:rPr>
        <w:t>captures the way capital accumulation, often tied to land and resource enclosure, is enabled by pr</w:t>
      </w:r>
      <w:r w:rsidR="002754ED">
        <w:rPr>
          <w:rFonts w:cs="Times New Roman"/>
          <w:sz w:val="22"/>
        </w:rPr>
        <w:t xml:space="preserve">actices and logics of security” </w:t>
      </w:r>
      <w:r>
        <w:rPr>
          <w:rFonts w:cs="Times New Roman"/>
          <w:sz w:val="22"/>
        </w:rPr>
        <w:t xml:space="preserve">(ibid: 227). </w:t>
      </w:r>
      <w:r w:rsidRPr="004468BF">
        <w:rPr>
          <w:rFonts w:cs="Times New Roman"/>
          <w:noProof/>
          <w:sz w:val="22"/>
        </w:rPr>
        <w:t>Massé and Lunstrum</w:t>
      </w:r>
      <w:r>
        <w:rPr>
          <w:rFonts w:cs="Times New Roman"/>
          <w:noProof/>
          <w:sz w:val="22"/>
        </w:rPr>
        <w:t xml:space="preserve"> (2016) apply the concept in the more typical conservation setting of the Greater Lembobo Conservancy in the Mozambican borderlands. At essence</w:t>
      </w:r>
      <w:r w:rsidR="00244EAD">
        <w:rPr>
          <w:rFonts w:cs="Times New Roman"/>
          <w:noProof/>
          <w:sz w:val="22"/>
        </w:rPr>
        <w:t>,</w:t>
      </w:r>
      <w:r>
        <w:rPr>
          <w:rFonts w:cs="Times New Roman"/>
          <w:noProof/>
          <w:sz w:val="22"/>
        </w:rPr>
        <w:t xml:space="preserve"> accumulation by securitization charts how conservation-security enables capital</w:t>
      </w:r>
      <w:r w:rsidR="00244EAD">
        <w:rPr>
          <w:rFonts w:cs="Times New Roman"/>
          <w:noProof/>
          <w:sz w:val="22"/>
        </w:rPr>
        <w:t xml:space="preserve"> accumulation to flow directly “</w:t>
      </w:r>
      <w:r>
        <w:rPr>
          <w:rFonts w:cs="Times New Roman"/>
          <w:noProof/>
          <w:sz w:val="22"/>
        </w:rPr>
        <w:t>through pro</w:t>
      </w:r>
      <w:r w:rsidR="00244EAD">
        <w:rPr>
          <w:rFonts w:cs="Times New Roman"/>
          <w:noProof/>
          <w:sz w:val="22"/>
        </w:rPr>
        <w:t>mises and practices of security”</w:t>
      </w:r>
      <w:r>
        <w:rPr>
          <w:rFonts w:cs="Times New Roman"/>
          <w:noProof/>
          <w:sz w:val="22"/>
        </w:rPr>
        <w:t xml:space="preserve"> (ibid: 234)</w:t>
      </w:r>
      <w:r w:rsidR="002754ED">
        <w:rPr>
          <w:rFonts w:cs="Times New Roman"/>
          <w:noProof/>
          <w:sz w:val="22"/>
        </w:rPr>
        <w:t>, whilst simultaneously dispossesing marginalised actors</w:t>
      </w:r>
      <w:r>
        <w:rPr>
          <w:rFonts w:cs="Times New Roman"/>
          <w:noProof/>
          <w:sz w:val="22"/>
        </w:rPr>
        <w:t>. In this regard, I demonst</w:t>
      </w:r>
      <w:r w:rsidR="002754ED">
        <w:rPr>
          <w:rFonts w:cs="Times New Roman"/>
          <w:noProof/>
          <w:sz w:val="22"/>
        </w:rPr>
        <w:t xml:space="preserve">rate that securitizing caviar </w:t>
      </w:r>
      <w:r w:rsidR="002754ED">
        <w:rPr>
          <w:rFonts w:cs="Times New Roman"/>
          <w:noProof/>
          <w:sz w:val="22"/>
        </w:rPr>
        <w:lastRenderedPageBreak/>
        <w:t>production</w:t>
      </w:r>
      <w:r>
        <w:rPr>
          <w:rFonts w:cs="Times New Roman"/>
          <w:noProof/>
          <w:sz w:val="22"/>
        </w:rPr>
        <w:t xml:space="preserve"> </w:t>
      </w:r>
      <w:r w:rsidR="002754ED">
        <w:rPr>
          <w:rFonts w:cs="Times New Roman"/>
          <w:noProof/>
          <w:sz w:val="22"/>
        </w:rPr>
        <w:t>via</w:t>
      </w:r>
      <w:r>
        <w:rPr>
          <w:rFonts w:cs="Times New Roman"/>
          <w:noProof/>
          <w:sz w:val="22"/>
        </w:rPr>
        <w:t xml:space="preserve"> the ‘green pretext’ (Ojeda, 2012) of conservation, has primarily created opportunities for capital accumulation, rather than demonstrating any tangible conservation impact. </w:t>
      </w:r>
    </w:p>
    <w:p w14:paraId="321F8DA3" w14:textId="77777777" w:rsidR="00967716" w:rsidRDefault="00967716" w:rsidP="00967716">
      <w:pPr>
        <w:rPr>
          <w:rFonts w:cs="Times New Roman"/>
          <w:sz w:val="22"/>
        </w:rPr>
      </w:pPr>
    </w:p>
    <w:p w14:paraId="7F897842" w14:textId="77777777" w:rsidR="00967716" w:rsidRPr="00D50F90" w:rsidRDefault="00967716" w:rsidP="00967716">
      <w:pPr>
        <w:pStyle w:val="Heading3"/>
      </w:pPr>
      <w:bookmarkStart w:id="81" w:name="_Toc453224238"/>
      <w:r w:rsidRPr="00D50F90">
        <w:t>6.2.1 Securitized infrastructures</w:t>
      </w:r>
      <w:bookmarkEnd w:id="81"/>
      <w:r w:rsidRPr="00D50F90">
        <w:t xml:space="preserve"> </w:t>
      </w:r>
    </w:p>
    <w:p w14:paraId="478D77A7" w14:textId="5424DE7A" w:rsidR="003D6BBE" w:rsidRDefault="00967716" w:rsidP="00967716">
      <w:pPr>
        <w:rPr>
          <w:rFonts w:cs="Times New Roman"/>
          <w:sz w:val="22"/>
        </w:rPr>
      </w:pPr>
      <w:r>
        <w:rPr>
          <w:rFonts w:cs="Times New Roman"/>
          <w:sz w:val="22"/>
        </w:rPr>
        <w:t>The securitization of the material infrastructures of sturgeon aquaculture and caviar production facilities in the EU is commonplace; and I argue, an unintended consequence of the policy move towards farmed caviar production. This policy move has shifted the mechanisms of organised crime in unintended ways, some of which are discussed in the previous c</w:t>
      </w:r>
      <w:r w:rsidR="003D6BBE">
        <w:rPr>
          <w:rFonts w:cs="Times New Roman"/>
          <w:sz w:val="22"/>
        </w:rPr>
        <w:t xml:space="preserve">hapter. </w:t>
      </w:r>
      <w:r w:rsidR="00244EAD">
        <w:rPr>
          <w:rFonts w:cs="Times New Roman"/>
          <w:sz w:val="22"/>
        </w:rPr>
        <w:t xml:space="preserve">However, the policy shift towards farmed caviar production has catalysed a number of developments in organised crime, which have been reported by some caviar industry representatives. </w:t>
      </w:r>
      <w:r w:rsidR="003D6BBE">
        <w:rPr>
          <w:rFonts w:cs="Times New Roman"/>
          <w:sz w:val="22"/>
        </w:rPr>
        <w:t xml:space="preserve">The involvement of organised criminal groups in sturgeon poaching and illegal caviar trade is well documented </w:t>
      </w:r>
      <w:r w:rsidR="003D6BBE">
        <w:rPr>
          <w:rFonts w:cs="Times New Roman"/>
          <w:sz w:val="22"/>
        </w:rPr>
        <w:fldChar w:fldCharType="begin" w:fldLock="1"/>
      </w:r>
      <w:r w:rsidR="00280EB6">
        <w:rPr>
          <w:rFonts w:cs="Times New Roman"/>
          <w:sz w:val="22"/>
        </w:rPr>
        <w:instrText>ADDIN CSL_CITATION {"citationItems":[{"id":"ITEM-1","itemData":{"DOI":"10.1007/s12117-014-9214-z","ISBN":"1211701492","ISSN":"19364830","abstract":"The Volga-Caspian basin, once the largest habitat of sturgeon species, became a hotbed of wildlife crime in the 1990s. With the rising demand for caviar in various parts of the world, caviar trafficking has grown to unprecedented levels, having put Caspian sturgeons under the risk of absolute extinction. Two decades later, as the Caspian sturgeon populations have been radically depleted, North American supplies of sturgeon species are targeted by criminal masterminds as an alternative illicit source of black caviar. This article identifies some of the trends in the development of the illicit market in black caviar. The analysis utilizes the idea of criminogenic asymmetries developed by Nikos Passas to examine the dynamics of and the driving forces behind this illicit market. Beyond the application of Passas' framework, the article offers a detailed descriptive analysis of poaching activities and caviar trafficking schemes based on data retrieved from public reports, court files, news media and interviews with officials and journalists.","author":[{"dropping-particle":"","family":"Zabyelina","given":"Yuliya G.","non-dropping-particle":"","parse-names":false,"suffix":""}],"container-title":"Trends in Organized Crime","id":"ITEM-1","issue":"3","issued":{"date-parts":[["2014"]]},"page":"181-198","title":"The \"fishy\" business: A qualitative analysis of the illicit market in black caviar","type":"article-journal","volume":"17"},"uris":["http://www.mendeley.com/documents/?uuid=1616d308-87d3-4886-a73a-8249113c67b7"]},{"id":"ITEM-2","itemData":{"ISBN":"9781911646051","abstract":"The illegal exploitation of the world's fl ora and fauna is a serious and growing problem globally, negatively impacting economic and social development, security and governance. Wildlife and forest crime has all the hallmarks of transnational organized crime and frequently involves other forms of seri-ous crime such as fraud, money laundering and corruption. Transnational organized criminal networks are moving poached or illegally harvested wildlife using a variety of smuggling techniques, often by means of existing infrastruc-tures and well-developed routes used for the traffi cking of drugs, people, weapons, counterfeit goods and other forms of contraband. All links in this traffi cking chain are facili-tated by varying levels of corruption – both in the public and private sectors. Yet in spite of all the negative impacts, wildlife and forest crime continues to be viewed as being outside 'main-stream crime' by many in the law enforcement community, governments and the public. Despite the transnational and organized nature of this illicit trade, the response varies signif-icantly from one region to another. Successful investigations and prosecutions are few, an indication of the low priority often given to this issue. When addressing corruption linked to wildlife and forest crime, efforts are haphazard, if any.","author":[{"dropping-particle":"","family":"Musing, L., Harris, L., Williams, A., Parry- Jones, R., van Uhm, D., Wyatt","given":"T.","non-dropping-particle":"","parse-names":false,"suffix":""}],"id":"ITEM-2","issued":{"date-parts":[["2019"]]},"title":"Corruption and Wildlife crime: A focus on caviar trade","type":"book"},"uris":["http://www.mendeley.com/documents/?uuid=a55a63cf-6b7f-4a17-8fad-345667ee03ac"]},{"id":"ITEM-3","itemData":{"DOI":"10.1007/s12117-016-9264-5","ISBN":"0165-1684","ISSN":"19364830","abstract":"The trade in caviar has a rich and colorful history, influenced over thousands of years by many cultures, societies and in the last decades by regulation. The value of caviar is historically discovered in the context of social change, political relationships and environmental change. The role of organized crime is described, as the scarcity of caviar has offered the unique opportunity to fish illegally, smuggle and trade contraband to mainly European countries with millions in profits. This study highlights that these criminal networks manifest themselves at all levels of the trade: from the poaching areas where organized criminal groups cooperate with law enforcers and possess top-notch equipment to major smuggling operations in the hands of sophisticated criminal networks. Although due to overexploitation ‘wild caviar’ is increasingly difficult to obtain, the demand in the context of exclusivity and scarcity remains intact by the upper class society desire for edible gold.","author":[{"dropping-particle":"","family":"Uhm","given":"Daan","non-dropping-particle":"van","parse-names":false,"suffix":""},{"dropping-particle":"","family":"Siegel","given":"Dina","non-dropping-particle":"","parse-names":false,"suffix":""}],"container-title":"Trends in Organized Crime","id":"ITEM-3","issue":"1","issued":{"date-parts":[["2016"]]},"page":"67-87","title":"The illegal trade in black caviar","type":"article-journal","volume":"19"},"uris":["http://www.mendeley.com/documents/?uuid=34c9ccf8-422d-4c42-a907-21a3eb6a28ad"]}],"mendeley":{"formattedCitation":"(Zabyelina, 2014; van Uhm and Siegel, 2016; Musing, L., Harris, L., Williams, A., Parry- Jones, R., van Uhm, D., Wyatt, 2019)","manualFormatting":"(Zabyelina, 2014; van Uhm and Siegel, 2016; Musing et al. 2019)","plainTextFormattedCitation":"(Zabyelina, 2014; van Uhm and Siegel, 2016; Musing, L., Harris, L., Williams, A., Parry- Jones, R., van Uhm, D., Wyatt, 2019)","previouslyFormattedCitation":"(Zabyelina, 2014; van Uhm and Siegel, 2016; Musing, L., Harris, L., Williams, A., Parry- Jones, R., van Uhm, D., Wyatt, 2019)"},"properties":{"noteIndex":0},"schema":"https://github.com/citation-style-language/schema/raw/master/csl-citation.json"}</w:instrText>
      </w:r>
      <w:r w:rsidR="003D6BBE">
        <w:rPr>
          <w:rFonts w:cs="Times New Roman"/>
          <w:sz w:val="22"/>
        </w:rPr>
        <w:fldChar w:fldCharType="separate"/>
      </w:r>
      <w:r w:rsidR="003D6BBE" w:rsidRPr="00A1554F">
        <w:rPr>
          <w:rFonts w:cs="Times New Roman"/>
          <w:noProof/>
          <w:sz w:val="22"/>
        </w:rPr>
        <w:t>(Zabyelina, 2014; van U</w:t>
      </w:r>
      <w:r w:rsidR="00244EAD">
        <w:rPr>
          <w:rFonts w:cs="Times New Roman"/>
          <w:noProof/>
          <w:sz w:val="22"/>
        </w:rPr>
        <w:t>hm and Siegel, 2016; Musing</w:t>
      </w:r>
      <w:r w:rsidR="003D6BBE">
        <w:rPr>
          <w:rFonts w:cs="Times New Roman"/>
          <w:noProof/>
          <w:sz w:val="22"/>
        </w:rPr>
        <w:t xml:space="preserve"> </w:t>
      </w:r>
      <w:r w:rsidR="003D6BBE" w:rsidRPr="00C6158D">
        <w:rPr>
          <w:rFonts w:cs="Times New Roman"/>
          <w:i/>
          <w:noProof/>
          <w:sz w:val="22"/>
        </w:rPr>
        <w:t>et al</w:t>
      </w:r>
      <w:r w:rsidR="003D6BBE">
        <w:rPr>
          <w:rFonts w:cs="Times New Roman"/>
          <w:noProof/>
          <w:sz w:val="22"/>
        </w:rPr>
        <w:t>.</w:t>
      </w:r>
      <w:r w:rsidR="003D6BBE" w:rsidRPr="00A1554F">
        <w:rPr>
          <w:rFonts w:cs="Times New Roman"/>
          <w:noProof/>
          <w:sz w:val="22"/>
        </w:rPr>
        <w:t xml:space="preserve"> 2019)</w:t>
      </w:r>
      <w:r w:rsidR="003D6BBE">
        <w:rPr>
          <w:rFonts w:cs="Times New Roman"/>
          <w:sz w:val="22"/>
        </w:rPr>
        <w:fldChar w:fldCharType="end"/>
      </w:r>
      <w:r w:rsidR="00244EAD">
        <w:rPr>
          <w:rFonts w:cs="Times New Roman"/>
          <w:sz w:val="22"/>
        </w:rPr>
        <w:t>.</w:t>
      </w:r>
      <w:r w:rsidR="003D6BBE">
        <w:rPr>
          <w:rFonts w:cs="Times New Roman"/>
          <w:sz w:val="22"/>
        </w:rPr>
        <w:t xml:space="preserve"> </w:t>
      </w:r>
      <w:r w:rsidR="00244EAD">
        <w:rPr>
          <w:rFonts w:cs="Times New Roman"/>
          <w:sz w:val="22"/>
        </w:rPr>
        <w:t>So</w:t>
      </w:r>
      <w:r w:rsidR="003D6BBE">
        <w:rPr>
          <w:rFonts w:cs="Times New Roman"/>
          <w:sz w:val="22"/>
        </w:rPr>
        <w:t xml:space="preserve">me caviar producers </w:t>
      </w:r>
      <w:r w:rsidR="00244EAD">
        <w:rPr>
          <w:rFonts w:cs="Times New Roman"/>
          <w:sz w:val="22"/>
        </w:rPr>
        <w:t xml:space="preserve">are now suggesting </w:t>
      </w:r>
      <w:r w:rsidR="003D6BBE">
        <w:rPr>
          <w:rFonts w:cs="Times New Roman"/>
          <w:sz w:val="22"/>
        </w:rPr>
        <w:t>that the organised criminal groups historically involved in sturgeon poaching and illegal caviar trade</w:t>
      </w:r>
      <w:r w:rsidR="00244EAD">
        <w:rPr>
          <w:rFonts w:cs="Times New Roman"/>
          <w:sz w:val="22"/>
        </w:rPr>
        <w:t>,</w:t>
      </w:r>
      <w:r w:rsidR="003D6BBE">
        <w:rPr>
          <w:rFonts w:cs="Times New Roman"/>
          <w:sz w:val="22"/>
        </w:rPr>
        <w:t xml:space="preserve"> have shifted their activities to target caviar production facilities. Thus, </w:t>
      </w:r>
      <w:r>
        <w:rPr>
          <w:rFonts w:cs="Times New Roman"/>
          <w:sz w:val="22"/>
        </w:rPr>
        <w:t>the perceiv</w:t>
      </w:r>
      <w:r w:rsidR="00244EAD">
        <w:rPr>
          <w:rFonts w:cs="Times New Roman"/>
          <w:sz w:val="22"/>
        </w:rPr>
        <w:t xml:space="preserve">ed threat of organised crime </w:t>
      </w:r>
      <w:r>
        <w:rPr>
          <w:rFonts w:cs="Times New Roman"/>
          <w:sz w:val="22"/>
        </w:rPr>
        <w:t xml:space="preserve">has prompted a securitization of the material infrastructures of these enterprises. </w:t>
      </w:r>
    </w:p>
    <w:p w14:paraId="57D77835" w14:textId="3D659F2A" w:rsidR="00967716" w:rsidRDefault="00967716" w:rsidP="003D6BBE">
      <w:pPr>
        <w:ind w:firstLine="720"/>
        <w:rPr>
          <w:rFonts w:cs="Times New Roman"/>
          <w:sz w:val="22"/>
        </w:rPr>
      </w:pPr>
      <w:r>
        <w:rPr>
          <w:rFonts w:cs="Times New Roman"/>
          <w:sz w:val="22"/>
        </w:rPr>
        <w:t>This process of securitization</w:t>
      </w:r>
      <w:r w:rsidR="000952AD">
        <w:rPr>
          <w:rFonts w:cs="Times New Roman"/>
          <w:sz w:val="22"/>
        </w:rPr>
        <w:t xml:space="preserve"> in this context</w:t>
      </w:r>
      <w:r>
        <w:rPr>
          <w:rFonts w:cs="Times New Roman"/>
          <w:sz w:val="22"/>
        </w:rPr>
        <w:t xml:space="preserve"> constitutes a</w:t>
      </w:r>
      <w:r w:rsidR="000C2026">
        <w:rPr>
          <w:rFonts w:cs="Times New Roman"/>
          <w:sz w:val="22"/>
        </w:rPr>
        <w:t>n intriguing</w:t>
      </w:r>
      <w:r>
        <w:rPr>
          <w:rFonts w:cs="Times New Roman"/>
          <w:sz w:val="22"/>
        </w:rPr>
        <w:t xml:space="preserve"> dovetailin</w:t>
      </w:r>
      <w:r w:rsidR="000C2026">
        <w:rPr>
          <w:rFonts w:cs="Times New Roman"/>
          <w:sz w:val="22"/>
        </w:rPr>
        <w:t>g of conservation and security narratives</w:t>
      </w:r>
      <w:r>
        <w:rPr>
          <w:rFonts w:cs="Times New Roman"/>
          <w:sz w:val="22"/>
        </w:rPr>
        <w:t xml:space="preserve"> through farmed caviar production. Conservation is generally seen to require secure spaces </w:t>
      </w:r>
      <w:r>
        <w:rPr>
          <w:rFonts w:cs="Times New Roman"/>
          <w:sz w:val="22"/>
        </w:rPr>
        <w:fldChar w:fldCharType="begin" w:fldLock="1"/>
      </w:r>
      <w:r w:rsidR="00EC7F7E">
        <w:rPr>
          <w:rFonts w:cs="Times New Roman"/>
          <w:sz w:val="22"/>
        </w:rPr>
        <w:instrText>ADDIN CSL_CITATION {"citationItems":[{"id":"ITEM-1","itemData":{"DOI":"10.1016/j.geoforum.2015.03.005","ISSN":"00167185","abstract":"Part of a broader interest in the escalating securitization of conservation practice, scholars are beginning to take note of an emerging relationship between conservation-securitization, capital accumulation, and dispossession. We develop the concept of accumulation by securitization to better grasp this trend, positioning it in the critical literatures on neoliberal conservation, green grabbing, and conservation-security. The concept captures the ways in which capital accumulation, often tied to land and resource enclosure, is enabled by practices and logics of security. Security logics, moreover, increasingly provoke the dispossession of vulnerable communities, thereby enabling accumulation. We ground the concept by turning to the Greater Lebombo Conservancy (GLC) in the Mozambican borderlands. This is a new privately-held conservancy built as a securitized buffer zone to obstruct the movement of commercial rhino poachers into South Africa's adjacent Kruger National Park. We show how wildlife tourism-related accumulation here is enabled by, and in some ways contingent upon, the GLC's success in curbing poaching incursions, and, relatedly, how security concerns become the grounds upon which resident communities are displaced. In terms of the latter, we suggest security provides a troubling, depoliticized alibi for dispossession. Like broader neoliberal conservation and green grabbing, we illustrate how accumulation by securitization plays out within complex new networks of state and private actors. Yet these significantly expand to include including security actors and others motivated by security concerns.","author":[{"dropping-particle":"","family":"Massé","given":"Francis","non-dropping-particle":"","parse-names":false,"suffix":""},{"dropping-particle":"","family":"Lunstrum","given":"Elizabeth","non-dropping-particle":"","parse-names":false,"suffix":""}],"container-title":"Geoforum","id":"ITEM-1","issued":{"date-parts":[["2016"]]},"page":"227-237","title":"Accumulation by securitization: Commercial poaching, neoliberal conservation, and the creation of new wildlife frontiers","type":"article-journal","volume":"69"},"uris":["http://www.mendeley.com/documents/?uuid=f414a6fa-a1ed-47cd-9572-2fa93dae0d21"]}],"mendeley":{"formattedCitation":"(Massé and Lunstrum, 2016)","plainTextFormattedCitation":"(Massé and Lunstrum, 2016)","previouslyFormattedCitation":"(Massé and Lunstrum, 2016)"},"properties":{"noteIndex":0},"schema":"https://github.com/citation-style-language/schema/raw/master/csl-citation.json"}</w:instrText>
      </w:r>
      <w:r>
        <w:rPr>
          <w:rFonts w:cs="Times New Roman"/>
          <w:sz w:val="22"/>
        </w:rPr>
        <w:fldChar w:fldCharType="separate"/>
      </w:r>
      <w:r w:rsidR="00042533" w:rsidRPr="00042533">
        <w:rPr>
          <w:rFonts w:cs="Times New Roman"/>
          <w:noProof/>
          <w:sz w:val="22"/>
        </w:rPr>
        <w:t>(Massé and Lunstrum, 2016)</w:t>
      </w:r>
      <w:r>
        <w:rPr>
          <w:rFonts w:cs="Times New Roman"/>
          <w:sz w:val="22"/>
        </w:rPr>
        <w:fldChar w:fldCharType="end"/>
      </w:r>
      <w:r>
        <w:rPr>
          <w:rFonts w:cs="Times New Roman"/>
          <w:sz w:val="22"/>
        </w:rPr>
        <w:t xml:space="preserve">; and thus without secure spaces there is perceived to be an increased possibility of organised criminals breaching the caviar production facilities to steal sturgeon and caviar. It is argued that such thefts would impact the amount of caviar the facilities could produce for the legal market, and thus by extension limit the conservation impact of farmed caviar production. As such, caviar producers argue that the securitization of the physical infrastructures of their enterprises is a necessity for them to contribute to sturgeon conservation. The securitization is further legitimized by the policy support for farmed caviar production as a supply-side conservation method - despite the fact that this policy move has gaps that cast doubt over the practical conservation benefit of farmed caviar production. In this regard, I argue that the simplistic conservation narrative is used as a ‘green pretext’ </w:t>
      </w:r>
      <w:r>
        <w:rPr>
          <w:rFonts w:cs="Times New Roman"/>
          <w:sz w:val="22"/>
        </w:rPr>
        <w:fldChar w:fldCharType="begin" w:fldLock="1"/>
      </w:r>
      <w:r>
        <w:rPr>
          <w:rFonts w:cs="Times New Roman"/>
          <w:sz w:val="22"/>
        </w:rPr>
        <w:instrText>ADDIN CSL_CITATION {"citationItems":[{"id":"ITEM-1","itemData":{"DOI":"10.1080/03066150.2012.658777","ISSN":"03066150","abstract":"While conflict-related dynamics are recognized as causes of land grabbing in Colombia, violent processes of exclusion and expropriation behind 'greener' projects are often seen as disconnected from them. The case of ecotourism in Tayrona National Natural Park makes it possible to explore the geographies of violence that sustain tourism in the area and their role in shaping everyday resource politics. This paper shows how green pretexts of paradisiacal spots in need of protection have contributed to privatization and dispossession. Furthermore, it details how land-grabbing dynamics have been enabled by processes of sociospatial demarcation that produce not-green-enough subjects as bodies-out-of-place. © 2012 Copyright Taylor and Francis Group, LLC.","author":[{"dropping-particle":"","family":"Ojeda","given":"Diana","non-dropping-particle":"","parse-names":false,"suffix":""}],"container-title":"Journal of Peasant Studies","id":"ITEM-1","issue":"2","issued":{"date-parts":[["2012"]]},"page":"357-375","title":"Green pretexts: Ecotourism, neoliberal conservation and land grabbing in Tayrona National Natural Park, Colombia","type":"article-journal","volume":"39"},"uris":["http://www.mendeley.com/documents/?uuid=ac841b65-b0fa-4085-8bce-3c2bdc1b4fb8"]}],"mendeley":{"formattedCitation":"(Ojeda, 2012)","plainTextFormattedCitation":"(Ojeda, 2012)","previouslyFormattedCitation":"(Ojeda, 2012)"},"properties":{"noteIndex":0},"schema":"https://github.com/citation-style-language/schema/raw/master/csl-citation.json"}</w:instrText>
      </w:r>
      <w:r>
        <w:rPr>
          <w:rFonts w:cs="Times New Roman"/>
          <w:sz w:val="22"/>
        </w:rPr>
        <w:fldChar w:fldCharType="separate"/>
      </w:r>
      <w:r w:rsidRPr="0078508D">
        <w:rPr>
          <w:rFonts w:cs="Times New Roman"/>
          <w:noProof/>
          <w:sz w:val="22"/>
        </w:rPr>
        <w:t>(Ojeda, 2012)</w:t>
      </w:r>
      <w:r>
        <w:rPr>
          <w:rFonts w:cs="Times New Roman"/>
          <w:sz w:val="22"/>
        </w:rPr>
        <w:fldChar w:fldCharType="end"/>
      </w:r>
      <w:r>
        <w:rPr>
          <w:rFonts w:cs="Times New Roman"/>
          <w:sz w:val="22"/>
        </w:rPr>
        <w:t xml:space="preserve"> to justify a ‘respatialization of security’ (Johnson, 2015) into the material infrastructures of caviar aquaculture. </w:t>
      </w:r>
    </w:p>
    <w:p w14:paraId="002B6964" w14:textId="65A81148" w:rsidR="00967716" w:rsidRDefault="000C2026" w:rsidP="00967716">
      <w:pPr>
        <w:ind w:firstLine="720"/>
        <w:rPr>
          <w:rFonts w:cs="Times New Roman"/>
          <w:sz w:val="22"/>
        </w:rPr>
      </w:pPr>
      <w:r>
        <w:rPr>
          <w:rFonts w:cs="Times New Roman"/>
          <w:sz w:val="22"/>
        </w:rPr>
        <w:t xml:space="preserve">Those </w:t>
      </w:r>
      <w:r w:rsidR="00967716">
        <w:rPr>
          <w:rFonts w:cs="Times New Roman"/>
          <w:sz w:val="22"/>
        </w:rPr>
        <w:t xml:space="preserve">companies operating facilities in sturgeon range states where caviar-poaching economies are firmly established, were particularly vocal about the threat posed by organised criminal groups. For example, caviar producer Oliya described her own experiences with organised criminal groups targeting their business. She explained that her company produces some of its caviar from a sturgeon farm operated on the banks of the Iranian part of the Caspian Sea. At this farm the company had installed outdoor pools for rearing adult sturgeon in the waters of the Caspian Sea, but only one week after installation they returned to find that there were no sturgeon remaining in the pond. The </w:t>
      </w:r>
      <w:r w:rsidR="00967716">
        <w:rPr>
          <w:rFonts w:cs="Times New Roman"/>
          <w:sz w:val="22"/>
        </w:rPr>
        <w:lastRenderedPageBreak/>
        <w:t>defences of the pond had been cut open and the fish had been stolen. Oliya explained that through their</w:t>
      </w:r>
      <w:r w:rsidR="000952AD">
        <w:rPr>
          <w:rFonts w:cs="Times New Roman"/>
          <w:sz w:val="22"/>
        </w:rPr>
        <w:t xml:space="preserve"> investigations the company discovered </w:t>
      </w:r>
      <w:r w:rsidR="00967716">
        <w:rPr>
          <w:rFonts w:cs="Times New Roman"/>
          <w:sz w:val="22"/>
        </w:rPr>
        <w:t>it was organised criminals who had targeted their enterprise,</w:t>
      </w:r>
      <w:r>
        <w:rPr>
          <w:rFonts w:cs="Times New Roman"/>
          <w:sz w:val="22"/>
        </w:rPr>
        <w:t xml:space="preserve"> abetted by insider knowledge: “</w:t>
      </w:r>
      <w:r w:rsidR="00967716">
        <w:rPr>
          <w:rFonts w:cs="Times New Roman"/>
          <w:sz w:val="22"/>
        </w:rPr>
        <w:t>there is a black market out there. Even in our own facility! We have about 30 people that work there. Even from there, they take the fish… our own staff! You couldn’t imagine it</w:t>
      </w:r>
      <w:r>
        <w:rPr>
          <w:rFonts w:cs="Times New Roman"/>
          <w:sz w:val="22"/>
        </w:rPr>
        <w:t>”</w:t>
      </w:r>
      <w:r w:rsidR="00967716" w:rsidRPr="005B292F">
        <w:rPr>
          <w:rStyle w:val="FootnoteReference"/>
        </w:rPr>
        <w:footnoteReference w:id="175"/>
      </w:r>
      <w:r w:rsidR="00967716">
        <w:rPr>
          <w:rFonts w:cs="Times New Roman"/>
          <w:sz w:val="22"/>
        </w:rPr>
        <w:t xml:space="preserve">. </w:t>
      </w:r>
    </w:p>
    <w:p w14:paraId="1C76D688" w14:textId="22A5DCF5" w:rsidR="00967716" w:rsidRDefault="00967716" w:rsidP="00967716">
      <w:pPr>
        <w:ind w:firstLine="720"/>
        <w:rPr>
          <w:rFonts w:cs="Times New Roman"/>
          <w:sz w:val="22"/>
        </w:rPr>
      </w:pPr>
      <w:r>
        <w:rPr>
          <w:rFonts w:cs="Times New Roman"/>
          <w:sz w:val="22"/>
        </w:rPr>
        <w:t>Moreover, caviar producers operati</w:t>
      </w:r>
      <w:r w:rsidR="000C2026">
        <w:rPr>
          <w:rFonts w:cs="Times New Roman"/>
          <w:sz w:val="22"/>
        </w:rPr>
        <w:t>ng farms in EU Member S</w:t>
      </w:r>
      <w:r>
        <w:rPr>
          <w:rFonts w:cs="Times New Roman"/>
          <w:sz w:val="22"/>
        </w:rPr>
        <w:t>tate</w:t>
      </w:r>
      <w:r w:rsidR="000952AD">
        <w:rPr>
          <w:rFonts w:cs="Times New Roman"/>
          <w:sz w:val="22"/>
        </w:rPr>
        <w:t>s also discussed their experiences of</w:t>
      </w:r>
      <w:r>
        <w:rPr>
          <w:rFonts w:cs="Times New Roman"/>
          <w:sz w:val="22"/>
        </w:rPr>
        <w:t xml:space="preserve"> being the target of organised crime. Ethan – the director of a caviar company and sturgeon farm – relayed an incident where his company were victim to the elaborate theft of 100 live sturgeon as they were being transported to Ethan’s farm. He recounted awaiting a phone call to be informed about the time to expect delivery of the sturgeon, only to be told that all the fish had died during international transportation from the breedin</w:t>
      </w:r>
      <w:r w:rsidR="000952AD">
        <w:rPr>
          <w:rFonts w:cs="Times New Roman"/>
          <w:sz w:val="22"/>
        </w:rPr>
        <w:t>g facility to his farm premises</w:t>
      </w:r>
      <w:r>
        <w:rPr>
          <w:rFonts w:cs="Times New Roman"/>
          <w:sz w:val="22"/>
        </w:rPr>
        <w:t>. On querying this he was met with unanswered phone calls and eventually, stories that didn’t add up. In investigating the situation further, Ethan uncovered that a rival caviar company had intercepted the haulage truck, and stolen the fish for their own stocks. Afte</w:t>
      </w:r>
      <w:r w:rsidR="000C2026">
        <w:rPr>
          <w:rFonts w:cs="Times New Roman"/>
          <w:sz w:val="22"/>
        </w:rPr>
        <w:t>r making this discovery, Ethan “</w:t>
      </w:r>
      <w:r>
        <w:rPr>
          <w:rFonts w:cs="Times New Roman"/>
          <w:sz w:val="22"/>
        </w:rPr>
        <w:t>contacted the police, the police came and took statements. And then about 3 days later the money was in our bank, and the police said we hadn’t got a case anymore, because they’d paid us back, so it’s not theft anymore</w:t>
      </w:r>
      <w:r w:rsidR="000C2026">
        <w:rPr>
          <w:rFonts w:cs="Times New Roman"/>
          <w:sz w:val="22"/>
        </w:rPr>
        <w:t>”</w:t>
      </w:r>
      <w:r w:rsidRPr="005B292F">
        <w:rPr>
          <w:rStyle w:val="FootnoteReference"/>
        </w:rPr>
        <w:footnoteReference w:id="176"/>
      </w:r>
      <w:r>
        <w:rPr>
          <w:rFonts w:cs="Times New Roman"/>
          <w:sz w:val="22"/>
        </w:rPr>
        <w:t>. Ethan stressed the interconnections between organised crime and the ‘legal’ caviar industry</w:t>
      </w:r>
      <w:r w:rsidR="000C2026" w:rsidRPr="005B292F">
        <w:rPr>
          <w:rStyle w:val="FootnoteReference"/>
        </w:rPr>
        <w:footnoteReference w:id="177"/>
      </w:r>
      <w:r w:rsidR="000C2026">
        <w:rPr>
          <w:rFonts w:cs="Times New Roman"/>
          <w:sz w:val="22"/>
        </w:rPr>
        <w:t>, explaining</w:t>
      </w:r>
      <w:r>
        <w:rPr>
          <w:rFonts w:cs="Times New Roman"/>
          <w:sz w:val="22"/>
        </w:rPr>
        <w:t xml:space="preserve"> that since this in</w:t>
      </w:r>
      <w:r w:rsidR="000C2026">
        <w:rPr>
          <w:rFonts w:cs="Times New Roman"/>
          <w:sz w:val="22"/>
        </w:rPr>
        <w:t>cident he’s experienced people “</w:t>
      </w:r>
      <w:r>
        <w:rPr>
          <w:rFonts w:cs="Times New Roman"/>
          <w:sz w:val="22"/>
        </w:rPr>
        <w:t>trying to catch me out all the time</w:t>
      </w:r>
      <w:r w:rsidR="000C2026">
        <w:rPr>
          <w:rFonts w:cs="Times New Roman"/>
          <w:sz w:val="22"/>
        </w:rPr>
        <w:t>”</w:t>
      </w:r>
      <w:r w:rsidRPr="005B292F">
        <w:rPr>
          <w:rStyle w:val="FootnoteReference"/>
        </w:rPr>
        <w:footnoteReference w:id="178"/>
      </w:r>
      <w:r>
        <w:rPr>
          <w:rFonts w:cs="Times New Roman"/>
          <w:sz w:val="22"/>
        </w:rPr>
        <w:t>, via a range of nefarious methods.</w:t>
      </w:r>
    </w:p>
    <w:p w14:paraId="1610D18A" w14:textId="66FC88F1" w:rsidR="00967716" w:rsidRDefault="00967716" w:rsidP="00967716">
      <w:pPr>
        <w:rPr>
          <w:rFonts w:cs="Times New Roman"/>
          <w:sz w:val="22"/>
        </w:rPr>
      </w:pPr>
      <w:r>
        <w:rPr>
          <w:rFonts w:cs="Times New Roman"/>
          <w:sz w:val="22"/>
        </w:rPr>
        <w:tab/>
        <w:t>As a result of the spectre of organised crime and the destabilising impact this can have on caviar production, caviar producers have taken steps to physically securitize the material infrastructures of their facilities. During fieldwork I visited five sturgeon farms and caviar production facilities, and witnessed first-hand the securitized nature of</w:t>
      </w:r>
      <w:r w:rsidR="000C2026">
        <w:rPr>
          <w:rFonts w:cs="Times New Roman"/>
          <w:sz w:val="22"/>
        </w:rPr>
        <w:t xml:space="preserve"> these facilities</w:t>
      </w:r>
      <w:r>
        <w:rPr>
          <w:rFonts w:cs="Times New Roman"/>
          <w:sz w:val="22"/>
        </w:rPr>
        <w:t>. First of all, concerns about being the target of organised crime shapes where the facilities are located and how they are publicly presented. The facil</w:t>
      </w:r>
      <w:r w:rsidR="000952AD">
        <w:rPr>
          <w:rFonts w:cs="Times New Roman"/>
          <w:sz w:val="22"/>
        </w:rPr>
        <w:t xml:space="preserve">ities I visited were in remote, </w:t>
      </w:r>
      <w:r>
        <w:rPr>
          <w:rFonts w:cs="Times New Roman"/>
          <w:sz w:val="22"/>
        </w:rPr>
        <w:t>inconspicuous locations, such as rural areas or vast industrial parks. On the one hand</w:t>
      </w:r>
      <w:r w:rsidR="000952AD">
        <w:rPr>
          <w:rFonts w:cs="Times New Roman"/>
          <w:sz w:val="22"/>
        </w:rPr>
        <w:t>,</w:t>
      </w:r>
      <w:r>
        <w:rPr>
          <w:rFonts w:cs="Times New Roman"/>
          <w:sz w:val="22"/>
        </w:rPr>
        <w:t xml:space="preserve"> the remoteness of these facilities is often determined by the amount of land needed for large-scale sturgeon farming and caviar production; but on the other hand, producers who wish to maintain a degree of secrecy about their operations often seek out such remote and inconspicuous locations. The facilities I visited typically lacked markings or signs that would serve to draw attention to what was being produced there. For example, sturgeon farmer Ethan admitted that their company actively avoided advertising the nature of their business at the farm-site they rented, remarking that those living in the closest rural village were largely unaware that a caviar </w:t>
      </w:r>
      <w:r>
        <w:rPr>
          <w:rFonts w:cs="Times New Roman"/>
          <w:sz w:val="22"/>
        </w:rPr>
        <w:lastRenderedPageBreak/>
        <w:t>f</w:t>
      </w:r>
      <w:r w:rsidR="00BD5BEF">
        <w:rPr>
          <w:rFonts w:cs="Times New Roman"/>
          <w:sz w:val="22"/>
        </w:rPr>
        <w:t>arm was operating on the site: “</w:t>
      </w:r>
      <w:r>
        <w:rPr>
          <w:rFonts w:cs="Times New Roman"/>
          <w:sz w:val="22"/>
        </w:rPr>
        <w:t>all they remember is that it was stables, it was a worms place, it was a mushroom place. It just doesn’t ring with caviar</w:t>
      </w:r>
      <w:r w:rsidR="00BD5BEF">
        <w:rPr>
          <w:rFonts w:cs="Times New Roman"/>
          <w:sz w:val="22"/>
        </w:rPr>
        <w:t>”</w:t>
      </w:r>
      <w:r w:rsidRPr="005B292F">
        <w:rPr>
          <w:rStyle w:val="FootnoteReference"/>
        </w:rPr>
        <w:footnoteReference w:id="179"/>
      </w:r>
      <w:r>
        <w:rPr>
          <w:rFonts w:cs="Times New Roman"/>
          <w:sz w:val="22"/>
        </w:rPr>
        <w:t xml:space="preserve">. It was common practice for the location of the caviar farm to be shrouded in secrecy. In a number of instances I was not permitted to visit the caviar aquaculture facilities with companies citing hygiene, practical, and quality issues, as the reasons they were unable to disclose the location of their farms. Instead I was hosted at registered company offices storing no caviar or sturgeon. </w:t>
      </w:r>
    </w:p>
    <w:p w14:paraId="1E434A7D" w14:textId="77777777" w:rsidR="00967716" w:rsidRDefault="00967716" w:rsidP="00967716">
      <w:pPr>
        <w:rPr>
          <w:rFonts w:cs="Times New Roman"/>
          <w:sz w:val="22"/>
        </w:rPr>
      </w:pPr>
      <w:r>
        <w:rPr>
          <w:rFonts w:cs="Times New Roman"/>
          <w:sz w:val="22"/>
        </w:rPr>
        <w:tab/>
        <w:t>Beyond taking efforts to keep the location and nature of these businesses relatively secret, producers go to great lengths to fortify the enterprises by integrating security technologies into the material infrastructures of the farms. A visit to a sturgeon farm and caviar production facility in Romania starkly demonstrated the integration of security logics and technologies into the materialities of caviar production. I describe this visit in the following excerpt taken from my field notes</w:t>
      </w:r>
      <w:r w:rsidRPr="005B292F">
        <w:rPr>
          <w:rStyle w:val="FootnoteReference"/>
        </w:rPr>
        <w:footnoteReference w:id="180"/>
      </w:r>
      <w:r>
        <w:rPr>
          <w:rFonts w:cs="Times New Roman"/>
          <w:sz w:val="22"/>
        </w:rPr>
        <w:t xml:space="preserve">: </w:t>
      </w:r>
    </w:p>
    <w:p w14:paraId="168D6F76" w14:textId="2D3EDA70" w:rsidR="00967716" w:rsidRDefault="00967716" w:rsidP="00967716">
      <w:pPr>
        <w:pStyle w:val="Quote"/>
      </w:pPr>
      <w:r>
        <w:t>It was a scorching hot July day in the Romanian countryside and we were sheltering from the heat in the air-conditioned caviar production room of Byni’s farm and caviar production facility. Gathered in the room</w:t>
      </w:r>
      <w:r w:rsidR="001E07AB">
        <w:t xml:space="preserve"> were Byni, owner of the farm; Zaharia</w:t>
      </w:r>
      <w:r>
        <w:t xml:space="preserve"> - a sturgeon specialist from the Danube Delta National Institute for research and development who had accompanied me to the facility; a</w:t>
      </w:r>
      <w:r w:rsidR="001E07AB">
        <w:t xml:space="preserve">nd myself. Byni explained </w:t>
      </w:r>
      <w:r>
        <w:t>the measures that are taken by the staff to ensure that the farm is extremely secure: stressing that it was very important for her to be assured that the farm was always secure, particularly as she spent a lot of time in Bucharest which is over 200km away from the farm. Byni produced a tablet device, opening an application that brought a 3x4 grid of moving ima</w:t>
      </w:r>
      <w:r w:rsidR="001E07AB">
        <w:t>ges to life on screen. I</w:t>
      </w:r>
      <w:r>
        <w:t xml:space="preserve"> realised that these were CCTV footage streams from locations across the farm complex and outbuildings. I spotted myself on one of the screens and scanned the room for a camera, finally identifying a small camera l</w:t>
      </w:r>
      <w:r w:rsidR="001E07AB">
        <w:t>ens set into the wall in the</w:t>
      </w:r>
      <w:r>
        <w:t xml:space="preserve"> corner of the room. In another image I could see the security guards (who maintained a presence at the farm for 24 hours a day) stationed outside the farm buildings; a stream of footage located at t</w:t>
      </w:r>
      <w:r w:rsidR="001E07AB">
        <w:t xml:space="preserve">he turn-off from the main road, </w:t>
      </w:r>
      <w:r>
        <w:t>leading onto a dirt track to the farm; and the other rectangles of footage focused on the collection of indoor and outdoor sturgeon ponds that housed sturgeon at a variety of life stages. Byni swiped across and brought another 12 squares of footage to life on the screen, explaining that these images were being streamed from CCTV cameras installed at the company’s other sturgeon faci</w:t>
      </w:r>
      <w:r w:rsidR="001E07AB">
        <w:t>lity - located hundreds of kilometres</w:t>
      </w:r>
      <w:r>
        <w:t xml:space="preserve"> away. She angrily remarked that she could see that the lights weren’t turned on in one of the outbuildings at the other farm, which housed some pools of sturgeon, and she immediately made a phone call. Within 30 seconds we saw the lights being turned on, and the pools of sturgeon were il</w:t>
      </w:r>
      <w:r w:rsidR="00C22950">
        <w:t xml:space="preserve">luminated on the tablet screen. </w:t>
      </w:r>
      <w:r>
        <w:t>Byni explained that the surveillance cameras are a vital part of the infrastructure of her sturgeon farms and production facilities, enabling her to manage the farms – and staff – from a distance, and keep track of any visits made to the farm.</w:t>
      </w:r>
    </w:p>
    <w:p w14:paraId="4AF9B15F" w14:textId="15ECEF5E" w:rsidR="00967716" w:rsidRDefault="00967716" w:rsidP="00967716">
      <w:pPr>
        <w:rPr>
          <w:rFonts w:cs="Times New Roman"/>
          <w:sz w:val="22"/>
        </w:rPr>
      </w:pPr>
      <w:r>
        <w:rPr>
          <w:rFonts w:cs="Times New Roman"/>
          <w:sz w:val="22"/>
        </w:rPr>
        <w:tab/>
        <w:t>The use of surveillance cameras in the manner described by Byni was a feature common to all of the caviar production facilities and sturgeon farms that</w:t>
      </w:r>
      <w:r w:rsidR="001E07AB">
        <w:rPr>
          <w:rFonts w:cs="Times New Roman"/>
          <w:sz w:val="22"/>
        </w:rPr>
        <w:t xml:space="preserve"> I visited. Many farms also had</w:t>
      </w:r>
      <w:r>
        <w:rPr>
          <w:rFonts w:cs="Times New Roman"/>
          <w:sz w:val="22"/>
        </w:rPr>
        <w:t xml:space="preserve"> complex alarm systems, going to great lengths to ensure that their sturgeon and caviar were kept securely, and a minority had a tea</w:t>
      </w:r>
      <w:r w:rsidR="001E07AB">
        <w:rPr>
          <w:rFonts w:cs="Times New Roman"/>
          <w:sz w:val="22"/>
        </w:rPr>
        <w:t>m of security guards undertaking surveillance of</w:t>
      </w:r>
      <w:r>
        <w:rPr>
          <w:rFonts w:cs="Times New Roman"/>
          <w:sz w:val="22"/>
        </w:rPr>
        <w:t xml:space="preserve"> the premises 24 hours a day. Caviar producer Ethan explained that after the theft of the sturgeon and other examples of interference, he had increasingly come to </w:t>
      </w:r>
      <w:r w:rsidR="00C22950">
        <w:rPr>
          <w:rFonts w:cs="Times New Roman"/>
          <w:sz w:val="22"/>
        </w:rPr>
        <w:t xml:space="preserve">worry that </w:t>
      </w:r>
      <w:r>
        <w:rPr>
          <w:rFonts w:cs="Times New Roman"/>
          <w:sz w:val="22"/>
        </w:rPr>
        <w:t xml:space="preserve">criminals may locate and tamper with the water </w:t>
      </w:r>
      <w:r>
        <w:rPr>
          <w:rFonts w:cs="Times New Roman"/>
          <w:sz w:val="22"/>
        </w:rPr>
        <w:lastRenderedPageBreak/>
        <w:t xml:space="preserve">source for their farm. He outlined that they had originally intended to pump water from a nearby stream directly into the sturgeon pools, and that they had the infrastructure to do so. However after their experiences: </w:t>
      </w:r>
    </w:p>
    <w:p w14:paraId="6816697E" w14:textId="66EEE910" w:rsidR="00967716" w:rsidRDefault="00C22950" w:rsidP="00967716">
      <w:pPr>
        <w:pStyle w:val="Quote"/>
      </w:pPr>
      <w:r>
        <w:t>W</w:t>
      </w:r>
      <w:r w:rsidR="00967716" w:rsidRPr="004A007B">
        <w:t>e just couldn’t us</w:t>
      </w:r>
      <w:r w:rsidR="00967716">
        <w:t>e</w:t>
      </w:r>
      <w:r w:rsidR="00967716" w:rsidRPr="004A007B">
        <w:t xml:space="preserve"> it. Because if X</w:t>
      </w:r>
      <w:r w:rsidR="00967716" w:rsidRPr="005B292F">
        <w:rPr>
          <w:rStyle w:val="FootnoteReference"/>
        </w:rPr>
        <w:footnoteReference w:id="181"/>
      </w:r>
      <w:r w:rsidR="00967716" w:rsidRPr="004A007B">
        <w:t xml:space="preserve"> put a tin of paraffin or something into it [the stream], well you can imagine… If they find out where we are, you know they could put cyanide in the water. They could do anything! So we don’t use the stream. So we’re using tap water</w:t>
      </w:r>
      <w:r w:rsidR="00967716">
        <w:t>,</w:t>
      </w:r>
      <w:r w:rsidR="00967716" w:rsidRPr="004A007B">
        <w:t xml:space="preserve"> which we then dechlorinate and put it through a deionizer, and we are basically making our own water backwards. It seems stupid… but it was the only way we could feel safe. So anyway, we agreed with the landlord that we could have a borehole, so now we’ve got a borehole. So the borehole will be padlocked… just so the borehole stays safe</w:t>
      </w:r>
      <w:r w:rsidR="00967716" w:rsidRPr="005B292F">
        <w:rPr>
          <w:rStyle w:val="FootnoteReference"/>
        </w:rPr>
        <w:footnoteReference w:id="182"/>
      </w:r>
      <w:r w:rsidR="00967716" w:rsidRPr="004A007B">
        <w:t xml:space="preserve">. </w:t>
      </w:r>
    </w:p>
    <w:p w14:paraId="3ED9FAC3" w14:textId="60E026ED" w:rsidR="00967716" w:rsidRDefault="00967716" w:rsidP="00967716">
      <w:pPr>
        <w:rPr>
          <w:rFonts w:cs="Times New Roman"/>
          <w:sz w:val="22"/>
        </w:rPr>
      </w:pPr>
      <w:r>
        <w:rPr>
          <w:rFonts w:cs="Times New Roman"/>
          <w:sz w:val="22"/>
        </w:rPr>
        <w:t>When asking Ethan why their company went to such lengths to undertake a ‘respatialization of security’ (Johnson, 2015) into the physical infrastructures of the far</w:t>
      </w:r>
      <w:r w:rsidR="00C22950">
        <w:rPr>
          <w:rFonts w:cs="Times New Roman"/>
          <w:sz w:val="22"/>
        </w:rPr>
        <w:t>m, he simply replied “</w:t>
      </w:r>
      <w:r>
        <w:rPr>
          <w:rFonts w:cs="Times New Roman"/>
          <w:sz w:val="22"/>
        </w:rPr>
        <w:t>it’s all about the sturgeon</w:t>
      </w:r>
      <w:r w:rsidR="00C22950">
        <w:rPr>
          <w:rFonts w:cs="Times New Roman"/>
          <w:sz w:val="22"/>
        </w:rPr>
        <w:t>”</w:t>
      </w:r>
      <w:r w:rsidRPr="005B292F">
        <w:rPr>
          <w:rStyle w:val="FootnoteReference"/>
        </w:rPr>
        <w:footnoteReference w:id="183"/>
      </w:r>
      <w:r w:rsidR="001E07AB">
        <w:rPr>
          <w:rFonts w:cs="Times New Roman"/>
          <w:sz w:val="22"/>
        </w:rPr>
        <w:t>. This in turn reinforced</w:t>
      </w:r>
      <w:r>
        <w:rPr>
          <w:rFonts w:cs="Times New Roman"/>
          <w:sz w:val="22"/>
        </w:rPr>
        <w:t xml:space="preserve"> the narrative that farmed caviar production is a sturgeon conservation tool, and should be securitized in response to the shifting modalities of organised crime. </w:t>
      </w:r>
    </w:p>
    <w:p w14:paraId="05DB2CFD" w14:textId="12CFA301" w:rsidR="00967716" w:rsidRDefault="00967716" w:rsidP="003C0EFA">
      <w:pPr>
        <w:rPr>
          <w:rFonts w:eastAsia="Times New Roman" w:cs="Times New Roman"/>
          <w:color w:val="000000"/>
          <w:sz w:val="22"/>
        </w:rPr>
      </w:pPr>
      <w:r>
        <w:rPr>
          <w:rFonts w:cs="Times New Roman"/>
          <w:sz w:val="22"/>
        </w:rPr>
        <w:tab/>
        <w:t>However, whilst the securitization of the physical infrastructures of farmed caviar production may be justified under the ‘green pretext’ (Ojeda, 2012) of conservation and destabilising related organised crime, it also serves other productive means for caviar producers. By ensuring that organised criminals are ‘locked-out’ of the caviar facilities, this effectively means that o</w:t>
      </w:r>
      <w:r w:rsidR="002D5197">
        <w:rPr>
          <w:rFonts w:cs="Times New Roman"/>
          <w:sz w:val="22"/>
        </w:rPr>
        <w:t>ther actors are also locked-out;</w:t>
      </w:r>
      <w:r>
        <w:rPr>
          <w:rFonts w:cs="Times New Roman"/>
          <w:sz w:val="22"/>
        </w:rPr>
        <w:t xml:space="preserve"> and farmed caviar production is further shielded from political oversight. This m</w:t>
      </w:r>
      <w:r w:rsidR="002D5197">
        <w:rPr>
          <w:rFonts w:cs="Times New Roman"/>
          <w:sz w:val="22"/>
        </w:rPr>
        <w:t>aintains the status quo whereby “t</w:t>
      </w:r>
      <w:r>
        <w:rPr>
          <w:rFonts w:cs="Times New Roman"/>
          <w:sz w:val="22"/>
        </w:rPr>
        <w:t>here’s no control of the breeding stations</w:t>
      </w:r>
      <w:r w:rsidR="002D5197">
        <w:rPr>
          <w:rFonts w:cs="Times New Roman"/>
          <w:sz w:val="22"/>
        </w:rPr>
        <w:t>”</w:t>
      </w:r>
      <w:r w:rsidRPr="005B292F">
        <w:rPr>
          <w:rStyle w:val="FootnoteReference"/>
        </w:rPr>
        <w:footnoteReference w:id="184"/>
      </w:r>
      <w:r>
        <w:rPr>
          <w:rFonts w:cs="Times New Roman"/>
          <w:sz w:val="22"/>
        </w:rPr>
        <w:t>, and so there is limited understanding of what takes place at the facilities. On the one hand, this could shield illicit activiti</w:t>
      </w:r>
      <w:r w:rsidR="002D5197">
        <w:rPr>
          <w:rFonts w:cs="Times New Roman"/>
          <w:sz w:val="22"/>
        </w:rPr>
        <w:t xml:space="preserve">es such as laundering of </w:t>
      </w:r>
      <w:r w:rsidR="001E07AB">
        <w:rPr>
          <w:rFonts w:cs="Times New Roman"/>
          <w:sz w:val="22"/>
        </w:rPr>
        <w:t>caviar discussed in the previous chapter</w:t>
      </w:r>
      <w:r w:rsidR="002D5197">
        <w:rPr>
          <w:rFonts w:cs="Times New Roman"/>
          <w:sz w:val="22"/>
        </w:rPr>
        <w:t>.</w:t>
      </w:r>
      <w:r>
        <w:rPr>
          <w:rFonts w:cs="Times New Roman"/>
          <w:sz w:val="22"/>
        </w:rPr>
        <w:t xml:space="preserve"> On the other hand, securitizing the physical infrastructure of these facilities effectively locks out competitor companies. This enables caviar producers to engage in and experiment with intensified practices of caviar production that are taken under the guise of sturgeon conservation, but are simultaneously driven by an aspiration to remain at the cutting edge of a notoriously competitive industry. This points to the fact that </w:t>
      </w:r>
      <w:r w:rsidRPr="00D3423F">
        <w:rPr>
          <w:rFonts w:eastAsia="Times New Roman" w:cs="Times New Roman"/>
          <w:color w:val="000000"/>
          <w:sz w:val="22"/>
        </w:rPr>
        <w:t>farmed</w:t>
      </w:r>
      <w:r w:rsidR="002D5197">
        <w:rPr>
          <w:rFonts w:eastAsia="Times New Roman" w:cs="Times New Roman"/>
          <w:color w:val="000000"/>
          <w:sz w:val="22"/>
        </w:rPr>
        <w:t xml:space="preserve"> caviar production represents “t</w:t>
      </w:r>
      <w:r w:rsidRPr="00D3423F">
        <w:rPr>
          <w:rFonts w:eastAsia="Times New Roman" w:cs="Times New Roman"/>
          <w:color w:val="000000"/>
          <w:sz w:val="22"/>
        </w:rPr>
        <w:t>he meeting of security,</w:t>
      </w:r>
      <w:r w:rsidR="002D5197">
        <w:rPr>
          <w:rFonts w:eastAsia="Times New Roman" w:cs="Times New Roman"/>
          <w:color w:val="000000"/>
          <w:sz w:val="22"/>
        </w:rPr>
        <w:t xml:space="preserve"> conservation, and accumulation”</w:t>
      </w:r>
      <w:r w:rsidRPr="00D3423F">
        <w:rPr>
          <w:rFonts w:eastAsia="Times New Roman" w:cs="Times New Roman"/>
          <w:color w:val="000000"/>
          <w:sz w:val="22"/>
        </w:rPr>
        <w:t xml:space="preserve"> (Massé and Lunstrum, 2016: 235</w:t>
      </w:r>
      <w:r w:rsidR="008A2BCF">
        <w:rPr>
          <w:rFonts w:eastAsia="Times New Roman" w:cs="Times New Roman"/>
          <w:color w:val="000000"/>
          <w:sz w:val="22"/>
        </w:rPr>
        <w:t>)</w:t>
      </w:r>
      <w:r>
        <w:rPr>
          <w:rFonts w:eastAsia="Times New Roman" w:cs="Times New Roman"/>
          <w:color w:val="000000"/>
          <w:sz w:val="22"/>
        </w:rPr>
        <w:t xml:space="preserve">. As such, I argue that the securitization of the physical infrastructures of farmed caviar production has laid the groundwork for a </w:t>
      </w:r>
      <w:r w:rsidR="008A2BCF">
        <w:rPr>
          <w:rFonts w:eastAsia="Times New Roman" w:cs="Times New Roman"/>
          <w:color w:val="000000"/>
          <w:sz w:val="22"/>
        </w:rPr>
        <w:t xml:space="preserve">discursive </w:t>
      </w:r>
      <w:r>
        <w:rPr>
          <w:rFonts w:eastAsia="Times New Roman" w:cs="Times New Roman"/>
          <w:color w:val="000000"/>
          <w:sz w:val="22"/>
        </w:rPr>
        <w:t xml:space="preserve">securitization of the practices of farmed caviar production, and created new opportunities for capital accumulation in the process. Thus, in the following section I examine the securitized practices of farmed caviar production, and situate them in the conservation-security-accumulation nexus. </w:t>
      </w:r>
    </w:p>
    <w:p w14:paraId="42AD1F27" w14:textId="77777777" w:rsidR="001E07AB" w:rsidRPr="003C0EFA" w:rsidRDefault="001E07AB" w:rsidP="003C0EFA">
      <w:pPr>
        <w:rPr>
          <w:rFonts w:eastAsia="Times New Roman" w:cs="Times New Roman"/>
          <w:sz w:val="20"/>
          <w:szCs w:val="20"/>
        </w:rPr>
      </w:pPr>
    </w:p>
    <w:p w14:paraId="44599D6F" w14:textId="77777777" w:rsidR="00967716" w:rsidRPr="00553621" w:rsidRDefault="00967716" w:rsidP="00967716">
      <w:pPr>
        <w:pStyle w:val="Heading3"/>
      </w:pPr>
      <w:bookmarkStart w:id="82" w:name="_Toc453224239"/>
      <w:r w:rsidRPr="00553621">
        <w:lastRenderedPageBreak/>
        <w:t>6.2.2. Securitized production practices</w:t>
      </w:r>
      <w:bookmarkEnd w:id="82"/>
    </w:p>
    <w:p w14:paraId="3CF975A7" w14:textId="6A9FB540" w:rsidR="00967716" w:rsidRDefault="00967716" w:rsidP="00967716">
      <w:pPr>
        <w:rPr>
          <w:rFonts w:cs="Times New Roman"/>
          <w:sz w:val="22"/>
        </w:rPr>
      </w:pPr>
      <w:r>
        <w:rPr>
          <w:rFonts w:cs="Times New Roman"/>
          <w:sz w:val="22"/>
        </w:rPr>
        <w:t>The securitization of the physical infrastructures of farmed caviar production facilities has been enabled by a policy move that positions farmed caviar production as a conservation panacea for sturgeon, whilst simultaneously overlooking a number of socio-political-economic factors that would serve to complicate this picture. The narrative underlying this policy move has obvious gaps; but nevertheless, it has paved the way for the practices of</w:t>
      </w:r>
      <w:r w:rsidR="003C0EFA">
        <w:rPr>
          <w:rFonts w:cs="Times New Roman"/>
          <w:sz w:val="22"/>
        </w:rPr>
        <w:t xml:space="preserve"> farmed caviar production to be discursively </w:t>
      </w:r>
      <w:r>
        <w:rPr>
          <w:rFonts w:cs="Times New Roman"/>
          <w:sz w:val="22"/>
        </w:rPr>
        <w:t xml:space="preserve">securitized alongside the physical infrastructures of the production facilities. </w:t>
      </w:r>
      <w:r w:rsidR="003C0EFA">
        <w:rPr>
          <w:rFonts w:cs="Times New Roman"/>
          <w:sz w:val="22"/>
        </w:rPr>
        <w:t xml:space="preserve">Analysing the discursive securitization of caviar production practices reveals how efforts to intensify caviar production and increase caviar yields, is increasingly framed as a way of reducing the ecological insecurity of critically endangered wild sturgeon populations. </w:t>
      </w:r>
      <w:r>
        <w:rPr>
          <w:rFonts w:cs="Times New Roman"/>
          <w:sz w:val="22"/>
        </w:rPr>
        <w:t>To this extent, these practices</w:t>
      </w:r>
      <w:r w:rsidR="003C0EFA">
        <w:rPr>
          <w:rFonts w:cs="Times New Roman"/>
          <w:sz w:val="22"/>
        </w:rPr>
        <w:t xml:space="preserve"> ostensibly</w:t>
      </w:r>
      <w:r>
        <w:rPr>
          <w:rFonts w:cs="Times New Roman"/>
          <w:sz w:val="22"/>
        </w:rPr>
        <w:t xml:space="preserve"> constitute a process of ‘eco-securitization’ </w:t>
      </w:r>
      <w:r>
        <w:rPr>
          <w:rFonts w:cs="Times New Roman"/>
          <w:sz w:val="22"/>
        </w:rPr>
        <w:fldChar w:fldCharType="begin" w:fldLock="1"/>
      </w:r>
      <w:r w:rsidR="00967992">
        <w:rPr>
          <w:rFonts w:cs="Times New Roman"/>
          <w:sz w:val="22"/>
        </w:rPr>
        <w:instrText>ADDIN CSL_CITATION {"citationItems":[{"id":"ITEM-1","itemData":{"DOI":"10.4324/9781315672731-10","author":[{"dropping-particle":"","family":"Johnson","given":"ELIZABETH R.","non-dropping-particle":"","parse-names":false,"suffix":""}],"id":"ITEM-1","issued":{"date-parts":[["2015","12","22"]]},"page":"79-98","publisher":"Routledge","title":"Governing Jellyfish: Eco-Security and Planetary “Life” in the Anthropocene","type":"article-journal"},"uris":["http://www.mendeley.com/documents/?uuid=c5033973-8724-3c1b-a1be-2bbabba4b553"]}],"mendeley":{"formattedCitation":"(ELIZABETH R. Johnson, 2015)","manualFormatting":"(Johnson, 2015)","plainTextFormattedCitation":"(ELIZABETH R. Johnson, 2015)","previouslyFormattedCitation":"(ELIZABETH R. Johnson, 2015)"},"properties":{"noteIndex":0},"schema":"https://github.com/citation-style-language/schema/raw/master/csl-citation.json"}</w:instrText>
      </w:r>
      <w:r>
        <w:rPr>
          <w:rFonts w:cs="Times New Roman"/>
          <w:sz w:val="22"/>
        </w:rPr>
        <w:fldChar w:fldCharType="separate"/>
      </w:r>
      <w:r w:rsidR="003C0EFA">
        <w:rPr>
          <w:rFonts w:cs="Times New Roman"/>
          <w:noProof/>
          <w:sz w:val="22"/>
        </w:rPr>
        <w:t>(</w:t>
      </w:r>
      <w:r w:rsidR="00611A99" w:rsidRPr="00611A99">
        <w:rPr>
          <w:rFonts w:cs="Times New Roman"/>
          <w:noProof/>
          <w:sz w:val="22"/>
        </w:rPr>
        <w:t>Johnson, 2015)</w:t>
      </w:r>
      <w:r>
        <w:rPr>
          <w:rFonts w:cs="Times New Roman"/>
          <w:sz w:val="22"/>
        </w:rPr>
        <w:fldChar w:fldCharType="end"/>
      </w:r>
      <w:r>
        <w:rPr>
          <w:rFonts w:cs="Times New Roman"/>
          <w:sz w:val="22"/>
        </w:rPr>
        <w:t xml:space="preserve">, which intervenes at the bodily level of farmed sturgeon in an attempt to intensify farmed caviar production as a supply-side conservation method. </w:t>
      </w:r>
    </w:p>
    <w:p w14:paraId="147EAB30" w14:textId="43102FE0" w:rsidR="00D37AC6" w:rsidRDefault="003C0EFA" w:rsidP="00D37AC6">
      <w:pPr>
        <w:ind w:firstLine="720"/>
        <w:rPr>
          <w:rFonts w:cs="Times New Roman"/>
          <w:sz w:val="22"/>
        </w:rPr>
      </w:pPr>
      <w:r>
        <w:rPr>
          <w:rFonts w:cs="Times New Roman"/>
          <w:sz w:val="22"/>
        </w:rPr>
        <w:t>M</w:t>
      </w:r>
      <w:r w:rsidR="00967716">
        <w:rPr>
          <w:rFonts w:cs="Times New Roman"/>
          <w:sz w:val="22"/>
        </w:rPr>
        <w:t xml:space="preserve">y analysis demonstrates that </w:t>
      </w:r>
      <w:r w:rsidR="00725896">
        <w:rPr>
          <w:rFonts w:cs="Times New Roman"/>
          <w:sz w:val="22"/>
        </w:rPr>
        <w:t xml:space="preserve">EU caviar producers are engaging in a number of techno-mediated interventions that </w:t>
      </w:r>
      <w:r w:rsidR="00276962">
        <w:rPr>
          <w:rFonts w:cs="Times New Roman"/>
          <w:sz w:val="22"/>
        </w:rPr>
        <w:t xml:space="preserve">appear to </w:t>
      </w:r>
      <w:r w:rsidR="00725896">
        <w:rPr>
          <w:rFonts w:cs="Times New Roman"/>
          <w:sz w:val="22"/>
        </w:rPr>
        <w:t xml:space="preserve">“change the spatial dynamics of security practices by operating them on and through knowledge of nonhuman life cycles” </w:t>
      </w:r>
      <w:r w:rsidR="00967716">
        <w:rPr>
          <w:rFonts w:cs="Times New Roman"/>
          <w:sz w:val="22"/>
        </w:rPr>
        <w:t xml:space="preserve">(Johnson, 2015: 68). </w:t>
      </w:r>
      <w:r w:rsidR="00276962">
        <w:rPr>
          <w:rFonts w:cs="Times New Roman"/>
          <w:sz w:val="22"/>
        </w:rPr>
        <w:t>In other words, the integration</w:t>
      </w:r>
      <w:r w:rsidR="00725896">
        <w:rPr>
          <w:rFonts w:cs="Times New Roman"/>
          <w:sz w:val="22"/>
        </w:rPr>
        <w:t xml:space="preserve"> of</w:t>
      </w:r>
      <w:r w:rsidR="00291FD4">
        <w:rPr>
          <w:rFonts w:cs="Times New Roman"/>
          <w:sz w:val="22"/>
        </w:rPr>
        <w:t xml:space="preserve"> conservation-security </w:t>
      </w:r>
      <w:r w:rsidR="00725896">
        <w:rPr>
          <w:rFonts w:cs="Times New Roman"/>
          <w:sz w:val="22"/>
        </w:rPr>
        <w:t xml:space="preserve">narratives </w:t>
      </w:r>
      <w:r w:rsidR="00A4382A">
        <w:rPr>
          <w:rFonts w:cs="Times New Roman"/>
          <w:sz w:val="22"/>
        </w:rPr>
        <w:t>into</w:t>
      </w:r>
      <w:r w:rsidR="00D37AC6">
        <w:rPr>
          <w:rFonts w:cs="Times New Roman"/>
          <w:sz w:val="22"/>
        </w:rPr>
        <w:t xml:space="preserve"> caviar production</w:t>
      </w:r>
      <w:r w:rsidR="00276962">
        <w:rPr>
          <w:rFonts w:cs="Times New Roman"/>
          <w:sz w:val="22"/>
        </w:rPr>
        <w:t xml:space="preserve"> seemingly operates on the assumption that “</w:t>
      </w:r>
      <w:r w:rsidR="00967716">
        <w:rPr>
          <w:rFonts w:cs="Times New Roman"/>
          <w:sz w:val="22"/>
        </w:rPr>
        <w:t>l</w:t>
      </w:r>
      <w:r w:rsidR="00276962">
        <w:rPr>
          <w:rFonts w:cs="Times New Roman"/>
          <w:sz w:val="22"/>
        </w:rPr>
        <w:t>ife can be accordingly secured ‘out there’</w:t>
      </w:r>
      <w:r w:rsidR="00967716">
        <w:rPr>
          <w:rFonts w:cs="Times New Roman"/>
          <w:sz w:val="22"/>
        </w:rPr>
        <w:t xml:space="preserve"> throu</w:t>
      </w:r>
      <w:r w:rsidR="00276962">
        <w:rPr>
          <w:rFonts w:cs="Times New Roman"/>
          <w:sz w:val="22"/>
        </w:rPr>
        <w:t>gh the management of other life” (ibid: 72). W</w:t>
      </w:r>
      <w:r w:rsidR="00967716">
        <w:rPr>
          <w:rFonts w:cs="Times New Roman"/>
          <w:sz w:val="22"/>
        </w:rPr>
        <w:t>hich in this context</w:t>
      </w:r>
      <w:r w:rsidR="00276962">
        <w:rPr>
          <w:rFonts w:cs="Times New Roman"/>
          <w:sz w:val="22"/>
        </w:rPr>
        <w:t>,</w:t>
      </w:r>
      <w:r w:rsidR="00967716">
        <w:rPr>
          <w:rFonts w:cs="Times New Roman"/>
          <w:sz w:val="22"/>
        </w:rPr>
        <w:t xml:space="preserve"> refers to </w:t>
      </w:r>
      <w:r w:rsidR="00276962">
        <w:rPr>
          <w:rFonts w:cs="Times New Roman"/>
          <w:sz w:val="22"/>
        </w:rPr>
        <w:t xml:space="preserve">the notion of </w:t>
      </w:r>
      <w:r w:rsidR="00967716">
        <w:rPr>
          <w:rFonts w:cs="Times New Roman"/>
          <w:sz w:val="22"/>
        </w:rPr>
        <w:t xml:space="preserve">wild sturgeon being secured through the management of the life cycles of farmed sturgeon. </w:t>
      </w:r>
      <w:r w:rsidR="00D37AC6">
        <w:rPr>
          <w:rFonts w:cs="Times New Roman"/>
          <w:sz w:val="22"/>
        </w:rPr>
        <w:t xml:space="preserve">To this extent, </w:t>
      </w:r>
      <w:r w:rsidR="00967716">
        <w:rPr>
          <w:rFonts w:cs="Times New Roman"/>
          <w:sz w:val="22"/>
        </w:rPr>
        <w:t>I argue that through the</w:t>
      </w:r>
      <w:r w:rsidR="00276962">
        <w:rPr>
          <w:rFonts w:cs="Times New Roman"/>
          <w:sz w:val="22"/>
        </w:rPr>
        <w:t xml:space="preserve"> discursive</w:t>
      </w:r>
      <w:r w:rsidR="00967716">
        <w:rPr>
          <w:rFonts w:cs="Times New Roman"/>
          <w:sz w:val="22"/>
        </w:rPr>
        <w:t xml:space="preserve"> securitization of farmed caviar production, captive sturgeon are refigured as more-than-human security actors. </w:t>
      </w:r>
    </w:p>
    <w:p w14:paraId="492368B3" w14:textId="5A7A179E" w:rsidR="00967716" w:rsidRDefault="00967716" w:rsidP="00D37AC6">
      <w:pPr>
        <w:ind w:firstLine="720"/>
        <w:rPr>
          <w:rFonts w:cs="Times New Roman"/>
          <w:sz w:val="22"/>
        </w:rPr>
      </w:pPr>
      <w:r>
        <w:rPr>
          <w:rFonts w:cs="Times New Roman"/>
          <w:sz w:val="22"/>
        </w:rPr>
        <w:t xml:space="preserve">Moreover, in analysing how the life cycles of farmed sturgeon are managed through </w:t>
      </w:r>
      <w:r w:rsidR="00276962">
        <w:rPr>
          <w:rFonts w:cs="Times New Roman"/>
          <w:sz w:val="22"/>
        </w:rPr>
        <w:t xml:space="preserve">practices that are infused with security discourses, I begin to </w:t>
      </w:r>
      <w:r>
        <w:rPr>
          <w:rFonts w:cs="Times New Roman"/>
          <w:sz w:val="22"/>
        </w:rPr>
        <w:t xml:space="preserve">disentangle the conservation-security-accumulation nexus that is at work in farmed caviar production. I subsequently argue that the intensified practices of farmed caviar production foreground conservation as a ‘green pretext’ </w:t>
      </w:r>
      <w:r>
        <w:rPr>
          <w:rFonts w:cs="Times New Roman"/>
          <w:sz w:val="22"/>
        </w:rPr>
        <w:fldChar w:fldCharType="begin" w:fldLock="1"/>
      </w:r>
      <w:r>
        <w:rPr>
          <w:rFonts w:cs="Times New Roman"/>
          <w:sz w:val="22"/>
        </w:rPr>
        <w:instrText>ADDIN CSL_CITATION {"citationItems":[{"id":"ITEM-1","itemData":{"DOI":"10.1080/03066150.2012.658777","ISSN":"03066150","abstract":"While conflict-related dynamics are recognized as causes of land grabbing in Colombia, violent processes of exclusion and expropriation behind 'greener' projects are often seen as disconnected from them. The case of ecotourism in Tayrona National Natural Park makes it possible to explore the geographies of violence that sustain tourism in the area and their role in shaping everyday resource politics. This paper shows how green pretexts of paradisiacal spots in need of protection have contributed to privatization and dispossession. Furthermore, it details how land-grabbing dynamics have been enabled by processes of sociospatial demarcation that produce not-green-enough subjects as bodies-out-of-place. © 2012 Copyright Taylor and Francis Group, LLC.","author":[{"dropping-particle":"","family":"Ojeda","given":"Diana","non-dropping-particle":"","parse-names":false,"suffix":""}],"container-title":"Journal of Peasant Studies","id":"ITEM-1","issue":"2","issued":{"date-parts":[["2012"]]},"page":"357-375","title":"Green pretexts: Ecotourism, neoliberal conservation and land grabbing in Tayrona National Natural Park, Colombia","type":"article-journal","volume":"39"},"uris":["http://www.mendeley.com/documents/?uuid=ac841b65-b0fa-4085-8bce-3c2bdc1b4fb8"]}],"mendeley":{"formattedCitation":"(Ojeda, 2012)","plainTextFormattedCitation":"(Ojeda, 2012)","previouslyFormattedCitation":"(Ojeda, 2012)"},"properties":{"noteIndex":0},"schema":"https://github.com/citation-style-language/schema/raw/master/csl-citation.json"}</w:instrText>
      </w:r>
      <w:r>
        <w:rPr>
          <w:rFonts w:cs="Times New Roman"/>
          <w:sz w:val="22"/>
        </w:rPr>
        <w:fldChar w:fldCharType="separate"/>
      </w:r>
      <w:r w:rsidRPr="00B323EC">
        <w:rPr>
          <w:rFonts w:cs="Times New Roman"/>
          <w:noProof/>
          <w:sz w:val="22"/>
        </w:rPr>
        <w:t>(Ojeda, 2012)</w:t>
      </w:r>
      <w:r>
        <w:rPr>
          <w:rFonts w:cs="Times New Roman"/>
          <w:sz w:val="22"/>
        </w:rPr>
        <w:fldChar w:fldCharType="end"/>
      </w:r>
      <w:r>
        <w:rPr>
          <w:rFonts w:cs="Times New Roman"/>
          <w:sz w:val="22"/>
        </w:rPr>
        <w:t xml:space="preserve"> for securitization, even though producers typically provide no tangible evidence of conservation impact deriving from their operations. Rather, the conservation narrative is deployed in ways that mask that the primary implication of the securitization of farmed caviar production </w:t>
      </w:r>
      <w:r w:rsidR="00276962">
        <w:rPr>
          <w:rFonts w:cs="Times New Roman"/>
          <w:sz w:val="22"/>
        </w:rPr>
        <w:t>has b</w:t>
      </w:r>
      <w:r>
        <w:rPr>
          <w:rFonts w:cs="Times New Roman"/>
          <w:sz w:val="22"/>
        </w:rPr>
        <w:t xml:space="preserve">een the creation of opportunities for intensified accumulation of capital, rather than a significant conservation impact. </w:t>
      </w:r>
    </w:p>
    <w:p w14:paraId="6E747D7B" w14:textId="18E8F7AB" w:rsidR="00967716" w:rsidRDefault="00967716" w:rsidP="001D70E6">
      <w:pPr>
        <w:ind w:firstLine="720"/>
        <w:rPr>
          <w:rFonts w:cs="Times New Roman"/>
          <w:sz w:val="22"/>
        </w:rPr>
      </w:pPr>
      <w:r>
        <w:rPr>
          <w:rFonts w:cs="Times New Roman"/>
          <w:sz w:val="22"/>
        </w:rPr>
        <w:t xml:space="preserve">Caviar producers explained that they increasingly attend to the biology, physiology, and behaviours of their captive sturgeon in order to ascertain how to most effectively target farming interventions so as to achieve greater caviar yields in shorter timescales. For example, caviar producer Oliya explained how their company had taken specific farming interventions and managed to produce </w:t>
      </w:r>
      <w:r>
        <w:rPr>
          <w:rFonts w:cs="Times New Roman"/>
          <w:sz w:val="22"/>
        </w:rPr>
        <w:lastRenderedPageBreak/>
        <w:t xml:space="preserve">caviar from beluga sturgeon in a significantly shorter timeframe than beluga sturgeon naturally produce caviar in the wild. She explained that: </w:t>
      </w:r>
    </w:p>
    <w:p w14:paraId="1ACFC6AF" w14:textId="00FA3165" w:rsidR="00967716" w:rsidRPr="001D70E6" w:rsidRDefault="00967716" w:rsidP="001D70E6">
      <w:pPr>
        <w:pStyle w:val="Quote"/>
      </w:pPr>
      <w:r w:rsidRPr="00AA15B4">
        <w:t xml:space="preserve">In the Caspian Sea beluga become mature between 20 and 22 years old. So here, now we can get maturity between 10 and 14 years old. So it’s </w:t>
      </w:r>
      <w:r>
        <w:t xml:space="preserve">much </w:t>
      </w:r>
      <w:r w:rsidRPr="00AA15B4">
        <w:t>less… Want to know why? Because we can get the temperature of the water all the years the same. And also, we can get them the right food. It’s two things mainly. The right temperature and the right food. And also to have the right place. We have some pools, and inside of these pools are only four or five sturgeon. We provide the right place so growing up is easy!</w:t>
      </w:r>
      <w:r w:rsidRPr="005B292F">
        <w:rPr>
          <w:rStyle w:val="FootnoteReference"/>
        </w:rPr>
        <w:footnoteReference w:id="185"/>
      </w:r>
    </w:p>
    <w:p w14:paraId="3005DB20" w14:textId="77777777" w:rsidR="00967716" w:rsidRDefault="00967716" w:rsidP="00967716">
      <w:pPr>
        <w:rPr>
          <w:rFonts w:cs="Times New Roman"/>
          <w:sz w:val="22"/>
        </w:rPr>
      </w:pPr>
      <w:r>
        <w:rPr>
          <w:rFonts w:cs="Times New Roman"/>
          <w:sz w:val="22"/>
        </w:rPr>
        <w:t xml:space="preserve">To this extent, caviar producers seek to foster the reproductive capacities of sturgeon so that they reach maturity in captivity - and produce caviar- earlier than in the wild. They do so by experimenting with factors including: water temperature; lighting; water velocity and flow; sturgeon feed; and population density in pools. Making these interventions is presented as a way to reduce the resources and financial investment typically required to produce caviar. It is hypothesized that this could significantly reduce the price of farmed caviar and thereby undercut the price of poached wild caviar – a factor identified by </w:t>
      </w:r>
      <w:r>
        <w:rPr>
          <w:rFonts w:cs="Times New Roman"/>
          <w:sz w:val="22"/>
        </w:rPr>
        <w:fldChar w:fldCharType="begin" w:fldLock="1"/>
      </w:r>
      <w:r>
        <w:rPr>
          <w:rFonts w:cs="Times New Roman"/>
          <w:sz w:val="22"/>
        </w:rPr>
        <w:instrText>ADDIN CSL_CITATION {"citationItems":[{"id":"ITEM-1","itemData":{"DOI":"10.1016/j.gecco.2016.03.007","ISSN":"23519894","abstract":"Wild animals and their derivatives are traded worldwide. Consequent poaching has been a main threat to species conservation. As current interventions and law enforcement cannot circumvent the resulting extinction of species, an alternative approach must be considered. It has been suggested that commercial breeding can keep the pressure off wild populations, referred to as wildlife farming. During this review, it is argued that wildlife farming can benefit species conservation only if the following criteria are met: (i) the legal products will form a substitute, and consumers show no preference for wild-caught animals; (ii) a substantial part of the demand is met, and the demand does not increase due to the legalized market; (iii) the legal products will be more cost-efficient, in order to combat the black market prices; (iv) wildlife farming does not rely on wild populations for re-stocking; (v) laundering of illegal products into the commercial trade is absent. For most species encountered in the wildlife trade, these criteria are unlikely to be met in reality and commercial breeding has the potential to have the opposite effect to what is desired for conservation. For some species, however, none of the criteria are violated, and wildlife farming can be considered a possible conservation tool as it may help to take the pressure off wild populations. For these species, future research should focus on the impact of legal products on the market dynamics, effective law enforcement that can prevent corruption, and wildlife forensics that enable the distinction between captive-bred and wild-caught species.","author":[{"dropping-particle":"","family":"Tensen","given":"Laura","non-dropping-particle":"","parse-names":false,"suffix":""}],"container-title":"Global Ecology and Conservation","id":"ITEM-1","issued":{"date-parts":[["2016"]]},"page":"286-298","publisher":"Elsevier B.V.","title":"Under what circumstances can wildlife farming benefit species conservation?","type":"article-journal","volume":"6"},"uris":["http://www.mendeley.com/documents/?uuid=eef8ae2e-b35d-47ab-a521-63aff1935c86"]}],"mendeley":{"formattedCitation":"(Tensen, 2016)","manualFormatting":"Tensen (2016)","plainTextFormattedCitation":"(Tensen, 2016)","previouslyFormattedCitation":"(Tensen, 2016)"},"properties":{"noteIndex":0},"schema":"https://github.com/citation-style-language/schema/raw/master/csl-citation.json"}</w:instrText>
      </w:r>
      <w:r>
        <w:rPr>
          <w:rFonts w:cs="Times New Roman"/>
          <w:sz w:val="22"/>
        </w:rPr>
        <w:fldChar w:fldCharType="separate"/>
      </w:r>
      <w:r>
        <w:rPr>
          <w:rFonts w:cs="Times New Roman"/>
          <w:noProof/>
          <w:sz w:val="22"/>
        </w:rPr>
        <w:t>Tensen</w:t>
      </w:r>
      <w:r w:rsidRPr="00470C51">
        <w:rPr>
          <w:rFonts w:cs="Times New Roman"/>
          <w:noProof/>
          <w:sz w:val="22"/>
        </w:rPr>
        <w:t xml:space="preserve"> </w:t>
      </w:r>
      <w:r>
        <w:rPr>
          <w:rFonts w:cs="Times New Roman"/>
          <w:noProof/>
          <w:sz w:val="22"/>
        </w:rPr>
        <w:t>(</w:t>
      </w:r>
      <w:r w:rsidRPr="00470C51">
        <w:rPr>
          <w:rFonts w:cs="Times New Roman"/>
          <w:noProof/>
          <w:sz w:val="22"/>
        </w:rPr>
        <w:t>2016)</w:t>
      </w:r>
      <w:r>
        <w:rPr>
          <w:rFonts w:cs="Times New Roman"/>
          <w:sz w:val="22"/>
        </w:rPr>
        <w:fldChar w:fldCharType="end"/>
      </w:r>
      <w:r>
        <w:rPr>
          <w:rFonts w:cs="Times New Roman"/>
          <w:sz w:val="22"/>
        </w:rPr>
        <w:t xml:space="preserve"> as necessary for supply-side farming initiatives to have a demonstrable conservation benefit. Although as discussed previously, the likelihood of farmed caviar undercutting the price of poached caviar is unclear, and even so may not reduce demand for wild product. </w:t>
      </w:r>
    </w:p>
    <w:p w14:paraId="7B1F8CF8" w14:textId="267E3075" w:rsidR="00967716" w:rsidRPr="001D70E6" w:rsidRDefault="00967716" w:rsidP="001D70E6">
      <w:pPr>
        <w:ind w:firstLine="720"/>
        <w:rPr>
          <w:rFonts w:cs="Times New Roman"/>
          <w:sz w:val="22"/>
        </w:rPr>
      </w:pPr>
      <w:r>
        <w:rPr>
          <w:rFonts w:cs="Times New Roman"/>
          <w:sz w:val="22"/>
        </w:rPr>
        <w:t xml:space="preserve">Another option that caviar producers are experimenting with in order to intensify caviar production, is the hybridization of sturgeon species. Sturgeon farmer Ethan explained that he’d witnessed an increasing trend towards hybridization of sturgeon in the European market, inspired by the successes of Chinese experimentations in creating caviar from crossbreeding sturgeon: </w:t>
      </w:r>
    </w:p>
    <w:p w14:paraId="5215B199" w14:textId="3C722AD8" w:rsidR="001D70E6" w:rsidRPr="001D70E6" w:rsidRDefault="00967716" w:rsidP="00D37AC6">
      <w:pPr>
        <w:pStyle w:val="Quote"/>
      </w:pPr>
      <w:r w:rsidRPr="00553621">
        <w:t>So what they’ve done now is they’ve started crossbreeding. So they’ve been doing this for donkey’s years, but the Chinese are now really good at this. If you breed a Siberian (</w:t>
      </w:r>
      <w:r w:rsidRPr="00422AC3">
        <w:rPr>
          <w:i/>
        </w:rPr>
        <w:t>A.baerii</w:t>
      </w:r>
      <w:r w:rsidRPr="00553621">
        <w:t>) - which can give you eggs in six years - with a Beluga (</w:t>
      </w:r>
      <w:r w:rsidRPr="00422AC3">
        <w:rPr>
          <w:i/>
        </w:rPr>
        <w:t>Huso Huso</w:t>
      </w:r>
      <w:r w:rsidRPr="00553621">
        <w:t>) - which will gi</w:t>
      </w:r>
      <w:r w:rsidR="00422AC3">
        <w:t xml:space="preserve">ve you eggs in fifteen years - </w:t>
      </w:r>
      <w:r w:rsidRPr="00553621">
        <w:t xml:space="preserve">well if the female is </w:t>
      </w:r>
      <w:r w:rsidRPr="00422AC3">
        <w:rPr>
          <w:i/>
        </w:rPr>
        <w:t>Baerii</w:t>
      </w:r>
      <w:r w:rsidRPr="00553621">
        <w:t xml:space="preserve"> (Siberian), then there’s more chance that you will get the eggs younger. If the male is the dominant, the large fish, and the egg production bit is the female, you could get the eggs younger. So you might get eggs in seven years… And yeah, so the farms are really going hell-for-leather experimenting with these different kind of sturgeon and crossing and all this kind of thing, </w:t>
      </w:r>
      <w:r w:rsidRPr="00553621">
        <w:rPr>
          <w:b/>
        </w:rPr>
        <w:t xml:space="preserve">because they need to get the eggs as quickly as possible’ </w:t>
      </w:r>
      <w:r w:rsidRPr="00553621">
        <w:t>(emphasis added)</w:t>
      </w:r>
      <w:r w:rsidRPr="005B292F">
        <w:rPr>
          <w:rStyle w:val="FootnoteReference"/>
        </w:rPr>
        <w:footnoteReference w:id="186"/>
      </w:r>
    </w:p>
    <w:p w14:paraId="02E28481" w14:textId="77777777" w:rsidR="00D37AC6" w:rsidRDefault="00967716" w:rsidP="00967716">
      <w:pPr>
        <w:rPr>
          <w:rFonts w:cs="Times New Roman"/>
          <w:sz w:val="22"/>
        </w:rPr>
      </w:pPr>
      <w:r>
        <w:rPr>
          <w:rFonts w:cs="Times New Roman"/>
          <w:sz w:val="22"/>
        </w:rPr>
        <w:tab/>
        <w:t xml:space="preserve">Some caviar producers have also manipulated the biological conditions of sturgeon by experimenting with alternative ways of producing caviar, which are said to be more ‘sustainable’ and ‘ethical’ yet continue to promise consistent yields. For example, some production facilities are using ‘no-kill’ caviar production methods. This techno-mediated process firstly entails giving the sturgeon an ultrasound scan to check the readiness of the eggs. If the eggs are deemed ready, then a signalling protein is administered to the sturgeon in order to stimulate ovulation, before the eggs are massaged or ‘milked’ from the sturgeon a few days later. Proponents of this method of caviar production explained </w:t>
      </w:r>
      <w:r>
        <w:rPr>
          <w:rFonts w:cs="Times New Roman"/>
          <w:sz w:val="22"/>
        </w:rPr>
        <w:lastRenderedPageBreak/>
        <w:t xml:space="preserve">that caviar can be harvested again from the same fish every one to two years, and that they expect the sturgeon will be able to produce eggs for many years – although exactly how long is undetermined, as there is not a precedent for this farming method given that sturgeon are usually killed to harvest caviar. </w:t>
      </w:r>
    </w:p>
    <w:p w14:paraId="4FC8C2BA" w14:textId="1E6612C8" w:rsidR="00EE2AFA" w:rsidRDefault="00A4382A" w:rsidP="00D37AC6">
      <w:pPr>
        <w:ind w:firstLine="720"/>
        <w:rPr>
          <w:rFonts w:cs="Times New Roman"/>
          <w:sz w:val="22"/>
        </w:rPr>
      </w:pPr>
      <w:r>
        <w:rPr>
          <w:rFonts w:cs="Times New Roman"/>
          <w:sz w:val="22"/>
        </w:rPr>
        <w:t>Advocates</w:t>
      </w:r>
      <w:r w:rsidR="00967716">
        <w:rPr>
          <w:rFonts w:cs="Times New Roman"/>
          <w:sz w:val="22"/>
        </w:rPr>
        <w:t xml:space="preserve"> of the ‘no-kill</w:t>
      </w:r>
      <w:r w:rsidR="002B4668">
        <w:rPr>
          <w:rFonts w:cs="Times New Roman"/>
          <w:sz w:val="22"/>
        </w:rPr>
        <w:t>’ production method state that “</w:t>
      </w:r>
      <w:r w:rsidR="00967716">
        <w:rPr>
          <w:rFonts w:cs="Times New Roman"/>
          <w:sz w:val="22"/>
        </w:rPr>
        <w:t>conservation is at its h</w:t>
      </w:r>
      <w:r w:rsidR="002B4668">
        <w:rPr>
          <w:rFonts w:cs="Times New Roman"/>
          <w:sz w:val="22"/>
        </w:rPr>
        <w:t>eart”</w:t>
      </w:r>
      <w:r w:rsidR="00967716">
        <w:rPr>
          <w:rFonts w:cs="Times New Roman"/>
          <w:sz w:val="22"/>
        </w:rPr>
        <w:t>, and therefo</w:t>
      </w:r>
      <w:r w:rsidR="002B4668">
        <w:rPr>
          <w:rFonts w:cs="Times New Roman"/>
          <w:sz w:val="22"/>
        </w:rPr>
        <w:t>re herald the process as being “</w:t>
      </w:r>
      <w:r w:rsidR="00967716">
        <w:rPr>
          <w:rFonts w:cs="Times New Roman"/>
          <w:sz w:val="22"/>
        </w:rPr>
        <w:t>revolutionary – not just ethically but also in operational and cost terms</w:t>
      </w:r>
      <w:r w:rsidR="002B4668">
        <w:rPr>
          <w:rFonts w:cs="Times New Roman"/>
          <w:sz w:val="22"/>
        </w:rPr>
        <w:t>”</w:t>
      </w:r>
      <w:r w:rsidR="00967716" w:rsidRPr="005B292F">
        <w:rPr>
          <w:rStyle w:val="FootnoteReference"/>
        </w:rPr>
        <w:footnoteReference w:id="187"/>
      </w:r>
      <w:r w:rsidR="00967716" w:rsidRPr="00EB20BF">
        <w:rPr>
          <w:rFonts w:cs="Times New Roman"/>
          <w:sz w:val="22"/>
        </w:rPr>
        <w:t>.</w:t>
      </w:r>
      <w:r w:rsidR="00967716">
        <w:rPr>
          <w:rFonts w:cs="Times New Roman"/>
          <w:sz w:val="22"/>
        </w:rPr>
        <w:t xml:space="preserve"> The reduced operational costs mean that in theory, the ‘no-kill’ caviar can be sold at a competitive price, which again rests on the imperfect assumption that cheaper farmed caviar will displace demand for wild caviar. Furthermore, those adopting ‘no-kill’ production methods presented their operations as having a conservation strategy, in that that they have plans in place to release ‘retired’ adult fish that no longer produce caviar, into registered conservation areas in Hungary, Romania, and Bulgaria. However, this ‘conservation’ strategy is problematic for a number of reasons. Firstly, the release of non-native captive-bred sturgeon species into fragile ecosystems could have a damaging ecological impact, including out-competing native sturgeon species for food and habitat. Moreover, i</w:t>
      </w:r>
      <w:r w:rsidR="00D37AC6">
        <w:rPr>
          <w:rFonts w:cs="Times New Roman"/>
          <w:sz w:val="22"/>
        </w:rPr>
        <w:t xml:space="preserve">f the fish are ‘retired’ when </w:t>
      </w:r>
      <w:r w:rsidR="00967716">
        <w:rPr>
          <w:rFonts w:cs="Times New Roman"/>
          <w:sz w:val="22"/>
        </w:rPr>
        <w:t>they are unable to produce caviar, then they will be unable to reproduce in the wild and therefore have little conservation value. Finally, captive-bred sturgeon may be unable to survive outside the farm environment. Irrespective of these criticisms, the conservation narrative is deployed as a ‘green pretext’ (</w:t>
      </w:r>
      <w:r w:rsidR="00D37AC6">
        <w:rPr>
          <w:rFonts w:cs="Times New Roman"/>
          <w:sz w:val="22"/>
        </w:rPr>
        <w:t xml:space="preserve">Ojeda, 2012) to pursue intensified production </w:t>
      </w:r>
      <w:r>
        <w:rPr>
          <w:rFonts w:cs="Times New Roman"/>
          <w:sz w:val="22"/>
        </w:rPr>
        <w:t>methods</w:t>
      </w:r>
      <w:r w:rsidR="00EE2AFA">
        <w:rPr>
          <w:rFonts w:cs="Times New Roman"/>
          <w:sz w:val="22"/>
        </w:rPr>
        <w:t xml:space="preserve"> </w:t>
      </w:r>
      <w:r w:rsidR="00967716">
        <w:rPr>
          <w:rFonts w:cs="Times New Roman"/>
          <w:sz w:val="22"/>
        </w:rPr>
        <w:t>which manipulate the biological conditions of farmed sturgeon i</w:t>
      </w:r>
      <w:r w:rsidR="00EE2AFA">
        <w:rPr>
          <w:rFonts w:cs="Times New Roman"/>
          <w:sz w:val="22"/>
        </w:rPr>
        <w:t>n order to produce more caviar, and ostensibly increase the security of wild sturgeon.</w:t>
      </w:r>
    </w:p>
    <w:p w14:paraId="74714298" w14:textId="34FD1F39" w:rsidR="00967716" w:rsidRDefault="00967716" w:rsidP="00967716">
      <w:pPr>
        <w:rPr>
          <w:rFonts w:cs="Times New Roman"/>
          <w:sz w:val="22"/>
        </w:rPr>
      </w:pPr>
      <w:r>
        <w:rPr>
          <w:rFonts w:cs="Times New Roman"/>
          <w:sz w:val="22"/>
        </w:rPr>
        <w:tab/>
        <w:t xml:space="preserve">  Similar interventions into the environmental and biological conditions of nonhumans have been witnessed in other eco-securitization processes directed at species such as jellyfish. Johnson (2015) examines how jellyfish are variably enrolled as subjects of eco-securitization, and describes how scientists speculate about the ways in which threatening populations of jellyfish can be governed – and if necessary eliminated - by manipulating their environmental and biological conditions. In the context of this research, farmed sturgeon are presented </w:t>
      </w:r>
      <w:r w:rsidR="00525560">
        <w:rPr>
          <w:rFonts w:cs="Times New Roman"/>
          <w:sz w:val="22"/>
        </w:rPr>
        <w:t>as “</w:t>
      </w:r>
      <w:r>
        <w:rPr>
          <w:rFonts w:cs="Times New Roman"/>
          <w:sz w:val="22"/>
        </w:rPr>
        <w:t>good ec</w:t>
      </w:r>
      <w:r w:rsidR="00525560">
        <w:rPr>
          <w:rFonts w:cs="Times New Roman"/>
          <w:sz w:val="22"/>
        </w:rPr>
        <w:t>ological citizens that perform ‘services’</w:t>
      </w:r>
      <w:r>
        <w:rPr>
          <w:rFonts w:cs="Times New Roman"/>
          <w:sz w:val="22"/>
        </w:rPr>
        <w:t xml:space="preserve"> we deem conduci</w:t>
      </w:r>
      <w:r w:rsidR="00525560">
        <w:rPr>
          <w:rFonts w:cs="Times New Roman"/>
          <w:sz w:val="22"/>
        </w:rPr>
        <w:t xml:space="preserve">ve to lived environments” (Johnson, 2015: </w:t>
      </w:r>
      <w:r>
        <w:rPr>
          <w:rFonts w:cs="Times New Roman"/>
          <w:sz w:val="22"/>
        </w:rPr>
        <w:t>56); and so the practices outlined above are predicated upon effectively intensifying and optimizing the ecological ‘services’ that farmed sturgeon can carr</w:t>
      </w:r>
      <w:r w:rsidR="00525560">
        <w:rPr>
          <w:rFonts w:cs="Times New Roman"/>
          <w:sz w:val="22"/>
        </w:rPr>
        <w:t>y out. As a result of the discursive securitization of these farming</w:t>
      </w:r>
      <w:r>
        <w:rPr>
          <w:rFonts w:cs="Times New Roman"/>
          <w:sz w:val="22"/>
        </w:rPr>
        <w:t xml:space="preserve"> practices, farmed sturgeon </w:t>
      </w:r>
      <w:r w:rsidR="00525560">
        <w:rPr>
          <w:rFonts w:cs="Times New Roman"/>
          <w:sz w:val="22"/>
        </w:rPr>
        <w:t xml:space="preserve">effectively become enrolled as </w:t>
      </w:r>
      <w:r>
        <w:rPr>
          <w:rFonts w:cs="Times New Roman"/>
          <w:sz w:val="22"/>
        </w:rPr>
        <w:t>more-than-human security actor</w:t>
      </w:r>
      <w:r w:rsidR="00525560">
        <w:rPr>
          <w:rFonts w:cs="Times New Roman"/>
          <w:sz w:val="22"/>
        </w:rPr>
        <w:t>s</w:t>
      </w:r>
      <w:r>
        <w:rPr>
          <w:rFonts w:cs="Times New Roman"/>
          <w:sz w:val="22"/>
        </w:rPr>
        <w:t>. Thus</w:t>
      </w:r>
      <w:r w:rsidR="00D37AC6">
        <w:rPr>
          <w:rFonts w:cs="Times New Roman"/>
          <w:sz w:val="22"/>
        </w:rPr>
        <w:t>,</w:t>
      </w:r>
      <w:r>
        <w:rPr>
          <w:rFonts w:cs="Times New Roman"/>
          <w:sz w:val="22"/>
        </w:rPr>
        <w:t xml:space="preserve"> in a similar vein to Johnson’s (2015) suggestion that the practices of eco-securitization directed upon and through jel</w:t>
      </w:r>
      <w:r w:rsidR="00525560">
        <w:rPr>
          <w:rFonts w:cs="Times New Roman"/>
          <w:sz w:val="22"/>
        </w:rPr>
        <w:t>lyfish “</w:t>
      </w:r>
      <w:r>
        <w:rPr>
          <w:rFonts w:cs="Times New Roman"/>
          <w:sz w:val="22"/>
        </w:rPr>
        <w:t xml:space="preserve">acknowledge these seemingly otherworldly organisms as an integral and agential (if not mindful) part of the unfolding of the </w:t>
      </w:r>
      <w:r w:rsidR="00525560">
        <w:rPr>
          <w:rFonts w:cs="Times New Roman"/>
          <w:sz w:val="22"/>
        </w:rPr>
        <w:t>ecologically precarious present”</w:t>
      </w:r>
      <w:r>
        <w:rPr>
          <w:rFonts w:cs="Times New Roman"/>
          <w:sz w:val="22"/>
        </w:rPr>
        <w:t xml:space="preserve"> (ibid: 69); the </w:t>
      </w:r>
      <w:r w:rsidR="00525560">
        <w:rPr>
          <w:rFonts w:cs="Times New Roman"/>
          <w:sz w:val="22"/>
        </w:rPr>
        <w:t xml:space="preserve">discursive </w:t>
      </w:r>
      <w:r w:rsidR="00525560">
        <w:rPr>
          <w:rFonts w:cs="Times New Roman"/>
          <w:sz w:val="22"/>
        </w:rPr>
        <w:lastRenderedPageBreak/>
        <w:t xml:space="preserve">securitization of the </w:t>
      </w:r>
      <w:r>
        <w:rPr>
          <w:rFonts w:cs="Times New Roman"/>
          <w:sz w:val="22"/>
        </w:rPr>
        <w:t xml:space="preserve">practices of </w:t>
      </w:r>
      <w:r w:rsidR="00D37AC6">
        <w:rPr>
          <w:rFonts w:cs="Times New Roman"/>
          <w:sz w:val="22"/>
        </w:rPr>
        <w:t xml:space="preserve"> </w:t>
      </w:r>
      <w:r>
        <w:rPr>
          <w:rFonts w:cs="Times New Roman"/>
          <w:sz w:val="22"/>
        </w:rPr>
        <w:t>caviar production</w:t>
      </w:r>
      <w:r w:rsidR="00525560">
        <w:rPr>
          <w:rFonts w:cs="Times New Roman"/>
          <w:sz w:val="22"/>
        </w:rPr>
        <w:t>, similarly</w:t>
      </w:r>
      <w:r>
        <w:rPr>
          <w:rFonts w:cs="Times New Roman"/>
          <w:sz w:val="22"/>
        </w:rPr>
        <w:t xml:space="preserve"> foreground farmed sturgeon as a central actor in sturgeon conservation efforts. </w:t>
      </w:r>
    </w:p>
    <w:p w14:paraId="3814C6F7" w14:textId="6DA3AE23" w:rsidR="00967716" w:rsidRDefault="00525560" w:rsidP="00365FF4">
      <w:pPr>
        <w:ind w:firstLine="720"/>
        <w:rPr>
          <w:rFonts w:cs="Times New Roman"/>
          <w:sz w:val="22"/>
        </w:rPr>
      </w:pPr>
      <w:r>
        <w:rPr>
          <w:rFonts w:cs="Times New Roman"/>
          <w:sz w:val="22"/>
        </w:rPr>
        <w:t>Thus, the imperative to “</w:t>
      </w:r>
      <w:r w:rsidR="00967716">
        <w:rPr>
          <w:rFonts w:cs="Times New Roman"/>
          <w:sz w:val="22"/>
        </w:rPr>
        <w:t xml:space="preserve">get </w:t>
      </w:r>
      <w:r>
        <w:rPr>
          <w:rFonts w:cs="Times New Roman"/>
          <w:sz w:val="22"/>
        </w:rPr>
        <w:t>the eggs as quickly as possible”</w:t>
      </w:r>
      <w:r w:rsidRPr="005B292F">
        <w:rPr>
          <w:rStyle w:val="FootnoteReference"/>
        </w:rPr>
        <w:footnoteReference w:id="188"/>
      </w:r>
      <w:r w:rsidR="00967716">
        <w:rPr>
          <w:rFonts w:cs="Times New Roman"/>
          <w:sz w:val="22"/>
        </w:rPr>
        <w:t xml:space="preserve"> underlies the various practices that caviar producers choose to undertake </w:t>
      </w:r>
      <w:r>
        <w:rPr>
          <w:rFonts w:cs="Times New Roman"/>
          <w:sz w:val="22"/>
        </w:rPr>
        <w:t xml:space="preserve">and </w:t>
      </w:r>
      <w:r w:rsidR="00D37AC6">
        <w:rPr>
          <w:rFonts w:cs="Times New Roman"/>
          <w:sz w:val="22"/>
        </w:rPr>
        <w:t xml:space="preserve">discursively </w:t>
      </w:r>
      <w:r>
        <w:rPr>
          <w:rFonts w:cs="Times New Roman"/>
          <w:sz w:val="22"/>
        </w:rPr>
        <w:t xml:space="preserve">frame in security terms. </w:t>
      </w:r>
      <w:r w:rsidR="00365FF4">
        <w:rPr>
          <w:rFonts w:cs="Times New Roman"/>
          <w:sz w:val="22"/>
        </w:rPr>
        <w:t xml:space="preserve">Caviar producers increasingly intervene with the environmental and biological conditions of sturgeon in different ways, in order to optimize and intensify caviar production, as an apparent conservation-security mechanism. </w:t>
      </w:r>
      <w:r w:rsidR="00967716">
        <w:rPr>
          <w:rFonts w:cs="Times New Roman"/>
          <w:sz w:val="22"/>
        </w:rPr>
        <w:t>Oliya explained that the modus operandi behind her company’s intensificatio</w:t>
      </w:r>
      <w:r>
        <w:rPr>
          <w:rFonts w:cs="Times New Roman"/>
          <w:sz w:val="22"/>
        </w:rPr>
        <w:t>n of caviar production, was to “</w:t>
      </w:r>
      <w:r w:rsidR="00967716">
        <w:rPr>
          <w:rFonts w:cs="Times New Roman"/>
          <w:sz w:val="22"/>
        </w:rPr>
        <w:t>try to go everywhere and to be with the fish from the beginning to the end… it’s all really to preserve the sturgeon. How? To focus on the production. To reproduce. To have more and more product</w:t>
      </w:r>
      <w:r>
        <w:rPr>
          <w:rFonts w:cs="Times New Roman"/>
          <w:sz w:val="22"/>
        </w:rPr>
        <w:t>”</w:t>
      </w:r>
      <w:r w:rsidR="00967716" w:rsidRPr="005B292F">
        <w:rPr>
          <w:rStyle w:val="FootnoteReference"/>
        </w:rPr>
        <w:footnoteReference w:id="189"/>
      </w:r>
      <w:r w:rsidR="00967716">
        <w:rPr>
          <w:rFonts w:cs="Times New Roman"/>
          <w:sz w:val="22"/>
        </w:rPr>
        <w:t>. In other words, Oliya p</w:t>
      </w:r>
      <w:r>
        <w:rPr>
          <w:rFonts w:cs="Times New Roman"/>
          <w:sz w:val="22"/>
        </w:rPr>
        <w:t>ushed the green narrative that intensifying</w:t>
      </w:r>
      <w:r w:rsidR="00967716">
        <w:rPr>
          <w:rFonts w:cs="Times New Roman"/>
          <w:sz w:val="22"/>
        </w:rPr>
        <w:t xml:space="preserve"> their production practices is driven by a motivation to preserve </w:t>
      </w:r>
      <w:r>
        <w:rPr>
          <w:rFonts w:cs="Times New Roman"/>
          <w:sz w:val="22"/>
        </w:rPr>
        <w:t xml:space="preserve">and secure </w:t>
      </w:r>
      <w:r w:rsidR="00967716">
        <w:rPr>
          <w:rFonts w:cs="Times New Roman"/>
          <w:sz w:val="22"/>
        </w:rPr>
        <w:t>sturgeon. However, in practice there is little tangible evidence proffered by these enterprises to demonstrate that there is a positive conservati</w:t>
      </w:r>
      <w:r>
        <w:rPr>
          <w:rFonts w:cs="Times New Roman"/>
          <w:sz w:val="22"/>
        </w:rPr>
        <w:t xml:space="preserve">on impact arising from the intensified </w:t>
      </w:r>
      <w:r w:rsidR="00967716">
        <w:rPr>
          <w:rFonts w:cs="Times New Roman"/>
          <w:sz w:val="22"/>
        </w:rPr>
        <w:t xml:space="preserve">practices of farmed caviar production that they pursue. Thus, conservation may be mobilised as the ‘green pretext’ </w:t>
      </w:r>
      <w:r w:rsidR="00967716">
        <w:rPr>
          <w:rFonts w:cs="Times New Roman"/>
          <w:sz w:val="22"/>
        </w:rPr>
        <w:fldChar w:fldCharType="begin" w:fldLock="1"/>
      </w:r>
      <w:r w:rsidR="00967716">
        <w:rPr>
          <w:rFonts w:cs="Times New Roman"/>
          <w:sz w:val="22"/>
        </w:rPr>
        <w:instrText>ADDIN CSL_CITATION {"citationItems":[{"id":"ITEM-1","itemData":{"DOI":"10.1080/03066150.2012.658777","ISSN":"03066150","abstract":"While conflict-related dynamics are recognized as causes of land grabbing in Colombia, violent processes of exclusion and expropriation behind 'greener' projects are often seen as disconnected from them. The case of ecotourism in Tayrona National Natural Park makes it possible to explore the geographies of violence that sustain tourism in the area and their role in shaping everyday resource politics. This paper shows how green pretexts of paradisiacal spots in need of protection have contributed to privatization and dispossession. Furthermore, it details how land-grabbing dynamics have been enabled by processes of sociospatial demarcation that produce not-green-enough subjects as bodies-out-of-place. © 2012 Copyright Taylor and Francis Group, LLC.","author":[{"dropping-particle":"","family":"Ojeda","given":"Diana","non-dropping-particle":"","parse-names":false,"suffix":""}],"container-title":"Journal of Peasant Studies","id":"ITEM-1","issue":"2","issued":{"date-parts":[["2012"]]},"page":"357-375","title":"Green pretexts: Ecotourism, neoliberal conservation and land grabbing in Tayrona National Natural Park, Colombia","type":"article-journal","volume":"39"},"uris":["http://www.mendeley.com/documents/?uuid=ac841b65-b0fa-4085-8bce-3c2bdc1b4fb8"]}],"mendeley":{"formattedCitation":"(Ojeda, 2012)","plainTextFormattedCitation":"(Ojeda, 2012)","previouslyFormattedCitation":"(Ojeda, 2012)"},"properties":{"noteIndex":0},"schema":"https://github.com/citation-style-language/schema/raw/master/csl-citation.json"}</w:instrText>
      </w:r>
      <w:r w:rsidR="00967716">
        <w:rPr>
          <w:rFonts w:cs="Times New Roman"/>
          <w:sz w:val="22"/>
        </w:rPr>
        <w:fldChar w:fldCharType="separate"/>
      </w:r>
      <w:r w:rsidR="00967716" w:rsidRPr="005B3E13">
        <w:rPr>
          <w:rFonts w:cs="Times New Roman"/>
          <w:noProof/>
          <w:sz w:val="22"/>
        </w:rPr>
        <w:t>(Ojeda, 2012)</w:t>
      </w:r>
      <w:r w:rsidR="00967716">
        <w:rPr>
          <w:rFonts w:cs="Times New Roman"/>
          <w:sz w:val="22"/>
        </w:rPr>
        <w:fldChar w:fldCharType="end"/>
      </w:r>
      <w:r w:rsidR="00967716">
        <w:rPr>
          <w:rFonts w:cs="Times New Roman"/>
          <w:sz w:val="22"/>
        </w:rPr>
        <w:t xml:space="preserve"> to enable and justify the </w:t>
      </w:r>
      <w:r w:rsidR="00365FF4">
        <w:rPr>
          <w:rFonts w:cs="Times New Roman"/>
          <w:sz w:val="22"/>
        </w:rPr>
        <w:t xml:space="preserve">discursive </w:t>
      </w:r>
      <w:r w:rsidR="00967716">
        <w:rPr>
          <w:rFonts w:cs="Times New Roman"/>
          <w:sz w:val="22"/>
        </w:rPr>
        <w:t>‘respatialization of security’</w:t>
      </w:r>
      <w:r w:rsidR="00365FF4">
        <w:rPr>
          <w:rFonts w:cs="Times New Roman"/>
          <w:sz w:val="22"/>
        </w:rPr>
        <w:t xml:space="preserve"> (Johnson, 2015)</w:t>
      </w:r>
      <w:r w:rsidR="00967716">
        <w:rPr>
          <w:rFonts w:cs="Times New Roman"/>
          <w:sz w:val="22"/>
        </w:rPr>
        <w:t xml:space="preserve"> into the practices of farmed caviar production; but in analysing the implications of this securitization, I argue that the primary implication appears to be the emergence of new opportunities for capital accumulation, rather than any tangible conservation benefit. </w:t>
      </w:r>
    </w:p>
    <w:p w14:paraId="1021D46A" w14:textId="77777777" w:rsidR="00967716" w:rsidRDefault="00967716" w:rsidP="00967716">
      <w:pPr>
        <w:ind w:firstLine="720"/>
        <w:rPr>
          <w:rFonts w:cs="Times New Roman"/>
          <w:sz w:val="22"/>
        </w:rPr>
      </w:pPr>
    </w:p>
    <w:p w14:paraId="7CDEA272" w14:textId="77777777" w:rsidR="00967716" w:rsidRPr="00053789" w:rsidRDefault="00967716" w:rsidP="00553621">
      <w:pPr>
        <w:pStyle w:val="Heading3"/>
      </w:pPr>
      <w:bookmarkStart w:id="83" w:name="_Toc453224240"/>
      <w:r w:rsidRPr="00053789">
        <w:t>6.2.3 Securitized accumulation</w:t>
      </w:r>
      <w:bookmarkEnd w:id="83"/>
    </w:p>
    <w:p w14:paraId="040AFB9C" w14:textId="3C0F6A68" w:rsidR="00967716" w:rsidRDefault="00967716" w:rsidP="00967716">
      <w:pPr>
        <w:rPr>
          <w:rFonts w:cs="Times New Roman"/>
          <w:sz w:val="22"/>
        </w:rPr>
      </w:pPr>
      <w:r>
        <w:rPr>
          <w:rFonts w:cs="Times New Roman"/>
          <w:sz w:val="22"/>
        </w:rPr>
        <w:fldChar w:fldCharType="begin" w:fldLock="1"/>
      </w:r>
      <w:r w:rsidR="00EC7F7E">
        <w:rPr>
          <w:rFonts w:cs="Times New Roman"/>
          <w:sz w:val="22"/>
        </w:rPr>
        <w:instrText>ADDIN CSL_CITATION {"citationItems":[{"id":"ITEM-1","itemData":{"DOI":"10.1177/0263775816641944","ISSN":"14723433","abstract":"The opening of a post-genomic age and the possibility of patenting life itself have changed the relationship between biopolitics and capitalism and contributed to the emergence of a new phase of capitalist accumulation, currently known as biocapitalism, the full integration of life and capital into complex architectures of control and ownership. In this paper, we combine Giorgio Agamben’s concepts of the threshold and bios/zoē with Nicole Shukin’s idea of rendering to address the connection between life and death in biocapitalism, through a specific focus on the commercialisation of the semen of the Piedmontese bulls. We show how death, rather than merely life, is productive in biocapitalism. Further, in proposing an analysis of some of the ways in which, social and biological, animal life gets incorporated (i.e. owned and sold), we contribute to recent debates in geography on more-than-human understanding of capital accumulation.","author":[{"dropping-particle":"","family":"Colombino","given":"Annalisa","non-dropping-particle":"","parse-names":false,"suffix":""},{"dropping-particle":"","family":"Giaccaria","given":"Paolo","non-dropping-particle":"","parse-names":false,"suffix":""}],"container-title":"Environment and Planning D: Society and Space","id":"ITEM-1","issue":"6","issued":{"date-parts":[["2016"]]},"page":"1044-1062","title":"Dead liveness/living deadness: Thresholds of non-human life and death in biocapitalism","type":"article-journal","volume":"34"},"uris":["http://www.mendeley.com/documents/?uuid=23df353e-8126-3b88-9e24-d829662458ea"]}],"mendeley":{"formattedCitation":"(Colombino and Giaccaria, 2016)","manualFormatting":"Colombino and Giaccaria (2016)","plainTextFormattedCitation":"(Colombino and Giaccaria, 2016)","previouslyFormattedCitation":"(Colombino and Giaccaria, 2016)"},"properties":{"noteIndex":0},"schema":"https://github.com/citation-style-language/schema/raw/master/csl-citation.json"}</w:instrText>
      </w:r>
      <w:r>
        <w:rPr>
          <w:rFonts w:cs="Times New Roman"/>
          <w:sz w:val="22"/>
        </w:rPr>
        <w:fldChar w:fldCharType="separate"/>
      </w:r>
      <w:r w:rsidRPr="00F22549">
        <w:rPr>
          <w:rFonts w:cs="Times New Roman"/>
          <w:noProof/>
          <w:sz w:val="22"/>
        </w:rPr>
        <w:t xml:space="preserve">Colombino and Giaccaria </w:t>
      </w:r>
      <w:r>
        <w:rPr>
          <w:rFonts w:cs="Times New Roman"/>
          <w:noProof/>
          <w:sz w:val="22"/>
        </w:rPr>
        <w:t>(</w:t>
      </w:r>
      <w:r w:rsidRPr="00F22549">
        <w:rPr>
          <w:rFonts w:cs="Times New Roman"/>
          <w:noProof/>
          <w:sz w:val="22"/>
        </w:rPr>
        <w:t>2016)</w:t>
      </w:r>
      <w:r>
        <w:rPr>
          <w:rFonts w:cs="Times New Roman"/>
          <w:sz w:val="22"/>
        </w:rPr>
        <w:fldChar w:fldCharType="end"/>
      </w:r>
      <w:r>
        <w:rPr>
          <w:rFonts w:cs="Times New Roman"/>
          <w:sz w:val="22"/>
        </w:rPr>
        <w:t xml:space="preserve"> suggest that issues of biopolitics and capitalism have become increasingly intertwined, in ways that have ushered in a new phase of capitalist accumulation known as ‘biocapitalism’. They argue that biocapitalism pursues a</w:t>
      </w:r>
      <w:r w:rsidR="00A4382A">
        <w:rPr>
          <w:rFonts w:cs="Times New Roman"/>
          <w:sz w:val="22"/>
        </w:rPr>
        <w:t xml:space="preserve"> “</w:t>
      </w:r>
      <w:r>
        <w:rPr>
          <w:rFonts w:cs="Times New Roman"/>
          <w:sz w:val="22"/>
        </w:rPr>
        <w:t>full integration of life and capital into complex archite</w:t>
      </w:r>
      <w:r w:rsidR="00A4382A">
        <w:rPr>
          <w:rFonts w:cs="Times New Roman"/>
          <w:sz w:val="22"/>
        </w:rPr>
        <w:t>ctures of control and ownership”</w:t>
      </w:r>
      <w:r>
        <w:rPr>
          <w:rFonts w:cs="Times New Roman"/>
          <w:sz w:val="22"/>
        </w:rPr>
        <w:t xml:space="preserve"> (ibid: 1044); and in developing a more-than-human analysis of biocapitalism, they point to the fact that the lives and deaths of nonhuman animals are central to this mode of production and capital accumulation. </w:t>
      </w:r>
      <w:r>
        <w:rPr>
          <w:rFonts w:cs="Times New Roman"/>
          <w:sz w:val="22"/>
        </w:rPr>
        <w:fldChar w:fldCharType="begin" w:fldLock="1"/>
      </w:r>
      <w:r w:rsidR="00EC7F7E">
        <w:rPr>
          <w:rFonts w:cs="Times New Roman"/>
          <w:sz w:val="22"/>
        </w:rPr>
        <w:instrText>ADDIN CSL_CITATION {"citationItems":[{"id":"ITEM-1","itemData":{"DOI":"10.1177/0263775816641944","ISSN":"14723433","abstract":"The opening of a post-genomic age and the possibility of patenting life itself have changed the relationship between biopolitics and capitalism and contributed to the emergence of a new phase of capitalist accumulation, currently known as biocapitalism, the full integration of life and capital into complex architectures of control and ownership. In this paper, we combine Giorgio Agamben’s concepts of the threshold and bios/zoē with Nicole Shukin’s idea of rendering to address the connection between life and death in biocapitalism, through a specific focus on the commercialisation of the semen of the Piedmontese bulls. We show how death, rather than merely life, is productive in biocapitalism. Further, in proposing an analysis of some of the ways in which, social and biological, animal life gets incorporated (i.e. owned and sold), we contribute to recent debates in geography on more-than-human understanding of capital accumulation.","author":[{"dropping-particle":"","family":"Colombino","given":"Annalisa","non-dropping-particle":"","parse-names":false,"suffix":""},{"dropping-particle":"","family":"Giaccaria","given":"Paolo","non-dropping-particle":"","parse-names":false,"suffix":""}],"container-title":"Environment and Planning D: Society and Space","id":"ITEM-1","issue":"6","issued":{"date-parts":[["2016"]]},"page":"1044-1062","title":"Dead liveness/living deadness: Thresholds of non-human life and death in biocapitalism","type":"article-journal","volume":"34"},"uris":["http://www.mendeley.com/documents/?uuid=23df353e-8126-3b88-9e24-d829662458ea"]}],"mendeley":{"formattedCitation":"(Colombino and Giaccaria, 2016)","manualFormatting":"Colombino and Giaccaria (2016)","plainTextFormattedCitation":"(Colombino and Giaccaria, 2016)","previouslyFormattedCitation":"(Colombino and Giaccaria, 2016)"},"properties":{"noteIndex":0},"schema":"https://github.com/citation-style-language/schema/raw/master/csl-citation.json"}</w:instrText>
      </w:r>
      <w:r>
        <w:rPr>
          <w:rFonts w:cs="Times New Roman"/>
          <w:sz w:val="22"/>
        </w:rPr>
        <w:fldChar w:fldCharType="separate"/>
      </w:r>
      <w:r w:rsidRPr="00F22549">
        <w:rPr>
          <w:rFonts w:cs="Times New Roman"/>
          <w:noProof/>
          <w:sz w:val="22"/>
        </w:rPr>
        <w:t xml:space="preserve">Colombino and Giaccaria </w:t>
      </w:r>
      <w:r>
        <w:rPr>
          <w:rFonts w:cs="Times New Roman"/>
          <w:noProof/>
          <w:sz w:val="22"/>
        </w:rPr>
        <w:t>(</w:t>
      </w:r>
      <w:r w:rsidRPr="00F22549">
        <w:rPr>
          <w:rFonts w:cs="Times New Roman"/>
          <w:noProof/>
          <w:sz w:val="22"/>
        </w:rPr>
        <w:t>2016)</w:t>
      </w:r>
      <w:r>
        <w:rPr>
          <w:rFonts w:cs="Times New Roman"/>
          <w:sz w:val="22"/>
        </w:rPr>
        <w:fldChar w:fldCharType="end"/>
      </w:r>
      <w:r>
        <w:rPr>
          <w:rFonts w:cs="Times New Roman"/>
          <w:sz w:val="22"/>
        </w:rPr>
        <w:t xml:space="preserve"> argue that what is specifically novel about this era of capitalist development, is how the ‘molecular turn’ and ‘informational revolution’ have dramatically reconfigured the ways in which humans intervene and shape the bodies of nonhumans at the micro-level</w:t>
      </w:r>
      <w:r w:rsidR="00B408BE">
        <w:rPr>
          <w:rFonts w:cs="Times New Roman"/>
          <w:sz w:val="22"/>
        </w:rPr>
        <w:t>,</w:t>
      </w:r>
      <w:r>
        <w:rPr>
          <w:rFonts w:cs="Times New Roman"/>
          <w:sz w:val="22"/>
        </w:rPr>
        <w:t xml:space="preserve"> in order </w:t>
      </w:r>
      <w:r w:rsidR="00B408BE">
        <w:rPr>
          <w:rFonts w:cs="Times New Roman"/>
          <w:sz w:val="22"/>
        </w:rPr>
        <w:t>to optimise them for production</w:t>
      </w:r>
      <w:r>
        <w:rPr>
          <w:rFonts w:cs="Times New Roman"/>
          <w:sz w:val="22"/>
        </w:rPr>
        <w:t xml:space="preserve"> and to transform them into life-based commodities and services that are legally patented (ibid: 1050). This is evident in the caviar industry, where the emergence of alternative methods of producing caviar such as the ‘no-kill’ technique discussed previously, has reconfigured sturgeon and caviar as subje</w:t>
      </w:r>
      <w:r w:rsidR="00B408BE">
        <w:rPr>
          <w:rFonts w:cs="Times New Roman"/>
          <w:sz w:val="22"/>
        </w:rPr>
        <w:t>cts of legal concerns, thereby “</w:t>
      </w:r>
      <w:r>
        <w:rPr>
          <w:rFonts w:cs="Times New Roman"/>
          <w:sz w:val="22"/>
        </w:rPr>
        <w:t>regulating them</w:t>
      </w:r>
      <w:r w:rsidR="00B408BE">
        <w:rPr>
          <w:rFonts w:cs="Times New Roman"/>
          <w:sz w:val="22"/>
        </w:rPr>
        <w:t xml:space="preserve"> as a form of ‘biocapital</w:t>
      </w:r>
      <w:r>
        <w:rPr>
          <w:rFonts w:cs="Times New Roman"/>
          <w:sz w:val="22"/>
        </w:rPr>
        <w:t>’</w:t>
      </w:r>
      <w:r w:rsidR="00B408BE">
        <w:rPr>
          <w:rFonts w:cs="Times New Roman"/>
          <w:sz w:val="22"/>
        </w:rPr>
        <w:t>”</w:t>
      </w:r>
      <w:r>
        <w:rPr>
          <w:rFonts w:cs="Times New Roman"/>
          <w:sz w:val="22"/>
        </w:rPr>
        <w:t xml:space="preserve"> (Johnson, 2015: 71). </w:t>
      </w:r>
    </w:p>
    <w:p w14:paraId="5E39644E" w14:textId="1FEA32EC" w:rsidR="00967716" w:rsidRPr="005B63AD" w:rsidRDefault="00967716" w:rsidP="005B63AD">
      <w:pPr>
        <w:ind w:firstLine="720"/>
        <w:rPr>
          <w:rFonts w:cs="Times New Roman"/>
          <w:sz w:val="22"/>
        </w:rPr>
      </w:pPr>
      <w:r>
        <w:rPr>
          <w:rFonts w:cs="Times New Roman"/>
          <w:sz w:val="22"/>
        </w:rPr>
        <w:lastRenderedPageBreak/>
        <w:t>For example, the ‘no-kill’ caviar production method was created – and has been patented – by an academic from the Alfred Wegener Institute for Polar and Marine Research (AWI) in Germany. To this extent, caviar companies wishing to use this particular production method must apply and pay for a license costing $10,000. At the time of conducting fieldwork, only one caviar farm in the world was licensed to use this caviar production method. The owners of this farm explained that they had recently returned from Germany where they had renegotiated the</w:t>
      </w:r>
      <w:r w:rsidR="00B408BE">
        <w:rPr>
          <w:rFonts w:cs="Times New Roman"/>
          <w:sz w:val="22"/>
        </w:rPr>
        <w:t xml:space="preserve"> terms of the license, so that “</w:t>
      </w:r>
      <w:r>
        <w:rPr>
          <w:rFonts w:cs="Times New Roman"/>
          <w:sz w:val="22"/>
        </w:rPr>
        <w:t>we will then be licensing other farms around the world for the next 5-7 years… Like franchising</w:t>
      </w:r>
      <w:r w:rsidR="00B408BE">
        <w:rPr>
          <w:rFonts w:cs="Times New Roman"/>
          <w:sz w:val="22"/>
        </w:rPr>
        <w:t>”</w:t>
      </w:r>
      <w:r w:rsidRPr="005B292F">
        <w:rPr>
          <w:rStyle w:val="FootnoteReference"/>
        </w:rPr>
        <w:footnoteReference w:id="190"/>
      </w:r>
      <w:r>
        <w:rPr>
          <w:rFonts w:cs="Times New Roman"/>
          <w:sz w:val="22"/>
        </w:rPr>
        <w:t xml:space="preserve">. The farm owners explained that their plan to franchise included creating a training package and support programme to guide other farms through the process of sturgeon farming and caviar production, whilst simultaneously creating a stream of income for themselves: </w:t>
      </w:r>
    </w:p>
    <w:p w14:paraId="5AC9E405" w14:textId="1D1545EC" w:rsidR="00967716" w:rsidRPr="00553621" w:rsidRDefault="00B408BE" w:rsidP="00553621">
      <w:pPr>
        <w:pStyle w:val="Quote"/>
      </w:pPr>
      <w:r>
        <w:t>Y</w:t>
      </w:r>
      <w:r w:rsidR="00967716" w:rsidRPr="00553621">
        <w:t>ou know if there’s a hundred farms that start producing caviar [in this way], how am I going to make any money? So we’re putting together a pack so that we’ll actually be getting some money out of each one of those farms</w:t>
      </w:r>
      <w:r w:rsidR="00967716" w:rsidRPr="005B292F">
        <w:rPr>
          <w:rStyle w:val="FootnoteReference"/>
        </w:rPr>
        <w:footnoteReference w:id="191"/>
      </w:r>
      <w:r w:rsidR="00967716" w:rsidRPr="00553621">
        <w:t xml:space="preserve">. </w:t>
      </w:r>
    </w:p>
    <w:p w14:paraId="0119C1FE" w14:textId="77777777" w:rsidR="005B63AD" w:rsidRDefault="00967716" w:rsidP="00967716">
      <w:pPr>
        <w:rPr>
          <w:rFonts w:cs="Times New Roman"/>
          <w:sz w:val="22"/>
        </w:rPr>
      </w:pPr>
      <w:r>
        <w:rPr>
          <w:rFonts w:cs="Times New Roman"/>
          <w:sz w:val="22"/>
        </w:rPr>
        <w:br/>
        <w:t xml:space="preserve">According to the company website, the cost of joining their programme includes 20% equity in the franchised farm, and a quarterly royalty/administration charge based upon the caviar </w:t>
      </w:r>
      <w:r w:rsidR="005B63AD">
        <w:rPr>
          <w:rFonts w:cs="Times New Roman"/>
          <w:sz w:val="22"/>
        </w:rPr>
        <w:t xml:space="preserve">output </w:t>
      </w:r>
      <w:r>
        <w:rPr>
          <w:rFonts w:cs="Times New Roman"/>
          <w:sz w:val="22"/>
        </w:rPr>
        <w:t xml:space="preserve">of the franchised farms. </w:t>
      </w:r>
      <w:r w:rsidR="005B63AD">
        <w:rPr>
          <w:rFonts w:cs="Times New Roman"/>
          <w:sz w:val="22"/>
        </w:rPr>
        <w:t xml:space="preserve">Their </w:t>
      </w:r>
      <w:r>
        <w:rPr>
          <w:rFonts w:cs="Times New Roman"/>
          <w:sz w:val="22"/>
        </w:rPr>
        <w:t>plans to franchise appear to have come into fruition since I undertook fieldwork. The company website states that the caviar production process is now licensed to farms</w:t>
      </w:r>
      <w:r w:rsidR="00B408BE">
        <w:rPr>
          <w:rFonts w:cs="Times New Roman"/>
          <w:sz w:val="22"/>
        </w:rPr>
        <w:t xml:space="preserve"> in the UK, Brazil, and Ireland;</w:t>
      </w:r>
      <w:r>
        <w:rPr>
          <w:rFonts w:cs="Times New Roman"/>
          <w:sz w:val="22"/>
        </w:rPr>
        <w:t xml:space="preserve"> with the farms operating as a group under the guidance of the company that was originally licensed to carry out this patented caviar production method. </w:t>
      </w:r>
    </w:p>
    <w:p w14:paraId="0E3D6BEF" w14:textId="5CA31594" w:rsidR="00967716" w:rsidRDefault="00967716" w:rsidP="005B63AD">
      <w:pPr>
        <w:ind w:firstLine="720"/>
        <w:rPr>
          <w:rFonts w:cs="Times New Roman"/>
          <w:sz w:val="22"/>
        </w:rPr>
      </w:pPr>
      <w:r>
        <w:rPr>
          <w:rFonts w:cs="Times New Roman"/>
          <w:sz w:val="22"/>
        </w:rPr>
        <w:t xml:space="preserve">The company </w:t>
      </w:r>
      <w:r w:rsidR="00B408BE">
        <w:rPr>
          <w:rFonts w:cs="Times New Roman"/>
          <w:sz w:val="22"/>
        </w:rPr>
        <w:t xml:space="preserve">representative </w:t>
      </w:r>
      <w:r w:rsidR="005B63AD">
        <w:rPr>
          <w:rFonts w:cs="Times New Roman"/>
          <w:sz w:val="22"/>
        </w:rPr>
        <w:t xml:space="preserve">I interviewed, </w:t>
      </w:r>
      <w:r w:rsidR="00B408BE">
        <w:rPr>
          <w:rFonts w:cs="Times New Roman"/>
          <w:sz w:val="22"/>
        </w:rPr>
        <w:t>was</w:t>
      </w:r>
      <w:r>
        <w:rPr>
          <w:rFonts w:cs="Times New Roman"/>
          <w:sz w:val="22"/>
        </w:rPr>
        <w:t xml:space="preserve"> adamant about the fact that their operations are primarily </w:t>
      </w:r>
      <w:r w:rsidR="005B63AD">
        <w:rPr>
          <w:rFonts w:cs="Times New Roman"/>
          <w:sz w:val="22"/>
        </w:rPr>
        <w:t xml:space="preserve">driven by a conservation ethos </w:t>
      </w:r>
      <w:r>
        <w:rPr>
          <w:rFonts w:cs="Times New Roman"/>
          <w:sz w:val="22"/>
        </w:rPr>
        <w:t xml:space="preserve">and have a conservation value. Irrespective of whether this conservation ethos translates into practical conservation value, the ethos appears to serve as a ‘green pretext’ </w:t>
      </w:r>
      <w:r>
        <w:rPr>
          <w:rFonts w:cs="Times New Roman"/>
          <w:sz w:val="22"/>
        </w:rPr>
        <w:fldChar w:fldCharType="begin" w:fldLock="1"/>
      </w:r>
      <w:r>
        <w:rPr>
          <w:rFonts w:cs="Times New Roman"/>
          <w:sz w:val="22"/>
        </w:rPr>
        <w:instrText>ADDIN CSL_CITATION {"citationItems":[{"id":"ITEM-1","itemData":{"DOI":"10.1080/03066150.2012.658777","ISSN":"03066150","abstract":"While conflict-related dynamics are recognized as causes of land grabbing in Colombia, violent processes of exclusion and expropriation behind 'greener' projects are often seen as disconnected from them. The case of ecotourism in Tayrona National Natural Park makes it possible to explore the geographies of violence that sustain tourism in the area and their role in shaping everyday resource politics. This paper shows how green pretexts of paradisiacal spots in need of protection have contributed to privatization and dispossession. Furthermore, it details how land-grabbing dynamics have been enabled by processes of sociospatial demarcation that produce not-green-enough subjects as bodies-out-of-place. © 2012 Copyright Taylor and Francis Group, LLC.","author":[{"dropping-particle":"","family":"Ojeda","given":"Diana","non-dropping-particle":"","parse-names":false,"suffix":""}],"container-title":"Journal of Peasant Studies","id":"ITEM-1","issue":"2","issued":{"date-parts":[["2012"]]},"page":"357-375","title":"Green pretexts: Ecotourism, neoliberal conservation and land grabbing in Tayrona National Natural Park, Colombia","type":"article-journal","volume":"39"},"uris":["http://www.mendeley.com/documents/?uuid=ac841b65-b0fa-4085-8bce-3c2bdc1b4fb8"]}],"mendeley":{"formattedCitation":"(Ojeda, 2012)","plainTextFormattedCitation":"(Ojeda, 2012)","previouslyFormattedCitation":"(Ojeda, 2012)"},"properties":{"noteIndex":0},"schema":"https://github.com/citation-style-language/schema/raw/master/csl-citation.json"}</w:instrText>
      </w:r>
      <w:r>
        <w:rPr>
          <w:rFonts w:cs="Times New Roman"/>
          <w:sz w:val="22"/>
        </w:rPr>
        <w:fldChar w:fldCharType="separate"/>
      </w:r>
      <w:r w:rsidRPr="00417726">
        <w:rPr>
          <w:rFonts w:cs="Times New Roman"/>
          <w:noProof/>
          <w:sz w:val="22"/>
        </w:rPr>
        <w:t>(Ojeda, 2012)</w:t>
      </w:r>
      <w:r>
        <w:rPr>
          <w:rFonts w:cs="Times New Roman"/>
          <w:sz w:val="22"/>
        </w:rPr>
        <w:fldChar w:fldCharType="end"/>
      </w:r>
      <w:r>
        <w:rPr>
          <w:rFonts w:cs="Times New Roman"/>
          <w:sz w:val="22"/>
        </w:rPr>
        <w:t xml:space="preserve"> for the company to accrue capital. The company seeks to attract potential franchise partners whose ‘aspirations match’ with the cons</w:t>
      </w:r>
      <w:r w:rsidR="005B63AD">
        <w:rPr>
          <w:rFonts w:cs="Times New Roman"/>
          <w:sz w:val="22"/>
        </w:rPr>
        <w:t>ervation narrative they espouse.</w:t>
      </w:r>
      <w:r>
        <w:rPr>
          <w:rFonts w:cs="Times New Roman"/>
          <w:sz w:val="22"/>
        </w:rPr>
        <w:t xml:space="preserve"> </w:t>
      </w:r>
      <w:r w:rsidR="005B63AD">
        <w:rPr>
          <w:rFonts w:cs="Times New Roman"/>
          <w:sz w:val="22"/>
        </w:rPr>
        <w:t xml:space="preserve">After </w:t>
      </w:r>
      <w:r>
        <w:rPr>
          <w:rFonts w:cs="Times New Roman"/>
          <w:sz w:val="22"/>
        </w:rPr>
        <w:t xml:space="preserve">attracting such partners, the company financially benefits from the enfolding of sturgeon and caviar into the structures of biocapitalism, namely: patent laws, international legal frameworks, and franchising.  </w:t>
      </w:r>
    </w:p>
    <w:p w14:paraId="355E5E85" w14:textId="77777777" w:rsidR="005B63AD" w:rsidRDefault="00967716" w:rsidP="00967716">
      <w:pPr>
        <w:ind w:firstLine="720"/>
        <w:rPr>
          <w:rFonts w:cs="Times New Roman"/>
          <w:sz w:val="22"/>
        </w:rPr>
      </w:pPr>
      <w:r>
        <w:rPr>
          <w:rFonts w:cs="Times New Roman"/>
          <w:sz w:val="22"/>
        </w:rPr>
        <w:t xml:space="preserve">Moreover, as outlined above, the push to ‘get the eggs as quickly as possible’ has catalysed the intensification of caviar production practices as part of the </w:t>
      </w:r>
      <w:r w:rsidR="00B408BE">
        <w:rPr>
          <w:rFonts w:cs="Times New Roman"/>
          <w:sz w:val="22"/>
        </w:rPr>
        <w:t xml:space="preserve">discursive </w:t>
      </w:r>
      <w:r>
        <w:rPr>
          <w:rFonts w:cs="Times New Roman"/>
          <w:sz w:val="22"/>
        </w:rPr>
        <w:t>process of eco-securiti</w:t>
      </w:r>
      <w:r w:rsidR="005B63AD">
        <w:rPr>
          <w:rFonts w:cs="Times New Roman"/>
          <w:sz w:val="22"/>
        </w:rPr>
        <w:t xml:space="preserve">zation. A result of this, </w:t>
      </w:r>
      <w:r>
        <w:rPr>
          <w:rFonts w:cs="Times New Roman"/>
          <w:sz w:val="22"/>
        </w:rPr>
        <w:t xml:space="preserve">is that the caviar production facilities require increasing numbers of sturgeon each year in order to meet their caviar production targets. However, as sturgeon can no </w:t>
      </w:r>
      <w:r>
        <w:rPr>
          <w:rFonts w:cs="Times New Roman"/>
          <w:sz w:val="22"/>
        </w:rPr>
        <w:lastRenderedPageBreak/>
        <w:t>longer be taken from the wild for brood-stock</w:t>
      </w:r>
      <w:r w:rsidRPr="005B292F">
        <w:rPr>
          <w:rStyle w:val="FootnoteReference"/>
        </w:rPr>
        <w:footnoteReference w:id="192"/>
      </w:r>
      <w:r>
        <w:rPr>
          <w:rFonts w:cs="Times New Roman"/>
          <w:sz w:val="22"/>
        </w:rPr>
        <w:t>, they must be bred in captivity. To avoid congenital issues resulting from cross-breeding, the farms must ensure genetic diversity amongst the mature sturgeon individuals they use for breeding purposes. To this extent, the genetic make-up of sturgeon has become a luc</w:t>
      </w:r>
      <w:r w:rsidR="00326D59">
        <w:rPr>
          <w:rFonts w:cs="Times New Roman"/>
          <w:sz w:val="22"/>
        </w:rPr>
        <w:t>rative form of biocapital - or “</w:t>
      </w:r>
      <w:r>
        <w:rPr>
          <w:rFonts w:cs="Times New Roman"/>
          <w:sz w:val="22"/>
        </w:rPr>
        <w:t>genetic capital</w:t>
      </w:r>
      <w:r w:rsidR="00326D59">
        <w:rPr>
          <w:rFonts w:cs="Times New Roman"/>
          <w:sz w:val="22"/>
        </w:rPr>
        <w:t xml:space="preserve">” </w:t>
      </w:r>
      <w:r>
        <w:rPr>
          <w:rFonts w:cs="Times New Roman"/>
          <w:sz w:val="22"/>
        </w:rPr>
        <w:fldChar w:fldCharType="begin" w:fldLock="1"/>
      </w:r>
      <w:r w:rsidR="00EC7F7E">
        <w:rPr>
          <w:rFonts w:cs="Times New Roman"/>
          <w:sz w:val="22"/>
        </w:rPr>
        <w:instrText>ADDIN CSL_CITATION {"citationItems":[{"id":"ITEM-1","itemData":{"DOI":"10.1177/0263775816641944","ISSN":"14723433","abstract":"The opening of a post-genomic age and the possibility of patenting life itself have changed the relationship between biopolitics and capitalism and contributed to the emergence of a new phase of capitalist accumulation, currently known as biocapitalism, the full integration of life and capital into complex architectures of control and ownership. In this paper, we combine Giorgio Agamben’s concepts of the threshold and bios/zoē with Nicole Shukin’s idea of rendering to address the connection between life and death in biocapitalism, through a specific focus on the commercialisation of the semen of the Piedmontese bulls. We show how death, rather than merely life, is productive in biocapitalism. Further, in proposing an analysis of some of the ways in which, social and biological, animal life gets incorporated (i.e. owned and sold), we contribute to recent debates in geography on more-than-human understanding of capital accumulation.","author":[{"dropping-particle":"","family":"Colombino","given":"Annalisa","non-dropping-particle":"","parse-names":false,"suffix":""},{"dropping-particle":"","family":"Giaccaria","given":"Paolo","non-dropping-particle":"","parse-names":false,"suffix":""}],"container-title":"Environment and Planning D: Society and Space","id":"ITEM-1","issue":"6","issued":{"date-parts":[["2016"]]},"page":"1044-1062","title":"Dead liveness/living deadness: Thresholds of non-human life and death in biocapitalism","type":"article-journal","volume":"34"},"uris":["http://www.mendeley.com/documents/?uuid=23df353e-8126-3b88-9e24-d829662458ea"]}],"mendeley":{"formattedCitation":"(Colombino and Giaccaria, 2016)","manualFormatting":"(Colombino and Giaccaria, 2016: 1049)","plainTextFormattedCitation":"(Colombino and Giaccaria, 2016)","previouslyFormattedCitation":"(Colombino and Giaccaria, 2016)"},"properties":{"noteIndex":0},"schema":"https://github.com/citation-style-language/schema/raw/master/csl-citation.json"}</w:instrText>
      </w:r>
      <w:r>
        <w:rPr>
          <w:rFonts w:cs="Times New Roman"/>
          <w:sz w:val="22"/>
        </w:rPr>
        <w:fldChar w:fldCharType="separate"/>
      </w:r>
      <w:r w:rsidRPr="00900FDF">
        <w:rPr>
          <w:rFonts w:cs="Times New Roman"/>
          <w:noProof/>
          <w:sz w:val="22"/>
        </w:rPr>
        <w:t>(Colombino and Giaccaria, 2016</w:t>
      </w:r>
      <w:r>
        <w:rPr>
          <w:rFonts w:cs="Times New Roman"/>
          <w:noProof/>
          <w:sz w:val="22"/>
        </w:rPr>
        <w:t>: 1049</w:t>
      </w:r>
      <w:r w:rsidRPr="00900FDF">
        <w:rPr>
          <w:rFonts w:cs="Times New Roman"/>
          <w:noProof/>
          <w:sz w:val="22"/>
        </w:rPr>
        <w:t>)</w:t>
      </w:r>
      <w:r>
        <w:rPr>
          <w:rFonts w:cs="Times New Roman"/>
          <w:sz w:val="22"/>
        </w:rPr>
        <w:fldChar w:fldCharType="end"/>
      </w:r>
      <w:r>
        <w:rPr>
          <w:rFonts w:cs="Times New Roman"/>
          <w:sz w:val="22"/>
        </w:rPr>
        <w:t xml:space="preserve">. Indeed, the genetic profile of a sturgeon has become a ‘lively commodity’ </w:t>
      </w:r>
      <w:r>
        <w:rPr>
          <w:rFonts w:cs="Times New Roman"/>
          <w:sz w:val="22"/>
        </w:rPr>
        <w:fldChar w:fldCharType="begin" w:fldLock="1"/>
      </w:r>
      <w:r w:rsidR="00EC7F7E">
        <w:rPr>
          <w:rFonts w:cs="Times New Roman"/>
          <w:sz w:val="22"/>
        </w:rPr>
        <w:instrText>ADDIN CSL_CITATION {"citationItems":[{"id":"ITEM-1","itemData":{"DOI":"10.1068/a45692","ISSN":"0308-518X","author":[{"dropping-particle":"","family":"Collard","given":"Rosemary-Claire","non-dropping-particle":"","parse-names":false,"suffix":""},{"dropping-particle":"","family":"Dempsey","given":"Jessica","non-dropping-particle":"","parse-names":false,"suffix":""}],"container-title":"Environment and Planning A","id":"ITEM-1","issue":"11","issued":{"date-parts":[["2013","11"]]},"page":"2682-2699","title":"Life for Sale? The Politics of Lively Commodities","type":"article-journal","volume":"45"},"uris":["http://www.mendeley.com/documents/?uuid=774487cb-bd21-3c74-a8c0-1837dbb05384"]},{"id":"ITEM-2","itemData":{"DOI":"10.1177/0263775815626420","ISSN":"0263-7758","author":[{"dropping-particle":"","family":"Barua","given":"Maan","non-dropping-particle":"","parse-names":false,"suffix":""}],"container-title":"Environment and Planning D: Society and Space","id":"ITEM-2","issue":"4","issued":{"date-parts":[["2016","8","26"]]},"page":"725-744","title":"Lively commodities and encounter value","type":"article-journal","volume":"34"},"uris":["http://www.mendeley.com/documents/?uuid=7565a9fe-2a9e-31ae-965f-0fc849e5f25f"]}],"mendeley":{"formattedCitation":"(Collard and Dempsey, 2013; Barua, 2016)","plainTextFormattedCitation":"(Collard and Dempsey, 2013; Barua, 2016)","previouslyFormattedCitation":"(Collard and Dempsey, 2013; Barua, 2016)"},"properties":{"noteIndex":0},"schema":"https://github.com/citation-style-language/schema/raw/master/csl-citation.json"}</w:instrText>
      </w:r>
      <w:r>
        <w:rPr>
          <w:rFonts w:cs="Times New Roman"/>
          <w:sz w:val="22"/>
        </w:rPr>
        <w:fldChar w:fldCharType="separate"/>
      </w:r>
      <w:r w:rsidR="00042533" w:rsidRPr="00042533">
        <w:rPr>
          <w:rFonts w:cs="Times New Roman"/>
          <w:noProof/>
          <w:sz w:val="22"/>
        </w:rPr>
        <w:t>(Collard and Dempsey, 2013; Barua, 2016)</w:t>
      </w:r>
      <w:r>
        <w:rPr>
          <w:rFonts w:cs="Times New Roman"/>
          <w:sz w:val="22"/>
        </w:rPr>
        <w:fldChar w:fldCharType="end"/>
      </w:r>
      <w:r>
        <w:rPr>
          <w:rFonts w:cs="Times New Roman"/>
          <w:sz w:val="22"/>
        </w:rPr>
        <w:t xml:space="preserve">, and opportunity for capital accumulation in the midst of the securitization of farmed caviar production. </w:t>
      </w:r>
    </w:p>
    <w:p w14:paraId="65627AAD" w14:textId="2AFA9F22" w:rsidR="00967716" w:rsidRDefault="00967716" w:rsidP="00967716">
      <w:pPr>
        <w:ind w:firstLine="720"/>
        <w:rPr>
          <w:rFonts w:cs="Times New Roman"/>
          <w:sz w:val="22"/>
        </w:rPr>
      </w:pPr>
      <w:r>
        <w:rPr>
          <w:rFonts w:cs="Times New Roman"/>
          <w:sz w:val="22"/>
        </w:rPr>
        <w:t xml:space="preserve">For example, sturgeon farmer Danut explained that over a </w:t>
      </w:r>
      <w:r w:rsidR="00326D59">
        <w:rPr>
          <w:rFonts w:cs="Times New Roman"/>
          <w:sz w:val="22"/>
        </w:rPr>
        <w:t>number of years he has amassed “</w:t>
      </w:r>
      <w:r>
        <w:rPr>
          <w:rFonts w:cs="Times New Roman"/>
          <w:sz w:val="22"/>
        </w:rPr>
        <w:t>the Romanian genetic pool of sturgeons. I have thousands and thousands of sturgeon… So I have the genetic reserve if something happened in the Danube</w:t>
      </w:r>
      <w:r w:rsidR="00326D59">
        <w:rPr>
          <w:rFonts w:cs="Times New Roman"/>
          <w:sz w:val="22"/>
        </w:rPr>
        <w:t>”</w:t>
      </w:r>
      <w:r w:rsidRPr="005B292F">
        <w:rPr>
          <w:rStyle w:val="FootnoteReference"/>
        </w:rPr>
        <w:footnoteReference w:id="193"/>
      </w:r>
      <w:r>
        <w:rPr>
          <w:rFonts w:cs="Times New Roman"/>
          <w:sz w:val="22"/>
        </w:rPr>
        <w:t>. He framed his efforts to build this genetic reserve of over 50,000 sturgeon as a securitized conservation strategy, and part of a restocking initiative he was involved in. However, he explained that the Romanian government had subsequently terminated their contract with him for the on-going sturgeon-</w:t>
      </w:r>
      <w:r w:rsidR="00326D59">
        <w:rPr>
          <w:rFonts w:cs="Times New Roman"/>
          <w:sz w:val="22"/>
        </w:rPr>
        <w:t>restocking programme, apparently</w:t>
      </w:r>
      <w:r>
        <w:rPr>
          <w:rFonts w:cs="Times New Roman"/>
          <w:sz w:val="22"/>
        </w:rPr>
        <w:t xml:space="preserve"> due to a lack of funds</w:t>
      </w:r>
      <w:r w:rsidR="00326D59" w:rsidRPr="005B292F">
        <w:rPr>
          <w:rStyle w:val="FootnoteReference"/>
        </w:rPr>
        <w:footnoteReference w:id="194"/>
      </w:r>
      <w:r>
        <w:rPr>
          <w:rFonts w:cs="Times New Roman"/>
          <w:sz w:val="22"/>
        </w:rPr>
        <w:t xml:space="preserve">. As such, Danut now accumulates capital alongside caviar production, by commercially trading in the genetic material of his sturgeon stocks. This includes producing sturgeon milt and sturgeon fingerlings for commercial trade, under the ‘green pretext’ </w:t>
      </w:r>
      <w:r>
        <w:rPr>
          <w:rFonts w:cs="Times New Roman"/>
          <w:sz w:val="22"/>
        </w:rPr>
        <w:fldChar w:fldCharType="begin" w:fldLock="1"/>
      </w:r>
      <w:r>
        <w:rPr>
          <w:rFonts w:cs="Times New Roman"/>
          <w:sz w:val="22"/>
        </w:rPr>
        <w:instrText>ADDIN CSL_CITATION {"citationItems":[{"id":"ITEM-1","itemData":{"DOI":"10.1080/03066150.2012.658777","ISSN":"03066150","abstract":"While conflict-related dynamics are recognized as causes of land grabbing in Colombia, violent processes of exclusion and expropriation behind 'greener' projects are often seen as disconnected from them. The case of ecotourism in Tayrona National Natural Park makes it possible to explore the geographies of violence that sustain tourism in the area and their role in shaping everyday resource politics. This paper shows how green pretexts of paradisiacal spots in need of protection have contributed to privatization and dispossession. Furthermore, it details how land-grabbing dynamics have been enabled by processes of sociospatial demarcation that produce not-green-enough subjects as bodies-out-of-place. © 2012 Copyright Taylor and Francis Group, LLC.","author":[{"dropping-particle":"","family":"Ojeda","given":"Diana","non-dropping-particle":"","parse-names":false,"suffix":""}],"container-title":"Journal of Peasant Studies","id":"ITEM-1","issue":"2","issued":{"date-parts":[["2012"]]},"page":"357-375","title":"Green pretexts: Ecotourism, neoliberal conservation and land grabbing in Tayrona National Natural Park, Colombia","type":"article-journal","volume":"39"},"uris":["http://www.mendeley.com/documents/?uuid=ac841b65-b0fa-4085-8bce-3c2bdc1b4fb8"]}],"mendeley":{"formattedCitation":"(Ojeda, 2012)","plainTextFormattedCitation":"(Ojeda, 2012)","previouslyFormattedCitation":"(Ojeda, 2012)"},"properties":{"noteIndex":0},"schema":"https://github.com/citation-style-language/schema/raw/master/csl-citation.json"}</w:instrText>
      </w:r>
      <w:r>
        <w:rPr>
          <w:rFonts w:cs="Times New Roman"/>
          <w:sz w:val="22"/>
        </w:rPr>
        <w:fldChar w:fldCharType="separate"/>
      </w:r>
      <w:r w:rsidRPr="00417726">
        <w:rPr>
          <w:rFonts w:cs="Times New Roman"/>
          <w:noProof/>
          <w:sz w:val="22"/>
        </w:rPr>
        <w:t>(Ojeda, 2012)</w:t>
      </w:r>
      <w:r>
        <w:rPr>
          <w:rFonts w:cs="Times New Roman"/>
          <w:sz w:val="22"/>
        </w:rPr>
        <w:fldChar w:fldCharType="end"/>
      </w:r>
      <w:r>
        <w:rPr>
          <w:rFonts w:cs="Times New Roman"/>
          <w:sz w:val="22"/>
        </w:rPr>
        <w:t xml:space="preserve"> of establishing </w:t>
      </w:r>
      <w:r w:rsidR="005B63AD">
        <w:rPr>
          <w:rFonts w:cs="Times New Roman"/>
          <w:sz w:val="22"/>
        </w:rPr>
        <w:t>a ‘genetic reserve’ of sturgeon</w:t>
      </w:r>
      <w:r>
        <w:rPr>
          <w:rFonts w:cs="Times New Roman"/>
          <w:sz w:val="22"/>
        </w:rPr>
        <w:t xml:space="preserve"> in the event that they may become extinct in the Danube</w:t>
      </w:r>
      <w:r w:rsidR="000458EA">
        <w:rPr>
          <w:rFonts w:cs="Times New Roman"/>
          <w:sz w:val="22"/>
        </w:rPr>
        <w:t xml:space="preserve"> region of Europe</w:t>
      </w:r>
      <w:r>
        <w:rPr>
          <w:rFonts w:cs="Times New Roman"/>
          <w:sz w:val="22"/>
        </w:rPr>
        <w:t xml:space="preserve">.  </w:t>
      </w:r>
    </w:p>
    <w:p w14:paraId="0E092A4C" w14:textId="389B7457" w:rsidR="00967716" w:rsidRDefault="00967716" w:rsidP="00320FC4">
      <w:pPr>
        <w:ind w:firstLine="720"/>
        <w:rPr>
          <w:rFonts w:cs="Times New Roman"/>
          <w:sz w:val="22"/>
        </w:rPr>
      </w:pPr>
      <w:r>
        <w:rPr>
          <w:rFonts w:cs="Times New Roman"/>
          <w:sz w:val="22"/>
        </w:rPr>
        <w:t xml:space="preserve">Thus, </w:t>
      </w:r>
      <w:r w:rsidR="009809E4">
        <w:rPr>
          <w:rFonts w:cs="Times New Roman"/>
          <w:sz w:val="22"/>
        </w:rPr>
        <w:t>farmed caviar production has undergone a discursive securitization</w:t>
      </w:r>
      <w:r w:rsidR="00320FC4">
        <w:rPr>
          <w:rFonts w:cs="Times New Roman"/>
          <w:sz w:val="22"/>
        </w:rPr>
        <w:t xml:space="preserve">, which in turn stabilises the narrative that farmed caviar production is a conservation tool. </w:t>
      </w:r>
      <w:r w:rsidR="009809E4">
        <w:rPr>
          <w:rFonts w:cs="Times New Roman"/>
          <w:sz w:val="22"/>
        </w:rPr>
        <w:t xml:space="preserve">This process has further enmeshed farmed caviar production into the </w:t>
      </w:r>
      <w:r w:rsidR="005B63AD">
        <w:rPr>
          <w:rFonts w:cs="Times New Roman"/>
          <w:sz w:val="22"/>
        </w:rPr>
        <w:t xml:space="preserve">structures of biocapitalism, whereby </w:t>
      </w:r>
      <w:r w:rsidR="009809E4">
        <w:rPr>
          <w:rFonts w:cs="Times New Roman"/>
          <w:sz w:val="22"/>
        </w:rPr>
        <w:t xml:space="preserve">the </w:t>
      </w:r>
      <w:r w:rsidR="005B63AD">
        <w:rPr>
          <w:rFonts w:cs="Times New Roman"/>
          <w:sz w:val="22"/>
        </w:rPr>
        <w:t xml:space="preserve">conservation-security </w:t>
      </w:r>
      <w:r w:rsidR="009809E4">
        <w:rPr>
          <w:rFonts w:cs="Times New Roman"/>
          <w:sz w:val="22"/>
        </w:rPr>
        <w:t xml:space="preserve">narratives have heightened the ways in which sturgeon are refigured as both life-based commodities and security actors. </w:t>
      </w:r>
      <w:r>
        <w:rPr>
          <w:rFonts w:cs="Times New Roman"/>
          <w:sz w:val="22"/>
        </w:rPr>
        <w:t>In sum, the policy move towards farmed caviar production as a supply-side ‘conservation’ tool, has created opportunities for capital accumulation that are realised through securitized</w:t>
      </w:r>
      <w:r w:rsidR="009809E4">
        <w:rPr>
          <w:rFonts w:cs="Times New Roman"/>
          <w:sz w:val="22"/>
        </w:rPr>
        <w:t xml:space="preserve"> discourses and</w:t>
      </w:r>
      <w:r>
        <w:rPr>
          <w:rFonts w:cs="Times New Roman"/>
          <w:sz w:val="22"/>
        </w:rPr>
        <w:t xml:space="preserve"> practices. These securitized practices intervene with and commodify the bodies of farmed sturgeon under the ‘green pretext’ (Ojeda, 2012) of conservation; yet the primary outcome of securitization appears to be capital accumulation. Indeed, a representative of the World Sturgeon Conservation Society speaking at the 9</w:t>
      </w:r>
      <w:r w:rsidRPr="00B64591">
        <w:rPr>
          <w:rFonts w:cs="Times New Roman"/>
          <w:sz w:val="22"/>
          <w:vertAlign w:val="superscript"/>
        </w:rPr>
        <w:t>th</w:t>
      </w:r>
      <w:r>
        <w:rPr>
          <w:rFonts w:cs="Times New Roman"/>
          <w:sz w:val="22"/>
        </w:rPr>
        <w:t xml:space="preserve"> Aller Aqua International sturgeon conference, reminded attendees that although farmed caviar production coul</w:t>
      </w:r>
      <w:r w:rsidR="009809E4">
        <w:rPr>
          <w:rFonts w:cs="Times New Roman"/>
          <w:sz w:val="22"/>
        </w:rPr>
        <w:t xml:space="preserve">d aid conservation, </w:t>
      </w:r>
      <w:r w:rsidR="009809E4">
        <w:rPr>
          <w:rFonts w:cs="Times New Roman"/>
          <w:sz w:val="22"/>
        </w:rPr>
        <w:lastRenderedPageBreak/>
        <w:t>ultimately “</w:t>
      </w:r>
      <w:r>
        <w:rPr>
          <w:rFonts w:cs="Times New Roman"/>
          <w:sz w:val="22"/>
        </w:rPr>
        <w:t>Aquaculture is a business to make profit. Not a charity club</w:t>
      </w:r>
      <w:r w:rsidR="009809E4">
        <w:rPr>
          <w:rFonts w:cs="Times New Roman"/>
          <w:sz w:val="22"/>
        </w:rPr>
        <w:t>”</w:t>
      </w:r>
      <w:r w:rsidRPr="005B292F">
        <w:rPr>
          <w:rStyle w:val="FootnoteReference"/>
        </w:rPr>
        <w:footnoteReference w:id="195"/>
      </w:r>
      <w:r>
        <w:rPr>
          <w:rFonts w:cs="Times New Roman"/>
          <w:sz w:val="22"/>
        </w:rPr>
        <w:t xml:space="preserve">. In line with this, I have demonstrated that the primary implication of the securitization of farmed caviar production has been the emergence of new opportunities for biocapitalist accumulation; although this is masked from view by the intransigent narrative that </w:t>
      </w:r>
      <w:r w:rsidR="009809E4">
        <w:rPr>
          <w:rFonts w:cs="Times New Roman"/>
          <w:sz w:val="22"/>
        </w:rPr>
        <w:t>securitizing</w:t>
      </w:r>
      <w:r>
        <w:rPr>
          <w:rFonts w:cs="Times New Roman"/>
          <w:sz w:val="22"/>
        </w:rPr>
        <w:t xml:space="preserve"> farmed caviar production has a conse</w:t>
      </w:r>
      <w:r w:rsidR="00034005">
        <w:rPr>
          <w:rFonts w:cs="Times New Roman"/>
          <w:sz w:val="22"/>
        </w:rPr>
        <w:t>rvation benefit. To this extent</w:t>
      </w:r>
      <w:r>
        <w:rPr>
          <w:rFonts w:cs="Times New Roman"/>
          <w:sz w:val="22"/>
        </w:rPr>
        <w:t xml:space="preserve">, I argue that farmed caviar production represents an example of ‘accumulation by securitization’ </w:t>
      </w:r>
      <w:r>
        <w:rPr>
          <w:rFonts w:cs="Times New Roman"/>
          <w:sz w:val="22"/>
        </w:rPr>
        <w:fldChar w:fldCharType="begin" w:fldLock="1"/>
      </w:r>
      <w:r w:rsidR="00EC7F7E">
        <w:rPr>
          <w:rFonts w:cs="Times New Roman"/>
          <w:sz w:val="22"/>
        </w:rPr>
        <w:instrText>ADDIN CSL_CITATION {"citationItems":[{"id":"ITEM-1","itemData":{"DOI":"10.1016/j.geoforum.2015.03.005","ISSN":"00167185","abstract":"Part of a broader interest in the escalating securitization of conservation practice, scholars are beginning to take note of an emerging relationship between conservation-securitization, capital accumulation, and dispossession. We develop the concept of accumulation by securitization to better grasp this trend, positioning it in the critical literatures on neoliberal conservation, green grabbing, and conservation-security. The concept captures the ways in which capital accumulation, often tied to land and resource enclosure, is enabled by practices and logics of security. Security logics, moreover, increasingly provoke the dispossession of vulnerable communities, thereby enabling accumulation. We ground the concept by turning to the Greater Lebombo Conservancy (GLC) in the Mozambican borderlands. This is a new privately-held conservancy built as a securitized buffer zone to obstruct the movement of commercial rhino poachers into South Africa's adjacent Kruger National Park. We show how wildlife tourism-related accumulation here is enabled by, and in some ways contingent upon, the GLC's success in curbing poaching incursions, and, relatedly, how security concerns become the grounds upon which resident communities are displaced. In terms of the latter, we suggest security provides a troubling, depoliticized alibi for dispossession. Like broader neoliberal conservation and green grabbing, we illustrate how accumulation by securitization plays out within complex new networks of state and private actors. Yet these significantly expand to include including security actors and others motivated by security concerns.","author":[{"dropping-particle":"","family":"Massé","given":"Francis","non-dropping-particle":"","parse-names":false,"suffix":""},{"dropping-particle":"","family":"Lunstrum","given":"Elizabeth","non-dropping-particle":"","parse-names":false,"suffix":""}],"container-title":"Geoforum","id":"ITEM-1","issued":{"date-parts":[["2016"]]},"page":"227-237","title":"Accumulation by securitization: Commercial poaching, neoliberal conservation, and the creation of new wildlife frontiers","type":"article-journal","volume":"69"},"uris":["http://www.mendeley.com/documents/?uuid=f414a6fa-a1ed-47cd-9572-2fa93dae0d21"]}],"mendeley":{"formattedCitation":"(Massé and Lunstrum, 2016)","plainTextFormattedCitation":"(Massé and Lunstrum, 2016)","previouslyFormattedCitation":"(Massé and Lunstrum, 2016)"},"properties":{"noteIndex":0},"schema":"https://github.com/citation-style-language/schema/raw/master/csl-citation.json"}</w:instrText>
      </w:r>
      <w:r>
        <w:rPr>
          <w:rFonts w:cs="Times New Roman"/>
          <w:sz w:val="22"/>
        </w:rPr>
        <w:fldChar w:fldCharType="separate"/>
      </w:r>
      <w:r w:rsidR="00042533" w:rsidRPr="00042533">
        <w:rPr>
          <w:rFonts w:cs="Times New Roman"/>
          <w:noProof/>
          <w:sz w:val="22"/>
        </w:rPr>
        <w:t>(Massé and Lunstrum, 2016)</w:t>
      </w:r>
      <w:r>
        <w:rPr>
          <w:rFonts w:cs="Times New Roman"/>
          <w:sz w:val="22"/>
        </w:rPr>
        <w:fldChar w:fldCharType="end"/>
      </w:r>
      <w:r>
        <w:rPr>
          <w:rFonts w:cs="Times New Roman"/>
          <w:sz w:val="22"/>
        </w:rPr>
        <w:t xml:space="preserve">, whereby the capital accumulation is both enabled and intensified by the overtures made to farmed caviar production having a  </w:t>
      </w:r>
      <w:r w:rsidR="005B63AD">
        <w:rPr>
          <w:rFonts w:cs="Times New Roman"/>
          <w:sz w:val="22"/>
        </w:rPr>
        <w:t>conservation-security</w:t>
      </w:r>
      <w:r>
        <w:rPr>
          <w:rFonts w:cs="Times New Roman"/>
          <w:sz w:val="22"/>
        </w:rPr>
        <w:t xml:space="preserve"> impact. </w:t>
      </w:r>
    </w:p>
    <w:p w14:paraId="10A86B39" w14:textId="77777777" w:rsidR="00967716" w:rsidRPr="00553621" w:rsidRDefault="00967716" w:rsidP="00553621">
      <w:pPr>
        <w:pStyle w:val="Heading2"/>
      </w:pPr>
    </w:p>
    <w:p w14:paraId="2826135E" w14:textId="77777777" w:rsidR="00967716" w:rsidRPr="00553621" w:rsidRDefault="00967716" w:rsidP="00553621">
      <w:pPr>
        <w:pStyle w:val="Heading2"/>
      </w:pPr>
      <w:bookmarkStart w:id="84" w:name="_Toc453224241"/>
      <w:r w:rsidRPr="00553621">
        <w:t>6.3 More-than-human politics of securitized caviar production</w:t>
      </w:r>
      <w:bookmarkEnd w:id="84"/>
    </w:p>
    <w:p w14:paraId="57C1D6B0" w14:textId="44BE4136" w:rsidR="00967716" w:rsidRDefault="00967716" w:rsidP="00967716">
      <w:pPr>
        <w:rPr>
          <w:rFonts w:cs="Times New Roman"/>
          <w:noProof/>
          <w:sz w:val="22"/>
        </w:rPr>
      </w:pPr>
      <w:r>
        <w:rPr>
          <w:rFonts w:cs="Times New Roman"/>
          <w:sz w:val="22"/>
        </w:rPr>
        <w:t xml:space="preserve">Finally, in their </w:t>
      </w:r>
      <w:r w:rsidR="000B45D3">
        <w:rPr>
          <w:rFonts w:cs="Times New Roman"/>
          <w:sz w:val="22"/>
        </w:rPr>
        <w:t>examination of</w:t>
      </w:r>
      <w:r>
        <w:rPr>
          <w:rFonts w:cs="Times New Roman"/>
          <w:sz w:val="22"/>
        </w:rPr>
        <w:t xml:space="preserve"> the conservation-security-accumulation nexus operating in the Mozambican borderlands, </w:t>
      </w:r>
      <w:r w:rsidRPr="00333565">
        <w:rPr>
          <w:rFonts w:cs="Times New Roman"/>
          <w:noProof/>
          <w:sz w:val="22"/>
        </w:rPr>
        <w:t>Massé and Lunstrum</w:t>
      </w:r>
      <w:r>
        <w:rPr>
          <w:rFonts w:cs="Times New Roman"/>
          <w:noProof/>
          <w:sz w:val="22"/>
        </w:rPr>
        <w:t xml:space="preserve"> (2016) argue that accumulation by securitization often results in the disposession and opression of vulnerable communities. In the context of my own research, the policy move towards farmed caviar production has arguably resulted in the dispossession of fishing communities in EU sturgeon range states</w:t>
      </w:r>
      <w:r w:rsidR="000B45D3">
        <w:rPr>
          <w:rFonts w:cs="Times New Roman"/>
          <w:noProof/>
          <w:sz w:val="22"/>
        </w:rPr>
        <w:t xml:space="preserve"> (as discussed in chapter four)</w:t>
      </w:r>
      <w:r>
        <w:rPr>
          <w:rFonts w:cs="Times New Roman"/>
          <w:noProof/>
          <w:sz w:val="22"/>
        </w:rPr>
        <w:t>. Such fishing communities have typically gained no economic benefit from farmed caviar production as a form of conserva</w:t>
      </w:r>
      <w:r w:rsidR="000B45D3">
        <w:rPr>
          <w:rFonts w:cs="Times New Roman"/>
          <w:noProof/>
          <w:sz w:val="22"/>
        </w:rPr>
        <w:t>tion based capital accumulation</w:t>
      </w:r>
      <w:r>
        <w:rPr>
          <w:rFonts w:cs="Times New Roman"/>
          <w:noProof/>
          <w:sz w:val="22"/>
        </w:rPr>
        <w:t xml:space="preserve">. Furthermore, building on the more-than-human theoretical framework of this thesis I highlight how accumulation driven by the securitization of farmed caviar production, also results in forms of more-than-human dispossession and opression. This I argue is an overlooked implication of the policy move towards farmed caviar production; and so I broaden the lens of analysis to examine the impact of the conservation-security-accumulation nexus upon farmed sturgeon. </w:t>
      </w:r>
    </w:p>
    <w:p w14:paraId="4255FA19" w14:textId="787FC5A6" w:rsidR="00967716" w:rsidRDefault="00967716" w:rsidP="00967716">
      <w:pPr>
        <w:rPr>
          <w:rFonts w:cs="Times New Roman"/>
          <w:noProof/>
          <w:sz w:val="22"/>
        </w:rPr>
      </w:pPr>
      <w:r>
        <w:rPr>
          <w:rFonts w:cs="Times New Roman"/>
          <w:noProof/>
          <w:sz w:val="22"/>
        </w:rPr>
        <w:tab/>
        <w:t xml:space="preserve">As discussed previously, in </w:t>
      </w:r>
      <w:r w:rsidR="00450C1D">
        <w:rPr>
          <w:rFonts w:cs="Times New Roman"/>
          <w:noProof/>
          <w:sz w:val="22"/>
        </w:rPr>
        <w:t>framing the securitization of</w:t>
      </w:r>
      <w:r>
        <w:rPr>
          <w:rFonts w:cs="Times New Roman"/>
          <w:noProof/>
          <w:sz w:val="22"/>
        </w:rPr>
        <w:t xml:space="preserve"> caviar production as a conservation strategy, farmed sturgeon are refigured as security actors through techno-mediated farming interventions. In optimising farmed sturgeon for </w:t>
      </w:r>
      <w:r w:rsidR="00450C1D">
        <w:rPr>
          <w:rFonts w:cs="Times New Roman"/>
          <w:noProof/>
          <w:sz w:val="22"/>
        </w:rPr>
        <w:t xml:space="preserve">intensified </w:t>
      </w:r>
      <w:r>
        <w:rPr>
          <w:rFonts w:cs="Times New Roman"/>
          <w:noProof/>
          <w:sz w:val="22"/>
        </w:rPr>
        <w:t xml:space="preserve">caviar production the fish are seen to limit the eco-security threat posed by the potential extinction of wild sturgeon. On the surface, the securitization of farmed caviar production therefore represents a progressive more-than-human approach to security. Incorporating farmed sturgeon into the security agenda </w:t>
      </w:r>
      <w:r w:rsidR="000B45D3">
        <w:rPr>
          <w:rFonts w:cs="Times New Roman"/>
          <w:noProof/>
          <w:sz w:val="22"/>
        </w:rPr>
        <w:t>“</w:t>
      </w:r>
      <w:r>
        <w:rPr>
          <w:rFonts w:cs="Times New Roman"/>
          <w:noProof/>
          <w:sz w:val="22"/>
        </w:rPr>
        <w:t>decentres the human as the single bottom-line of security</w:t>
      </w:r>
      <w:r w:rsidR="000B45D3">
        <w:rPr>
          <w:rFonts w:cs="Times New Roman"/>
          <w:noProof/>
          <w:sz w:val="22"/>
        </w:rPr>
        <w:t xml:space="preserve">” </w:t>
      </w:r>
      <w:r w:rsidR="000B45D3">
        <w:rPr>
          <w:rFonts w:cs="Times New Roman"/>
          <w:noProof/>
          <w:sz w:val="22"/>
        </w:rPr>
        <w:fldChar w:fldCharType="begin" w:fldLock="1"/>
      </w:r>
      <w:r w:rsidR="000B45D3">
        <w:rPr>
          <w:rFonts w:cs="Times New Roman"/>
          <w:noProof/>
          <w:sz w:val="22"/>
        </w:rPr>
        <w:instrText>ADDIN CSL_CITATION {"citationItems":[{"id":"ITEM-1","itemData":{"DOI":"10.1057/978-1-349-95145-1_4","author":[{"dropping-particle":"","family":"Cudworth","given":"Erika","non-dropping-particle":"","parse-names":false,"suffix":""},{"dropping-particle":"","family":"Hobden","given":"Stephen","non-dropping-particle":"","parse-names":false,"suffix":""}],"container-title":"Global Insecurity","id":"ITEM-1","issued":{"date-parts":[["2017"]]},"page":"65-81","publisher":"Palgrave Macmillan UK","publisher-place":"London","title":"Post-human Security","type":"chapter"},"uris":["http://www.mendeley.com/documents/?uuid=ef436ad5-d80a-33b6-8010-2b9743227a2c"]}],"mendeley":{"formattedCitation":"(Cudworth and Hobden, 2017)","plainTextFormattedCitation":"(Cudworth and Hobden, 2017)","previouslyFormattedCitation":"(Cudworth and Hobden, 2017)"},"properties":{"noteIndex":0},"schema":"https://github.com/citation-style-language/schema/raw/master/csl-citation.json"}</w:instrText>
      </w:r>
      <w:r w:rsidR="000B45D3">
        <w:rPr>
          <w:rFonts w:cs="Times New Roman"/>
          <w:noProof/>
          <w:sz w:val="22"/>
        </w:rPr>
        <w:fldChar w:fldCharType="separate"/>
      </w:r>
      <w:r w:rsidR="000B45D3" w:rsidRPr="00042533">
        <w:rPr>
          <w:rFonts w:cs="Times New Roman"/>
          <w:noProof/>
          <w:sz w:val="22"/>
        </w:rPr>
        <w:t>(Cudworth and Hobden, 2017)</w:t>
      </w:r>
      <w:r w:rsidR="000B45D3">
        <w:rPr>
          <w:rFonts w:cs="Times New Roman"/>
          <w:noProof/>
          <w:sz w:val="22"/>
        </w:rPr>
        <w:fldChar w:fldCharType="end"/>
      </w:r>
      <w:r w:rsidR="000B45D3">
        <w:rPr>
          <w:rFonts w:cs="Times New Roman"/>
          <w:noProof/>
          <w:sz w:val="22"/>
        </w:rPr>
        <w:t>;</w:t>
      </w:r>
      <w:r>
        <w:rPr>
          <w:rFonts w:cs="Times New Roman"/>
          <w:noProof/>
          <w:sz w:val="22"/>
        </w:rPr>
        <w:t xml:space="preserve"> </w:t>
      </w:r>
      <w:r w:rsidR="000B45D3">
        <w:rPr>
          <w:rFonts w:cs="Times New Roman"/>
          <w:noProof/>
          <w:sz w:val="22"/>
        </w:rPr>
        <w:t>thereby recognising</w:t>
      </w:r>
      <w:r>
        <w:rPr>
          <w:rFonts w:cs="Times New Roman"/>
          <w:noProof/>
          <w:sz w:val="22"/>
        </w:rPr>
        <w:t xml:space="preserve"> that</w:t>
      </w:r>
      <w:r w:rsidR="000B45D3">
        <w:rPr>
          <w:rFonts w:cs="Times New Roman"/>
          <w:noProof/>
          <w:sz w:val="22"/>
        </w:rPr>
        <w:t xml:space="preserve"> the security of human lives is </w:t>
      </w:r>
      <w:r>
        <w:rPr>
          <w:rFonts w:cs="Times New Roman"/>
          <w:noProof/>
          <w:sz w:val="22"/>
        </w:rPr>
        <w:t xml:space="preserve">inherently intertwined with the ‘security’ of </w:t>
      </w:r>
      <w:r w:rsidR="000B45D3">
        <w:rPr>
          <w:rFonts w:cs="Times New Roman"/>
          <w:noProof/>
          <w:sz w:val="22"/>
        </w:rPr>
        <w:t xml:space="preserve">other </w:t>
      </w:r>
      <w:r>
        <w:rPr>
          <w:rFonts w:cs="Times New Roman"/>
          <w:noProof/>
          <w:sz w:val="22"/>
        </w:rPr>
        <w:t xml:space="preserve">nonhuman lives and environments </w:t>
      </w:r>
      <w:r>
        <w:rPr>
          <w:rFonts w:cs="Times New Roman"/>
          <w:noProof/>
          <w:sz w:val="22"/>
        </w:rPr>
        <w:fldChar w:fldCharType="begin" w:fldLock="1"/>
      </w:r>
      <w:r w:rsidR="00EC7F7E">
        <w:rPr>
          <w:rFonts w:cs="Times New Roman"/>
          <w:noProof/>
          <w:sz w:val="22"/>
        </w:rPr>
        <w:instrText>ADDIN CSL_CITATION {"citationItems":[{"id":"ITEM-1","itemData":{"DOI":"10.1057/978-1-349-95145-1_4","author":[{"dropping-particle":"","family":"Cudworth","given":"Erika","non-dropping-particle":"","parse-names":false,"suffix":""},{"dropping-particle":"","family":"Hobden","given":"Stephen","non-dropping-particle":"","parse-names":false,"suffix":""}],"container-title":"Global Insecurity","id":"ITEM-1","issued":{"date-parts":[["2017"]]},"page":"65-81","publisher":"Palgrave Macmillan UK","publisher-place":"London","title":"Post-human Security","type":"chapter"},"uris":["http://www.mendeley.com/documents/?uuid=ef436ad5-d80a-33b6-8010-2b9743227a2c"]}],"mendeley":{"formattedCitation":"(Cudworth and Hobden, 2017)","plainTextFormattedCitation":"(Cudworth and Hobden, 2017)","previouslyFormattedCitation":"(Cudworth and Hobden, 2017)"},"properties":{"noteIndex":0},"schema":"https://github.com/citation-style-language/schema/raw/master/csl-citation.json"}</w:instrText>
      </w:r>
      <w:r>
        <w:rPr>
          <w:rFonts w:cs="Times New Roman"/>
          <w:noProof/>
          <w:sz w:val="22"/>
        </w:rPr>
        <w:fldChar w:fldCharType="separate"/>
      </w:r>
      <w:r w:rsidR="00042533" w:rsidRPr="00042533">
        <w:rPr>
          <w:rFonts w:cs="Times New Roman"/>
          <w:noProof/>
          <w:sz w:val="22"/>
        </w:rPr>
        <w:t>(Cudworth and Hobden, 2017)</w:t>
      </w:r>
      <w:r>
        <w:rPr>
          <w:rFonts w:cs="Times New Roman"/>
          <w:noProof/>
          <w:sz w:val="22"/>
        </w:rPr>
        <w:fldChar w:fldCharType="end"/>
      </w:r>
      <w:r>
        <w:rPr>
          <w:rFonts w:cs="Times New Roman"/>
          <w:noProof/>
          <w:sz w:val="22"/>
        </w:rPr>
        <w:t xml:space="preserve">. However, drawing on Mitchell </w:t>
      </w:r>
      <w:r>
        <w:rPr>
          <w:rFonts w:cs="Times New Roman"/>
          <w:noProof/>
          <w:sz w:val="22"/>
        </w:rPr>
        <w:fldChar w:fldCharType="begin" w:fldLock="1"/>
      </w:r>
      <w:r w:rsidR="00DF6644">
        <w:rPr>
          <w:rFonts w:cs="Times New Roman"/>
          <w:noProof/>
          <w:sz w:val="22"/>
        </w:rPr>
        <w:instrText>ADDIN CSL_CITATION {"citationItems":[{"id":"ITEM-1","itemData":{"author":[{"dropping-particle":"","family":"Mitchell","given":"Audra","non-dropping-particle":"","parse-names":false,"suffix":""}],"id":"ITEM-1","issued":{"date-parts":[["2016"]]},"page":"1-5","title":"Posthuman Security Reflections from an Open-ended Conversation","type":"article-journal"},"uris":["http://www.mendeley.com/documents/?uuid=7d841682-c64d-4c9a-ab0a-dfe5147bcadc"]}],"mendeley":{"formattedCitation":"(Mitchell, 2016)","manualFormatting":"(2017)","plainTextFormattedCitation":"(Mitchell, 2016)","previouslyFormattedCitation":"(Mitchell, 2016)"},"properties":{"noteIndex":0},"schema":"https://github.com/citation-style-language/schema/raw/master/csl-citation.json"}</w:instrText>
      </w:r>
      <w:r>
        <w:rPr>
          <w:rFonts w:cs="Times New Roman"/>
          <w:noProof/>
          <w:sz w:val="22"/>
        </w:rPr>
        <w:fldChar w:fldCharType="separate"/>
      </w:r>
      <w:r w:rsidR="003D2958">
        <w:rPr>
          <w:rFonts w:cs="Times New Roman"/>
          <w:noProof/>
          <w:sz w:val="22"/>
        </w:rPr>
        <w:t>(2017</w:t>
      </w:r>
      <w:r w:rsidRPr="003E2B97">
        <w:rPr>
          <w:rFonts w:cs="Times New Roman"/>
          <w:noProof/>
          <w:sz w:val="22"/>
        </w:rPr>
        <w:t>)</w:t>
      </w:r>
      <w:r>
        <w:rPr>
          <w:rFonts w:cs="Times New Roman"/>
          <w:noProof/>
          <w:sz w:val="22"/>
        </w:rPr>
        <w:fldChar w:fldCharType="end"/>
      </w:r>
      <w:r w:rsidR="00450C1D">
        <w:rPr>
          <w:rFonts w:cs="Times New Roman"/>
          <w:noProof/>
          <w:sz w:val="22"/>
        </w:rPr>
        <w:t xml:space="preserve"> who points to the “</w:t>
      </w:r>
      <w:r>
        <w:rPr>
          <w:rFonts w:cs="Times New Roman"/>
          <w:noProof/>
          <w:sz w:val="22"/>
        </w:rPr>
        <w:t>double-edged sword of ma</w:t>
      </w:r>
      <w:r w:rsidR="00450C1D">
        <w:rPr>
          <w:rFonts w:cs="Times New Roman"/>
          <w:noProof/>
          <w:sz w:val="22"/>
        </w:rPr>
        <w:t>king security ‘more-than-human’”</w:t>
      </w:r>
      <w:r>
        <w:rPr>
          <w:rFonts w:cs="Times New Roman"/>
          <w:noProof/>
          <w:sz w:val="22"/>
        </w:rPr>
        <w:t>(13), I argue that enfolding farmed sturgeon into the securitization of farmed caviar production is not a progressive step towards a more expansive conceptualisation of security. On the contrary, the securitization of farmed cavia</w:t>
      </w:r>
      <w:r w:rsidR="00450C1D">
        <w:rPr>
          <w:rFonts w:cs="Times New Roman"/>
          <w:noProof/>
          <w:sz w:val="22"/>
        </w:rPr>
        <w:t>r production demonstrates that “</w:t>
      </w:r>
      <w:r>
        <w:rPr>
          <w:rFonts w:cs="Times New Roman"/>
          <w:noProof/>
          <w:sz w:val="22"/>
        </w:rPr>
        <w:t>simply ex</w:t>
      </w:r>
      <w:r w:rsidR="00450C1D">
        <w:rPr>
          <w:rFonts w:cs="Times New Roman"/>
          <w:noProof/>
          <w:sz w:val="22"/>
        </w:rPr>
        <w:t>tending the logics of security ‘beyond the human’</w:t>
      </w:r>
      <w:r>
        <w:rPr>
          <w:rFonts w:cs="Times New Roman"/>
          <w:noProof/>
          <w:sz w:val="22"/>
        </w:rPr>
        <w:t xml:space="preserve">…threatens </w:t>
      </w:r>
      <w:r>
        <w:rPr>
          <w:rFonts w:cs="Times New Roman"/>
          <w:noProof/>
          <w:sz w:val="22"/>
        </w:rPr>
        <w:lastRenderedPageBreak/>
        <w:t xml:space="preserve">to compound </w:t>
      </w:r>
      <w:r w:rsidR="00450C1D">
        <w:rPr>
          <w:rFonts w:cs="Times New Roman"/>
          <w:noProof/>
          <w:sz w:val="22"/>
        </w:rPr>
        <w:t>regimes of biopolitical control”</w:t>
      </w:r>
      <w:r w:rsidR="003D2958">
        <w:rPr>
          <w:rFonts w:cs="Times New Roman"/>
          <w:noProof/>
          <w:sz w:val="22"/>
        </w:rPr>
        <w:t xml:space="preserve"> (Mitchell, 2017</w:t>
      </w:r>
      <w:r>
        <w:rPr>
          <w:rFonts w:cs="Times New Roman"/>
          <w:noProof/>
          <w:sz w:val="22"/>
        </w:rPr>
        <w:t xml:space="preserve">: 13). In other words, I argue that the ‘green pretext’ underlying the securitization of farmed caviar production, serves to shield from view some of the ways that farmed sturgeon are subjugated to the demands of capital accumulation. There are in fact a number of ethico-political issues and grey areas inherent to the treatment of sturgeon in farmed caviar production; but these issues are rendered invsible by the powerful narrative that farmed caviar production is a conservation panacea for sturgeon. </w:t>
      </w:r>
    </w:p>
    <w:p w14:paraId="77687AF4" w14:textId="52974470" w:rsidR="00967716" w:rsidRDefault="00967716" w:rsidP="00967716">
      <w:pPr>
        <w:rPr>
          <w:rFonts w:cs="Times New Roman"/>
          <w:noProof/>
          <w:sz w:val="22"/>
        </w:rPr>
      </w:pPr>
      <w:r>
        <w:rPr>
          <w:rFonts w:cs="Times New Roman"/>
          <w:noProof/>
          <w:sz w:val="22"/>
        </w:rPr>
        <w:tab/>
        <w:t>For example, sturgeon farmer and caviar producer Ethan acknowledged that the securitization</w:t>
      </w:r>
      <w:r w:rsidR="00450C1D">
        <w:rPr>
          <w:rFonts w:cs="Times New Roman"/>
          <w:noProof/>
          <w:sz w:val="22"/>
        </w:rPr>
        <w:t xml:space="preserve"> of the physical infrastructures of  caviar enterprises </w:t>
      </w:r>
      <w:r>
        <w:rPr>
          <w:rFonts w:cs="Times New Roman"/>
          <w:noProof/>
          <w:sz w:val="22"/>
        </w:rPr>
        <w:t>means that the killing of farmed sturgeo</w:t>
      </w:r>
      <w:r w:rsidR="00450C1D">
        <w:rPr>
          <w:rFonts w:cs="Times New Roman"/>
          <w:noProof/>
          <w:sz w:val="22"/>
        </w:rPr>
        <w:t>n is largely hidden from view: “</w:t>
      </w:r>
      <w:r>
        <w:rPr>
          <w:rFonts w:cs="Times New Roman"/>
          <w:noProof/>
          <w:sz w:val="22"/>
        </w:rPr>
        <w:t>people don’t see this bit where the fish gets killed… the industry know that behind those doors is never shown anywhere… where the killing happens, yeah that’s taboo basically</w:t>
      </w:r>
      <w:r w:rsidR="00450C1D">
        <w:rPr>
          <w:rFonts w:cs="Times New Roman"/>
          <w:noProof/>
          <w:sz w:val="22"/>
        </w:rPr>
        <w:t>”</w:t>
      </w:r>
      <w:r w:rsidRPr="005B292F">
        <w:rPr>
          <w:rStyle w:val="FootnoteReference"/>
        </w:rPr>
        <w:footnoteReference w:id="196"/>
      </w:r>
      <w:r>
        <w:rPr>
          <w:rFonts w:cs="Times New Roman"/>
          <w:noProof/>
          <w:sz w:val="22"/>
        </w:rPr>
        <w:t>. In describing some of the killing processes that he had witnessed at other caviar production facilities, Ethan recounted seeing sturgeon handled in ways that caused significant injuries to the fish, before being killed in what he denounced as inhumane methods. He expressed his frustration</w:t>
      </w:r>
      <w:r w:rsidR="000B45D3">
        <w:rPr>
          <w:rFonts w:cs="Times New Roman"/>
          <w:noProof/>
          <w:sz w:val="22"/>
        </w:rPr>
        <w:t xml:space="preserve"> at the disconnect between the</w:t>
      </w:r>
      <w:r>
        <w:rPr>
          <w:rFonts w:cs="Times New Roman"/>
          <w:noProof/>
          <w:sz w:val="22"/>
        </w:rPr>
        <w:t xml:space="preserve"> conservation ethos that farmed caviar production</w:t>
      </w:r>
      <w:r w:rsidR="000B45D3">
        <w:rPr>
          <w:rFonts w:cs="Times New Roman"/>
          <w:noProof/>
          <w:sz w:val="22"/>
        </w:rPr>
        <w:t xml:space="preserve"> apparently</w:t>
      </w:r>
      <w:r>
        <w:rPr>
          <w:rFonts w:cs="Times New Roman"/>
          <w:noProof/>
          <w:sz w:val="22"/>
        </w:rPr>
        <w:t xml:space="preserve"> represents, and the treatment of farmed sturgeon in some aquaculture facilities. However, the nature of farmed caviar production is largely opaque and hidden from public view due to the securitization processes outlined previously. As such, there is limited public discussion around the ethics of farmed caviar production in comparison to debates around the production processes of other luxury food items, such as foie gras or veal. Part of the reason for the lack of engagement with the ethics of farmed caviar production is, I argue, due to how security and conservation narratives coalesce around caviar. The securitization of caviar production is pursued under the ‘green pretext’ </w:t>
      </w:r>
      <w:r>
        <w:rPr>
          <w:rFonts w:cs="Times New Roman"/>
          <w:noProof/>
          <w:sz w:val="22"/>
        </w:rPr>
        <w:fldChar w:fldCharType="begin" w:fldLock="1"/>
      </w:r>
      <w:r>
        <w:rPr>
          <w:rFonts w:cs="Times New Roman"/>
          <w:noProof/>
          <w:sz w:val="22"/>
        </w:rPr>
        <w:instrText>ADDIN CSL_CITATION {"citationItems":[{"id":"ITEM-1","itemData":{"DOI":"10.1080/03066150.2012.658777","ISSN":"03066150","abstract":"While conflict-related dynamics are recognized as causes of land grabbing in Colombia, violent processes of exclusion and expropriation behind 'greener' projects are often seen as disconnected from them. The case of ecotourism in Tayrona National Natural Park makes it possible to explore the geographies of violence that sustain tourism in the area and their role in shaping everyday resource politics. This paper shows how green pretexts of paradisiacal spots in need of protection have contributed to privatization and dispossession. Furthermore, it details how land-grabbing dynamics have been enabled by processes of sociospatial demarcation that produce not-green-enough subjects as bodies-out-of-place. © 2012 Copyright Taylor and Francis Group, LLC.","author":[{"dropping-particle":"","family":"Ojeda","given":"Diana","non-dropping-particle":"","parse-names":false,"suffix":""}],"container-title":"Journal of Peasant Studies","id":"ITEM-1","issue":"2","issued":{"date-parts":[["2012"]]},"page":"357-375","title":"Green pretexts: Ecotourism, neoliberal conservation and land grabbing in Tayrona National Natural Park, Colombia","type":"article-journal","volume":"39"},"uris":["http://www.mendeley.com/documents/?uuid=ac841b65-b0fa-4085-8bce-3c2bdc1b4fb8"]}],"mendeley":{"formattedCitation":"(Ojeda, 2012)","plainTextFormattedCitation":"(Ojeda, 2012)","previouslyFormattedCitation":"(Ojeda, 2012)"},"properties":{"noteIndex":0},"schema":"https://github.com/citation-style-language/schema/raw/master/csl-citation.json"}</w:instrText>
      </w:r>
      <w:r>
        <w:rPr>
          <w:rFonts w:cs="Times New Roman"/>
          <w:noProof/>
          <w:sz w:val="22"/>
        </w:rPr>
        <w:fldChar w:fldCharType="separate"/>
      </w:r>
      <w:r>
        <w:rPr>
          <w:rFonts w:cs="Times New Roman"/>
          <w:noProof/>
          <w:sz w:val="22"/>
        </w:rPr>
        <w:t xml:space="preserve">(Ojeda, </w:t>
      </w:r>
      <w:r w:rsidRPr="003F6E83">
        <w:rPr>
          <w:rFonts w:cs="Times New Roman"/>
          <w:noProof/>
          <w:sz w:val="22"/>
        </w:rPr>
        <w:t>2012)</w:t>
      </w:r>
      <w:r>
        <w:rPr>
          <w:rFonts w:cs="Times New Roman"/>
          <w:noProof/>
          <w:sz w:val="22"/>
        </w:rPr>
        <w:fldChar w:fldCharType="end"/>
      </w:r>
      <w:r>
        <w:rPr>
          <w:rFonts w:cs="Times New Roman"/>
          <w:noProof/>
          <w:sz w:val="22"/>
        </w:rPr>
        <w:t xml:space="preserve"> of sturgeon conservation; and this conservation narrative effectively renders any questions regarding the ethics of farmed caviar production invisibl</w:t>
      </w:r>
      <w:r w:rsidR="00CD4D99">
        <w:rPr>
          <w:rFonts w:cs="Times New Roman"/>
          <w:noProof/>
          <w:sz w:val="22"/>
        </w:rPr>
        <w:t>e, as the focus remains on the “services”</w:t>
      </w:r>
      <w:r>
        <w:rPr>
          <w:rFonts w:cs="Times New Roman"/>
          <w:noProof/>
          <w:sz w:val="22"/>
        </w:rPr>
        <w:t xml:space="preserve"> t</w:t>
      </w:r>
      <w:r w:rsidR="00CD4D99">
        <w:rPr>
          <w:rFonts w:cs="Times New Roman"/>
          <w:noProof/>
          <w:sz w:val="22"/>
        </w:rPr>
        <w:t>hat farmed sturgeon provide as “</w:t>
      </w:r>
      <w:r>
        <w:rPr>
          <w:rFonts w:cs="Times New Roman"/>
          <w:noProof/>
          <w:sz w:val="22"/>
        </w:rPr>
        <w:t>good</w:t>
      </w:r>
      <w:r w:rsidR="00CD4D99">
        <w:rPr>
          <w:rFonts w:cs="Times New Roman"/>
          <w:noProof/>
          <w:sz w:val="22"/>
        </w:rPr>
        <w:t xml:space="preserve"> ecological citizens” </w:t>
      </w:r>
      <w:r>
        <w:rPr>
          <w:rFonts w:cs="Times New Roman"/>
          <w:noProof/>
          <w:sz w:val="22"/>
        </w:rPr>
        <w:t xml:space="preserve">(Johnson, 2016: 65). </w:t>
      </w:r>
    </w:p>
    <w:p w14:paraId="7E41D5BA" w14:textId="098C03D2" w:rsidR="00967716" w:rsidRDefault="00967716" w:rsidP="00967716">
      <w:pPr>
        <w:rPr>
          <w:rFonts w:cs="Times New Roman"/>
          <w:noProof/>
          <w:sz w:val="22"/>
        </w:rPr>
      </w:pPr>
      <w:r>
        <w:rPr>
          <w:rFonts w:cs="Times New Roman"/>
          <w:noProof/>
          <w:sz w:val="22"/>
        </w:rPr>
        <w:tab/>
        <w:t>Thus, an overlooked more-than-human implication of the securitization of farmed caviar production, is how this process diverts attention away from the ethics of sturgeon farming. The prevailing view that farmed caviar production is a conservation panacea for endangered wild sturgeon, justifies processes of securitization that may on the surface appear to be progressive. However, this discussion has pointed to the fact that securitization can render ethico-political issues related to caviar production invisible, and thereby mask the ways that the security-conservation-accumulation nexus at work in farmed caviar production overwhelmingly objectifies farmed sturgeon. Thus, in higlighting the more-than-human ethics of securitizing farmed caviar production, this disc</w:t>
      </w:r>
      <w:r w:rsidR="00CD4D99">
        <w:rPr>
          <w:rFonts w:cs="Times New Roman"/>
          <w:noProof/>
          <w:sz w:val="22"/>
        </w:rPr>
        <w:t>ussion points to the fact that “</w:t>
      </w:r>
      <w:r>
        <w:rPr>
          <w:rFonts w:cs="Times New Roman"/>
          <w:noProof/>
          <w:sz w:val="22"/>
        </w:rPr>
        <w:t>there are strong critical reasons to resist existing drives to envelo</w:t>
      </w:r>
      <w:r w:rsidR="00CD4D99">
        <w:rPr>
          <w:rFonts w:cs="Times New Roman"/>
          <w:noProof/>
          <w:sz w:val="22"/>
        </w:rPr>
        <w:t xml:space="preserve">p </w:t>
      </w:r>
      <w:r w:rsidR="00CD4D99">
        <w:rPr>
          <w:rFonts w:cs="Times New Roman"/>
          <w:noProof/>
          <w:sz w:val="22"/>
        </w:rPr>
        <w:lastRenderedPageBreak/>
        <w:t>more and more aspects of the ‘more-than-human’</w:t>
      </w:r>
      <w:r>
        <w:rPr>
          <w:rFonts w:cs="Times New Roman"/>
          <w:noProof/>
          <w:sz w:val="22"/>
        </w:rPr>
        <w:t xml:space="preserve"> with</w:t>
      </w:r>
      <w:r w:rsidR="00CD4D99">
        <w:rPr>
          <w:rFonts w:cs="Times New Roman"/>
          <w:noProof/>
          <w:sz w:val="22"/>
        </w:rPr>
        <w:t>in existing security discourses”</w:t>
      </w:r>
      <w:r>
        <w:rPr>
          <w:rFonts w:cs="Times New Roman"/>
          <w:noProof/>
          <w:sz w:val="22"/>
        </w:rPr>
        <w:t xml:space="preserve"> </w:t>
      </w:r>
      <w:r>
        <w:rPr>
          <w:rFonts w:cs="Times New Roman"/>
          <w:noProof/>
          <w:sz w:val="22"/>
        </w:rPr>
        <w:fldChar w:fldCharType="begin" w:fldLock="1"/>
      </w:r>
      <w:r w:rsidR="00DF6644">
        <w:rPr>
          <w:rFonts w:cs="Times New Roman"/>
          <w:noProof/>
          <w:sz w:val="22"/>
        </w:rPr>
        <w:instrText>ADDIN CSL_CITATION {"citationItems":[{"id":"ITEM-1","itemData":{"author":[{"dropping-particle":"","family":"Mitchell","given":"Audra","non-dropping-particle":"","parse-names":false,"suffix":""}],"id":"ITEM-1","issued":{"date-parts":[["2016"]]},"page":"1-5","title":"Posthuman Security Reflections from an Open-ended Conversation","type":"article-journal"},"uris":["http://www.mendeley.com/documents/?uuid=7d841682-c64d-4c9a-ab0a-dfe5147bcadc"]}],"mendeley":{"formattedCitation":"(Mitchell, 2016)","manualFormatting":"(Mitchell, 2017: 13)","plainTextFormattedCitation":"(Mitchell, 2016)","previouslyFormattedCitation":"(Mitchell, 2016)"},"properties":{"noteIndex":0},"schema":"https://github.com/citation-style-language/schema/raw/master/csl-citation.json"}</w:instrText>
      </w:r>
      <w:r>
        <w:rPr>
          <w:rFonts w:cs="Times New Roman"/>
          <w:noProof/>
          <w:sz w:val="22"/>
        </w:rPr>
        <w:fldChar w:fldCharType="separate"/>
      </w:r>
      <w:r w:rsidRPr="009B7BE3">
        <w:rPr>
          <w:rFonts w:cs="Times New Roman"/>
          <w:noProof/>
          <w:sz w:val="22"/>
        </w:rPr>
        <w:t>(</w:t>
      </w:r>
      <w:r w:rsidR="003D2958">
        <w:rPr>
          <w:rFonts w:cs="Times New Roman"/>
          <w:noProof/>
          <w:sz w:val="22"/>
        </w:rPr>
        <w:t>Mitchell, 2017</w:t>
      </w:r>
      <w:r>
        <w:rPr>
          <w:rFonts w:cs="Times New Roman"/>
          <w:noProof/>
          <w:sz w:val="22"/>
        </w:rPr>
        <w:t>: 13</w:t>
      </w:r>
      <w:r w:rsidRPr="009B7BE3">
        <w:rPr>
          <w:rFonts w:cs="Times New Roman"/>
          <w:noProof/>
          <w:sz w:val="22"/>
        </w:rPr>
        <w:t>)</w:t>
      </w:r>
      <w:r>
        <w:rPr>
          <w:rFonts w:cs="Times New Roman"/>
          <w:noProof/>
          <w:sz w:val="22"/>
        </w:rPr>
        <w:fldChar w:fldCharType="end"/>
      </w:r>
      <w:r>
        <w:rPr>
          <w:rFonts w:cs="Times New Roman"/>
          <w:noProof/>
          <w:sz w:val="22"/>
        </w:rPr>
        <w:t xml:space="preserve">. </w:t>
      </w:r>
    </w:p>
    <w:p w14:paraId="3EB140C6" w14:textId="77777777" w:rsidR="00967716" w:rsidRDefault="00967716" w:rsidP="00967716">
      <w:pPr>
        <w:rPr>
          <w:rFonts w:cs="Times New Roman"/>
          <w:sz w:val="22"/>
        </w:rPr>
      </w:pPr>
    </w:p>
    <w:p w14:paraId="310EBDAD" w14:textId="77777777" w:rsidR="00967716" w:rsidRPr="0083603C" w:rsidRDefault="00967716" w:rsidP="00553621">
      <w:pPr>
        <w:pStyle w:val="Heading2"/>
      </w:pPr>
      <w:bookmarkStart w:id="85" w:name="_Toc453224242"/>
      <w:r w:rsidRPr="0083603C">
        <w:t>6.4 Conclusion</w:t>
      </w:r>
      <w:bookmarkEnd w:id="85"/>
    </w:p>
    <w:p w14:paraId="1D8F7635" w14:textId="7BBCD93F" w:rsidR="00967716" w:rsidRDefault="00967716" w:rsidP="00967716">
      <w:pPr>
        <w:rPr>
          <w:rFonts w:cs="Times New Roman"/>
          <w:noProof/>
          <w:sz w:val="22"/>
        </w:rPr>
      </w:pPr>
      <w:r>
        <w:rPr>
          <w:rFonts w:cs="Times New Roman"/>
          <w:sz w:val="22"/>
        </w:rPr>
        <w:t xml:space="preserve">This chapter engages with the </w:t>
      </w:r>
      <w:r w:rsidR="00CD4D99">
        <w:rPr>
          <w:rFonts w:cs="Times New Roman"/>
          <w:sz w:val="22"/>
        </w:rPr>
        <w:t xml:space="preserve">more-than-human </w:t>
      </w:r>
      <w:r>
        <w:rPr>
          <w:rFonts w:cs="Times New Roman"/>
          <w:sz w:val="22"/>
        </w:rPr>
        <w:t xml:space="preserve">politics surrounding the </w:t>
      </w:r>
      <w:r w:rsidR="00CD4D99">
        <w:rPr>
          <w:rFonts w:cs="Times New Roman"/>
          <w:sz w:val="22"/>
        </w:rPr>
        <w:t xml:space="preserve">discursive and material </w:t>
      </w:r>
      <w:r>
        <w:rPr>
          <w:rFonts w:cs="Times New Roman"/>
          <w:sz w:val="22"/>
        </w:rPr>
        <w:t xml:space="preserve">securitization of farmed caviar production in the European Union. In this chapter I argue that the securitization of farmed caviar </w:t>
      </w:r>
      <w:r w:rsidR="00CD4D99">
        <w:rPr>
          <w:rFonts w:cs="Times New Roman"/>
          <w:sz w:val="22"/>
        </w:rPr>
        <w:t>production is an overlooked outcome of the</w:t>
      </w:r>
      <w:r>
        <w:rPr>
          <w:rFonts w:cs="Times New Roman"/>
          <w:sz w:val="22"/>
        </w:rPr>
        <w:t xml:space="preserve"> caviar trade regulations; and I analyse the political implications of this securitization, arguing that the policy move towards farmed caviar production </w:t>
      </w:r>
      <w:r w:rsidR="00CD4D99">
        <w:rPr>
          <w:rFonts w:cs="Times New Roman"/>
          <w:sz w:val="22"/>
        </w:rPr>
        <w:t>has fostered</w:t>
      </w:r>
      <w:r>
        <w:rPr>
          <w:rFonts w:cs="Times New Roman"/>
          <w:sz w:val="22"/>
        </w:rPr>
        <w:t xml:space="preserve"> ‘accumulation by securitization’ (</w:t>
      </w:r>
      <w:r w:rsidRPr="00333565">
        <w:rPr>
          <w:rFonts w:cs="Times New Roman"/>
          <w:noProof/>
          <w:sz w:val="22"/>
        </w:rPr>
        <w:t>Massé and Lunstrum, 2016</w:t>
      </w:r>
      <w:r>
        <w:rPr>
          <w:rFonts w:cs="Times New Roman"/>
          <w:noProof/>
          <w:sz w:val="22"/>
        </w:rPr>
        <w:t>). Thus, in analysing: a) the narratives that catalyse the securitization process; b) how this securitization process manifests physically through material infrastructures</w:t>
      </w:r>
      <w:r w:rsidR="00291FD4">
        <w:rPr>
          <w:rFonts w:cs="Times New Roman"/>
          <w:noProof/>
          <w:sz w:val="22"/>
        </w:rPr>
        <w:t xml:space="preserve"> </w:t>
      </w:r>
      <w:r>
        <w:rPr>
          <w:rFonts w:cs="Times New Roman"/>
          <w:noProof/>
          <w:sz w:val="22"/>
        </w:rPr>
        <w:t xml:space="preserve">and </w:t>
      </w:r>
      <w:r w:rsidR="00291FD4">
        <w:rPr>
          <w:rFonts w:cs="Times New Roman"/>
          <w:noProof/>
          <w:sz w:val="22"/>
        </w:rPr>
        <w:t>discursively imbues</w:t>
      </w:r>
      <w:r w:rsidR="00CD4D99">
        <w:rPr>
          <w:rFonts w:cs="Times New Roman"/>
          <w:noProof/>
          <w:sz w:val="22"/>
        </w:rPr>
        <w:t xml:space="preserve"> </w:t>
      </w:r>
      <w:r>
        <w:rPr>
          <w:rFonts w:cs="Times New Roman"/>
          <w:noProof/>
          <w:sz w:val="22"/>
        </w:rPr>
        <w:t xml:space="preserve">production methods; and c) the political implications of the securitization process; I ultimately conclude that sturgeon conservation is used as a ‘green pretext’ (Ojeda, 2012) for securitizing farmed caviar production, and demonstrate that the primary implication of this securitization is the creation of opportunities for capital accumulation, rather than indicating a tangible conservation benefit. In fact, I argue that the conservation benefit of securitized caviar production is largely unclear, and </w:t>
      </w:r>
      <w:r w:rsidR="00CD4D99">
        <w:rPr>
          <w:rFonts w:cs="Times New Roman"/>
          <w:noProof/>
          <w:sz w:val="22"/>
        </w:rPr>
        <w:t>remains</w:t>
      </w:r>
      <w:r>
        <w:rPr>
          <w:rFonts w:cs="Times New Roman"/>
          <w:noProof/>
          <w:sz w:val="22"/>
        </w:rPr>
        <w:t xml:space="preserve"> a policy grey area. </w:t>
      </w:r>
    </w:p>
    <w:p w14:paraId="23B6995C" w14:textId="16E734DC" w:rsidR="00967716" w:rsidRDefault="00967716" w:rsidP="00967716">
      <w:pPr>
        <w:rPr>
          <w:rFonts w:cs="Times New Roman"/>
          <w:sz w:val="22"/>
        </w:rPr>
      </w:pPr>
      <w:r>
        <w:rPr>
          <w:rFonts w:cs="Times New Roman"/>
          <w:noProof/>
          <w:sz w:val="22"/>
        </w:rPr>
        <w:tab/>
        <w:t xml:space="preserve">In this chapter I highlight how restrictions on wild harvest of sturgeon for caviar, has resulted in farmed caviar production being promoted as a conservation policy move in the EU. Linked to the policy support for farmed caviar production is the emergence of a powerful narrative that positions farmed caviar production as a conservation panacea for sturgeon. As a result of this narrative, farmed caviar production has become entrenched as a geopolitical-ecological conservation discourse in the European Union. However, I argue that the </w:t>
      </w:r>
      <w:r w:rsidR="00291FD4">
        <w:rPr>
          <w:rFonts w:cs="Times New Roman"/>
          <w:noProof/>
          <w:sz w:val="22"/>
        </w:rPr>
        <w:t xml:space="preserve">conservation </w:t>
      </w:r>
      <w:r>
        <w:rPr>
          <w:rFonts w:cs="Times New Roman"/>
          <w:noProof/>
          <w:sz w:val="22"/>
        </w:rPr>
        <w:t xml:space="preserve">narrative sustaining this policy move is riddled with gaps and grey areas. In particular, the </w:t>
      </w:r>
      <w:r>
        <w:rPr>
          <w:rFonts w:cs="Times New Roman"/>
          <w:sz w:val="22"/>
        </w:rPr>
        <w:t xml:space="preserve">narrative overlooks a number of important socio-political-economic factors that must be integrated into any sturgeon conservation strategy. In fleshing out these gaps and adding greater nuance to the grey areas in the narrative, I demonstrate that the conservation potential of farmed caviar production is unclear, and subsequently raise questions about whether this policy move represents a conservation panacea for sturgeon in the EU. </w:t>
      </w:r>
    </w:p>
    <w:p w14:paraId="4368B455" w14:textId="77777777" w:rsidR="00291FD4" w:rsidRDefault="00967716" w:rsidP="00406EEA">
      <w:pPr>
        <w:ind w:firstLine="720"/>
        <w:rPr>
          <w:rFonts w:cs="Times New Roman"/>
          <w:sz w:val="22"/>
        </w:rPr>
      </w:pPr>
      <w:r>
        <w:rPr>
          <w:rFonts w:cs="Times New Roman"/>
          <w:sz w:val="22"/>
        </w:rPr>
        <w:t xml:space="preserve">However, given that the debatable conservation potential of farmed caviar production is largely absent from public or political scrutiny, this policy move has gained traction and produced other unexpected political outcomes. In particular, I argue that the overwhelming implication of this policy move (and the narrative underlying it), has been the securitization of farmed caviar production. </w:t>
      </w:r>
      <w:r w:rsidR="00B90627">
        <w:rPr>
          <w:rFonts w:cs="Times New Roman"/>
          <w:sz w:val="22"/>
        </w:rPr>
        <w:t xml:space="preserve">This refers to how caviar production in the EU has been infused with security logics </w:t>
      </w:r>
      <w:r w:rsidR="00406EEA">
        <w:rPr>
          <w:rFonts w:cs="Times New Roman"/>
          <w:sz w:val="22"/>
        </w:rPr>
        <w:t xml:space="preserve">and made into a </w:t>
      </w:r>
      <w:r w:rsidR="00291FD4">
        <w:rPr>
          <w:rFonts w:cs="Times New Roman"/>
          <w:sz w:val="22"/>
        </w:rPr>
        <w:t>conservation-security</w:t>
      </w:r>
      <w:r w:rsidR="00406EEA">
        <w:rPr>
          <w:rFonts w:cs="Times New Roman"/>
          <w:sz w:val="22"/>
        </w:rPr>
        <w:t xml:space="preserve"> matter. This is exemplified in the </w:t>
      </w:r>
      <w:r>
        <w:rPr>
          <w:rFonts w:cs="Times New Roman"/>
          <w:sz w:val="22"/>
        </w:rPr>
        <w:t xml:space="preserve">securitization of the physical infrastructures of sturgeon farms and caviar production facilities, coupled with the </w:t>
      </w:r>
      <w:r w:rsidR="00406EEA">
        <w:rPr>
          <w:rFonts w:cs="Times New Roman"/>
          <w:sz w:val="22"/>
        </w:rPr>
        <w:t xml:space="preserve">discursive </w:t>
      </w:r>
      <w:r>
        <w:rPr>
          <w:rFonts w:cs="Times New Roman"/>
          <w:sz w:val="22"/>
        </w:rPr>
        <w:t>secu</w:t>
      </w:r>
      <w:r w:rsidR="00406EEA">
        <w:rPr>
          <w:rFonts w:cs="Times New Roman"/>
          <w:sz w:val="22"/>
        </w:rPr>
        <w:t xml:space="preserve">ritization of </w:t>
      </w:r>
      <w:r w:rsidR="00291FD4">
        <w:rPr>
          <w:rFonts w:cs="Times New Roman"/>
          <w:sz w:val="22"/>
        </w:rPr>
        <w:lastRenderedPageBreak/>
        <w:t xml:space="preserve">intensified </w:t>
      </w:r>
      <w:r w:rsidR="00406EEA">
        <w:rPr>
          <w:rFonts w:cs="Times New Roman"/>
          <w:sz w:val="22"/>
        </w:rPr>
        <w:t xml:space="preserve">farming practices. I demonstrate that this process have been enabled by, and justified under the </w:t>
      </w:r>
      <w:r>
        <w:rPr>
          <w:rFonts w:cs="Times New Roman"/>
          <w:sz w:val="22"/>
        </w:rPr>
        <w:t xml:space="preserve">‘green pretext’ (Ojeda, 2012) of sturgeon conservation. </w:t>
      </w:r>
    </w:p>
    <w:p w14:paraId="2F262A8D" w14:textId="22DB03B6" w:rsidR="00967716" w:rsidRDefault="00967716" w:rsidP="00406EEA">
      <w:pPr>
        <w:ind w:firstLine="720"/>
        <w:rPr>
          <w:rFonts w:cs="Times New Roman"/>
          <w:sz w:val="22"/>
        </w:rPr>
      </w:pPr>
      <w:r>
        <w:rPr>
          <w:rFonts w:cs="Times New Roman"/>
          <w:sz w:val="22"/>
        </w:rPr>
        <w:t>In examining the securitized spaces an</w:t>
      </w:r>
      <w:r w:rsidR="00406EEA">
        <w:rPr>
          <w:rFonts w:cs="Times New Roman"/>
          <w:sz w:val="22"/>
        </w:rPr>
        <w:t>d practices, I highlight how proponents of the</w:t>
      </w:r>
      <w:r>
        <w:rPr>
          <w:rFonts w:cs="Times New Roman"/>
          <w:sz w:val="22"/>
        </w:rPr>
        <w:t xml:space="preserve"> con</w:t>
      </w:r>
      <w:r w:rsidR="00406EEA">
        <w:rPr>
          <w:rFonts w:cs="Times New Roman"/>
          <w:sz w:val="22"/>
        </w:rPr>
        <w:t>servation narrative, have simultaneously pushed “</w:t>
      </w:r>
      <w:r>
        <w:rPr>
          <w:rFonts w:cs="Times New Roman"/>
          <w:sz w:val="22"/>
        </w:rPr>
        <w:t>the discourses and practice of securitization into new spaces and into t</w:t>
      </w:r>
      <w:r w:rsidR="00406EEA">
        <w:rPr>
          <w:rFonts w:cs="Times New Roman"/>
          <w:sz w:val="22"/>
        </w:rPr>
        <w:t>he bodies of nonhuman organisms”</w:t>
      </w:r>
      <w:r>
        <w:rPr>
          <w:rFonts w:cs="Times New Roman"/>
          <w:sz w:val="22"/>
        </w:rPr>
        <w:t xml:space="preserve"> (Johnson, 2015: 61). This ‘respatialization of security’ I argue, has created opportunities for capital accumulation, which are both contingent and reliant upon the on-going securitization of farmed caviar production. To this extent, I argue that the securitization of farmed caviar production is an example of ‘accumulation by securitization’ </w:t>
      </w:r>
      <w:r>
        <w:rPr>
          <w:rFonts w:cs="Times New Roman"/>
          <w:sz w:val="22"/>
        </w:rPr>
        <w:fldChar w:fldCharType="begin" w:fldLock="1"/>
      </w:r>
      <w:r w:rsidR="00EC7F7E">
        <w:rPr>
          <w:rFonts w:cs="Times New Roman"/>
          <w:sz w:val="22"/>
        </w:rPr>
        <w:instrText>ADDIN CSL_CITATION {"citationItems":[{"id":"ITEM-1","itemData":{"DOI":"10.1016/j.geoforum.2015.03.005","ISSN":"00167185","abstract":"Part of a broader interest in the escalating securitization of conservation practice, scholars are beginning to take note of an emerging relationship between conservation-securitization, capital accumulation, and dispossession. We develop the concept of accumulation by securitization to better grasp this trend, positioning it in the critical literatures on neoliberal conservation, green grabbing, and conservation-security. The concept captures the ways in which capital accumulation, often tied to land and resource enclosure, is enabled by practices and logics of security. Security logics, moreover, increasingly provoke the dispossession of vulnerable communities, thereby enabling accumulation. We ground the concept by turning to the Greater Lebombo Conservancy (GLC) in the Mozambican borderlands. This is a new privately-held conservancy built as a securitized buffer zone to obstruct the movement of commercial rhino poachers into South Africa's adjacent Kruger National Park. We show how wildlife tourism-related accumulation here is enabled by, and in some ways contingent upon, the GLC's success in curbing poaching incursions, and, relatedly, how security concerns become the grounds upon which resident communities are displaced. In terms of the latter, we suggest security provides a troubling, depoliticized alibi for dispossession. Like broader neoliberal conservation and green grabbing, we illustrate how accumulation by securitization plays out within complex new networks of state and private actors. Yet these significantly expand to include including security actors and others motivated by security concerns.","author":[{"dropping-particle":"","family":"Massé","given":"Francis","non-dropping-particle":"","parse-names":false,"suffix":""},{"dropping-particle":"","family":"Lunstrum","given":"Elizabeth","non-dropping-particle":"","parse-names":false,"suffix":""}],"container-title":"Geoforum","id":"ITEM-1","issued":{"date-parts":[["2016"]]},"page":"227-237","title":"Accumulation by securitization: Commercial poaching, neoliberal conservation, and the creation of new wildlife frontiers","type":"article-journal","volume":"69"},"uris":["http://www.mendeley.com/documents/?uuid=f414a6fa-a1ed-47cd-9572-2fa93dae0d21"]}],"mendeley":{"formattedCitation":"(Massé and Lunstrum, 2016)","plainTextFormattedCitation":"(Massé and Lunstrum, 2016)","previouslyFormattedCitation":"(Massé and Lunstrum, 2016)"},"properties":{"noteIndex":0},"schema":"https://github.com/citation-style-language/schema/raw/master/csl-citation.json"}</w:instrText>
      </w:r>
      <w:r>
        <w:rPr>
          <w:rFonts w:cs="Times New Roman"/>
          <w:sz w:val="22"/>
        </w:rPr>
        <w:fldChar w:fldCharType="separate"/>
      </w:r>
      <w:r w:rsidR="00042533" w:rsidRPr="00042533">
        <w:rPr>
          <w:rFonts w:cs="Times New Roman"/>
          <w:noProof/>
          <w:sz w:val="22"/>
        </w:rPr>
        <w:t>(Massé and Lunstrum, 2016)</w:t>
      </w:r>
      <w:r>
        <w:rPr>
          <w:rFonts w:cs="Times New Roman"/>
          <w:sz w:val="22"/>
        </w:rPr>
        <w:fldChar w:fldCharType="end"/>
      </w:r>
      <w:r>
        <w:rPr>
          <w:rFonts w:cs="Times New Roman"/>
          <w:sz w:val="22"/>
        </w:rPr>
        <w:t>.</w:t>
      </w:r>
    </w:p>
    <w:p w14:paraId="663B2BAD" w14:textId="3726E239" w:rsidR="00967716" w:rsidRDefault="00967716" w:rsidP="00967716">
      <w:pPr>
        <w:ind w:firstLine="720"/>
        <w:rPr>
          <w:rFonts w:cs="Times New Roman"/>
          <w:sz w:val="22"/>
        </w:rPr>
      </w:pPr>
      <w:r>
        <w:rPr>
          <w:rFonts w:cs="Times New Roman"/>
          <w:sz w:val="22"/>
        </w:rPr>
        <w:t>Thus, the policy move towards farmed caviar production has resulted in the complex intertwining of conservation-security-accumulation narratives and strategies in the EU. In engaging with the implications of this ‘accumulation by securitization’ from a more-than-human perspective, this chapter problematizes how farmed sturgeon are brought under the remit of security logics and technologies. Rather than seeing this as a progressive development, I argue that the securitization of farmed caviar production objectifies</w:t>
      </w:r>
      <w:r w:rsidR="00291FD4">
        <w:rPr>
          <w:rFonts w:cs="Times New Roman"/>
          <w:sz w:val="22"/>
        </w:rPr>
        <w:t xml:space="preserve"> farmed sturgeon, and can result in</w:t>
      </w:r>
      <w:r>
        <w:rPr>
          <w:rFonts w:cs="Times New Roman"/>
          <w:sz w:val="22"/>
        </w:rPr>
        <w:t xml:space="preserve"> farming practices that are ethically questionable. However, there is little ethical debate about farmed caviar production methods, as the powerful narrative that sturgeon farming is a conservation panacea combined with the securitized infrastructures of the production facilities, render such ethical issues largely invisible.</w:t>
      </w:r>
    </w:p>
    <w:p w14:paraId="07077E7E" w14:textId="69C17986" w:rsidR="00967716" w:rsidRDefault="00967716" w:rsidP="00967716">
      <w:pPr>
        <w:ind w:firstLine="720"/>
        <w:rPr>
          <w:rFonts w:cs="Times New Roman"/>
          <w:sz w:val="22"/>
        </w:rPr>
      </w:pPr>
      <w:r>
        <w:rPr>
          <w:rFonts w:cs="Times New Roman"/>
          <w:sz w:val="22"/>
        </w:rPr>
        <w:t xml:space="preserve">In sum, this chapter highlights the gaps and grey areas in the narratives sustaining farmed caviar production as a conservation policy move in the EU. I demonstrate that an overlooked geopolitical-ecological impact of this policy move has been the securitization of farmed caviar production. This securitization is facilitated under the ‘green pretext’ (Ojeda, 2012) of conservation. However, there is more tangible evidence of the securitization process creating new opportunities for capital accumulation, rather than having a demonstrable conservation impact for sturgeon in the EU. </w:t>
      </w:r>
    </w:p>
    <w:p w14:paraId="458C57CD" w14:textId="77777777" w:rsidR="00967716" w:rsidRPr="00AB7CEA" w:rsidRDefault="00967716" w:rsidP="00967716">
      <w:pPr>
        <w:ind w:firstLine="720"/>
        <w:rPr>
          <w:rFonts w:cs="Times New Roman"/>
          <w:sz w:val="22"/>
        </w:rPr>
      </w:pPr>
      <w:r>
        <w:rPr>
          <w:rFonts w:cs="Times New Roman"/>
          <w:sz w:val="22"/>
        </w:rPr>
        <w:t xml:space="preserve"> </w:t>
      </w:r>
    </w:p>
    <w:p w14:paraId="19F4AA49" w14:textId="77777777" w:rsidR="00967716" w:rsidRPr="00967716" w:rsidRDefault="00967716" w:rsidP="00967716"/>
    <w:p w14:paraId="5B0CFB0A" w14:textId="77777777" w:rsidR="00C71FC3" w:rsidRDefault="00C71FC3">
      <w:pPr>
        <w:spacing w:line="259" w:lineRule="auto"/>
        <w:jc w:val="left"/>
        <w:rPr>
          <w:rFonts w:eastAsiaTheme="majorEastAsia" w:cstheme="majorBidi"/>
          <w:b/>
          <w:sz w:val="28"/>
          <w:szCs w:val="32"/>
          <w:u w:val="single"/>
        </w:rPr>
      </w:pPr>
      <w:r>
        <w:br w:type="page"/>
      </w:r>
    </w:p>
    <w:p w14:paraId="716300CC" w14:textId="44DD6D71" w:rsidR="00F90322" w:rsidRPr="0065632F" w:rsidRDefault="0054691E" w:rsidP="00F90322">
      <w:pPr>
        <w:pStyle w:val="Heading1"/>
      </w:pPr>
      <w:bookmarkStart w:id="86" w:name="_Toc453224243"/>
      <w:r>
        <w:lastRenderedPageBreak/>
        <w:t xml:space="preserve">Chapter 7: </w:t>
      </w:r>
      <w:r w:rsidR="00AD2748">
        <w:t>EU security and illegal</w:t>
      </w:r>
      <w:r w:rsidR="00F90322" w:rsidRPr="0065632F">
        <w:t xml:space="preserve"> caviar trade: </w:t>
      </w:r>
      <w:r w:rsidR="00F90322">
        <w:t>Contested geo</w:t>
      </w:r>
      <w:r w:rsidR="00F90322" w:rsidRPr="0065632F">
        <w:t>politics of securitization</w:t>
      </w:r>
      <w:bookmarkEnd w:id="86"/>
      <w:r w:rsidR="00F90322" w:rsidRPr="0065632F">
        <w:t xml:space="preserve"> </w:t>
      </w:r>
    </w:p>
    <w:p w14:paraId="7E22784F" w14:textId="77777777" w:rsidR="00F90322" w:rsidRPr="0065632F" w:rsidRDefault="00F90322" w:rsidP="00F90322">
      <w:pPr>
        <w:pStyle w:val="Heading2"/>
      </w:pPr>
      <w:bookmarkStart w:id="87" w:name="_Toc453224244"/>
      <w:r w:rsidRPr="0065632F">
        <w:t>7.0 Introduction:</w:t>
      </w:r>
      <w:bookmarkEnd w:id="87"/>
      <w:r w:rsidRPr="0065632F">
        <w:t xml:space="preserve"> </w:t>
      </w:r>
    </w:p>
    <w:p w14:paraId="535AD96D" w14:textId="3AB773A0" w:rsidR="00F669B7" w:rsidRDefault="00F90322" w:rsidP="00F90322">
      <w:pPr>
        <w:rPr>
          <w:rFonts w:cs="Times New Roman"/>
          <w:sz w:val="22"/>
        </w:rPr>
      </w:pPr>
      <w:r w:rsidRPr="0065632F">
        <w:rPr>
          <w:rFonts w:cs="Times New Roman"/>
          <w:sz w:val="22"/>
        </w:rPr>
        <w:t xml:space="preserve">This chapter examines the contested </w:t>
      </w:r>
      <w:r w:rsidR="00AD2748">
        <w:rPr>
          <w:rFonts w:cs="Times New Roman"/>
          <w:sz w:val="22"/>
        </w:rPr>
        <w:t>geopolitics of</w:t>
      </w:r>
      <w:r w:rsidR="00883E89">
        <w:rPr>
          <w:rFonts w:cs="Times New Roman"/>
          <w:sz w:val="22"/>
        </w:rPr>
        <w:t xml:space="preserve"> the</w:t>
      </w:r>
      <w:r w:rsidR="00AD2748">
        <w:rPr>
          <w:rFonts w:cs="Times New Roman"/>
          <w:sz w:val="22"/>
        </w:rPr>
        <w:t xml:space="preserve"> </w:t>
      </w:r>
      <w:r w:rsidR="00883E89">
        <w:rPr>
          <w:rFonts w:cs="Times New Roman"/>
          <w:sz w:val="22"/>
        </w:rPr>
        <w:t>securitization of</w:t>
      </w:r>
      <w:r w:rsidRPr="0065632F">
        <w:rPr>
          <w:rFonts w:cs="Times New Roman"/>
          <w:sz w:val="22"/>
        </w:rPr>
        <w:t xml:space="preserve"> illegal caviar trade in the European Union. </w:t>
      </w:r>
      <w:r w:rsidR="00883E89">
        <w:rPr>
          <w:rFonts w:cs="Times New Roman"/>
          <w:sz w:val="22"/>
        </w:rPr>
        <w:t xml:space="preserve">Securitization refers to “the way that issues are described or remade as security threats” </w:t>
      </w:r>
      <w:r w:rsidR="00883E89">
        <w:rPr>
          <w:rFonts w:cs="Times New Roman"/>
          <w:sz w:val="22"/>
        </w:rPr>
        <w:fldChar w:fldCharType="begin" w:fldLock="1"/>
      </w:r>
      <w:r w:rsidR="00AE186D">
        <w:rPr>
          <w:rFonts w:cs="Times New Roman"/>
          <w:sz w:val="22"/>
        </w:rPr>
        <w:instrText>ADDIN CSL_CITATION {"citationItems":[{"id":"ITEM-1","itemData":{"ISBN":"9781783476237","author":[{"dropping-particle":"","family":"Elliott","given":"Lorraine","non-dropping-particle":"","parse-names":false,"suffix":""}],"container-title":"Handbook of Transnational Environmental Crime","id":"ITEM-1","issued":{"date-parts":[["2016"]]},"page":"68-87","title":"The securitization of transnational environmental crime and the militarization of conservation","type":"article-journal"},"uris":["http://www.mendeley.com/documents/?uuid=adb082d6-3aa0-4d85-b4fd-91b6d4a8bb70"]}],"mendeley":{"formattedCitation":"(Elliott, 2016)","manualFormatting":"(Elliott, 2016: 69)","plainTextFormattedCitation":"(Elliott, 2016)","previouslyFormattedCitation":"(Elliott, 2016)"},"properties":{"noteIndex":0},"schema":"https://github.com/citation-style-language/schema/raw/master/csl-citation.json"}</w:instrText>
      </w:r>
      <w:r w:rsidR="00883E89">
        <w:rPr>
          <w:rFonts w:cs="Times New Roman"/>
          <w:sz w:val="22"/>
        </w:rPr>
        <w:fldChar w:fldCharType="separate"/>
      </w:r>
      <w:r w:rsidR="00883E89" w:rsidRPr="00883E89">
        <w:rPr>
          <w:rFonts w:cs="Times New Roman"/>
          <w:noProof/>
          <w:sz w:val="22"/>
        </w:rPr>
        <w:t>(Elliott, 2016</w:t>
      </w:r>
      <w:r w:rsidR="00883E89">
        <w:rPr>
          <w:rFonts w:cs="Times New Roman"/>
          <w:noProof/>
          <w:sz w:val="22"/>
        </w:rPr>
        <w:t>: 69</w:t>
      </w:r>
      <w:r w:rsidR="00883E89" w:rsidRPr="00883E89">
        <w:rPr>
          <w:rFonts w:cs="Times New Roman"/>
          <w:noProof/>
          <w:sz w:val="22"/>
        </w:rPr>
        <w:t>)</w:t>
      </w:r>
      <w:r w:rsidR="00883E89">
        <w:rPr>
          <w:rFonts w:cs="Times New Roman"/>
          <w:sz w:val="22"/>
        </w:rPr>
        <w:fldChar w:fldCharType="end"/>
      </w:r>
      <w:r w:rsidR="00F669B7">
        <w:rPr>
          <w:rFonts w:cs="Times New Roman"/>
          <w:sz w:val="22"/>
        </w:rPr>
        <w:t>; and examining how this process unfolds in relation to wildlife crime issues has “become a prominent feature of public policy debate, regulatory outcomes and dispute within the research and NGO communities” (ibid: 68). I</w:t>
      </w:r>
      <w:r w:rsidR="00883E89">
        <w:rPr>
          <w:rFonts w:cs="Times New Roman"/>
          <w:sz w:val="22"/>
        </w:rPr>
        <w:t>n this chapter I analyse how the language and p</w:t>
      </w:r>
      <w:r w:rsidR="00F669B7">
        <w:rPr>
          <w:rFonts w:cs="Times New Roman"/>
          <w:sz w:val="22"/>
        </w:rPr>
        <w:t xml:space="preserve">ractice of security variably manifests in responses to illegal caviar trade in the EU. </w:t>
      </w:r>
      <w:r w:rsidRPr="0065632F">
        <w:rPr>
          <w:rFonts w:cs="Times New Roman"/>
          <w:sz w:val="22"/>
        </w:rPr>
        <w:t>I build upon the arguments made in chapters four and five of this thesis: that gaps and grey areas in caviar trade regulations have sustained illegal caviar trade under new guises. Taking this argument further, I analyse the security implications of the transforming illegal caviar trade</w:t>
      </w:r>
      <w:r w:rsidR="009C7051">
        <w:rPr>
          <w:rFonts w:cs="Times New Roman"/>
          <w:sz w:val="22"/>
        </w:rPr>
        <w:t xml:space="preserve"> dynamics</w:t>
      </w:r>
      <w:r w:rsidRPr="0065632F">
        <w:rPr>
          <w:rFonts w:cs="Times New Roman"/>
          <w:sz w:val="22"/>
        </w:rPr>
        <w:t xml:space="preserve"> in the EU.</w:t>
      </w:r>
      <w:r w:rsidR="00BF2B67">
        <w:rPr>
          <w:rFonts w:cs="Times New Roman"/>
          <w:sz w:val="22"/>
        </w:rPr>
        <w:t xml:space="preserve"> </w:t>
      </w:r>
      <w:r w:rsidRPr="0065632F">
        <w:rPr>
          <w:rFonts w:cs="Times New Roman"/>
          <w:sz w:val="22"/>
        </w:rPr>
        <w:t xml:space="preserve">I argue that the caviar trade regulations have caused a shifting of how illegal caviar trade is </w:t>
      </w:r>
      <w:r w:rsidR="00F669B7">
        <w:rPr>
          <w:rFonts w:cs="Times New Roman"/>
          <w:sz w:val="22"/>
        </w:rPr>
        <w:t xml:space="preserve">discursively </w:t>
      </w:r>
      <w:r w:rsidRPr="0065632F">
        <w:rPr>
          <w:rFonts w:cs="Times New Roman"/>
          <w:sz w:val="22"/>
        </w:rPr>
        <w:t xml:space="preserve">framed in the security landscape of the EU. </w:t>
      </w:r>
      <w:r w:rsidR="00F669B7">
        <w:rPr>
          <w:rFonts w:cs="Times New Roman"/>
          <w:sz w:val="22"/>
        </w:rPr>
        <w:t>In lin</w:t>
      </w:r>
      <w:r w:rsidR="00BF2B67">
        <w:rPr>
          <w:rFonts w:cs="Times New Roman"/>
          <w:sz w:val="22"/>
        </w:rPr>
        <w:t>e with O’Lear (2018) I illustrate that</w:t>
      </w:r>
      <w:r w:rsidR="00F669B7">
        <w:rPr>
          <w:rFonts w:cs="Times New Roman"/>
          <w:sz w:val="22"/>
        </w:rPr>
        <w:t xml:space="preserve"> references to security are deployed to stabilise particular geopolitical-security narratives,</w:t>
      </w:r>
      <w:r w:rsidR="00BF2B67">
        <w:rPr>
          <w:rFonts w:cs="Times New Roman"/>
          <w:sz w:val="22"/>
        </w:rPr>
        <w:t xml:space="preserve"> whilst marginalising others; and in the process examine how these security narratives justify diverging forms of action</w:t>
      </w:r>
      <w:r w:rsidR="001C2D87">
        <w:rPr>
          <w:rFonts w:cs="Times New Roman"/>
          <w:sz w:val="22"/>
        </w:rPr>
        <w:t xml:space="preserve"> -</w:t>
      </w:r>
      <w:r w:rsidR="00BF2B67">
        <w:rPr>
          <w:rFonts w:cs="Times New Roman"/>
          <w:sz w:val="22"/>
        </w:rPr>
        <w:t xml:space="preserve"> or inaction</w:t>
      </w:r>
      <w:r w:rsidR="001C2D87">
        <w:rPr>
          <w:rFonts w:cs="Times New Roman"/>
          <w:sz w:val="22"/>
        </w:rPr>
        <w:t xml:space="preserve"> -</w:t>
      </w:r>
      <w:r w:rsidR="00BF2B67">
        <w:rPr>
          <w:rFonts w:cs="Times New Roman"/>
          <w:sz w:val="22"/>
        </w:rPr>
        <w:t xml:space="preserve"> around the issue of illegal caviar trade in the EU. </w:t>
      </w:r>
    </w:p>
    <w:p w14:paraId="0B6E659D" w14:textId="608DFB53" w:rsidR="00F90322" w:rsidRPr="0065632F" w:rsidRDefault="00F90322" w:rsidP="00BF2B67">
      <w:pPr>
        <w:ind w:firstLine="720"/>
        <w:rPr>
          <w:rFonts w:cs="Times New Roman"/>
          <w:sz w:val="22"/>
        </w:rPr>
      </w:pPr>
      <w:r w:rsidRPr="0065632F">
        <w:rPr>
          <w:rFonts w:cs="Times New Roman"/>
          <w:sz w:val="22"/>
        </w:rPr>
        <w:t xml:space="preserve">On the one hand, security concerns associated with illegal caviar trade are dissolving at the </w:t>
      </w:r>
      <w:r>
        <w:rPr>
          <w:rFonts w:cs="Times New Roman"/>
          <w:sz w:val="22"/>
        </w:rPr>
        <w:t xml:space="preserve">EU policy </w:t>
      </w:r>
      <w:r w:rsidRPr="0065632F">
        <w:rPr>
          <w:rFonts w:cs="Times New Roman"/>
          <w:sz w:val="22"/>
        </w:rPr>
        <w:t xml:space="preserve">level. On the other hand, heightened security </w:t>
      </w:r>
      <w:r w:rsidR="00BF2B67">
        <w:rPr>
          <w:rFonts w:cs="Times New Roman"/>
          <w:sz w:val="22"/>
        </w:rPr>
        <w:t>narratives</w:t>
      </w:r>
      <w:r w:rsidRPr="0065632F">
        <w:rPr>
          <w:rFonts w:cs="Times New Roman"/>
          <w:sz w:val="22"/>
        </w:rPr>
        <w:t xml:space="preserve"> and practices materialize in </w:t>
      </w:r>
      <w:r>
        <w:rPr>
          <w:rFonts w:cs="Times New Roman"/>
          <w:sz w:val="22"/>
        </w:rPr>
        <w:t xml:space="preserve">sturgeon range states </w:t>
      </w:r>
      <w:r w:rsidRPr="0065632F">
        <w:rPr>
          <w:rFonts w:cs="Times New Roman"/>
          <w:sz w:val="22"/>
        </w:rPr>
        <w:t xml:space="preserve">in ways that challenge the dissolving discourses and processes taking place at the </w:t>
      </w:r>
      <w:r w:rsidR="009C7051">
        <w:rPr>
          <w:rFonts w:cs="Times New Roman"/>
          <w:sz w:val="22"/>
        </w:rPr>
        <w:t>highest</w:t>
      </w:r>
      <w:r>
        <w:rPr>
          <w:rFonts w:cs="Times New Roman"/>
          <w:sz w:val="22"/>
        </w:rPr>
        <w:t xml:space="preserve"> </w:t>
      </w:r>
      <w:r w:rsidRPr="0065632F">
        <w:rPr>
          <w:rFonts w:cs="Times New Roman"/>
          <w:sz w:val="22"/>
        </w:rPr>
        <w:t xml:space="preserve">EU </w:t>
      </w:r>
      <w:r w:rsidR="009C7051">
        <w:rPr>
          <w:rFonts w:cs="Times New Roman"/>
          <w:sz w:val="22"/>
        </w:rPr>
        <w:t xml:space="preserve">policy </w:t>
      </w:r>
      <w:r w:rsidRPr="0065632F">
        <w:rPr>
          <w:rFonts w:cs="Times New Roman"/>
          <w:sz w:val="22"/>
        </w:rPr>
        <w:t xml:space="preserve">level. </w:t>
      </w:r>
      <w:r w:rsidRPr="00097B98">
        <w:rPr>
          <w:rFonts w:cs="Times New Roman"/>
          <w:sz w:val="22"/>
        </w:rPr>
        <w:t xml:space="preserve">I analyse the securitized </w:t>
      </w:r>
      <w:r w:rsidR="00BF2B67">
        <w:rPr>
          <w:rFonts w:cs="Times New Roman"/>
          <w:sz w:val="22"/>
        </w:rPr>
        <w:t>narratives</w:t>
      </w:r>
      <w:r w:rsidRPr="00097B98">
        <w:rPr>
          <w:rFonts w:cs="Times New Roman"/>
          <w:sz w:val="22"/>
        </w:rPr>
        <w:t xml:space="preserve"> and responses </w:t>
      </w:r>
      <w:r>
        <w:rPr>
          <w:rFonts w:cs="Times New Roman"/>
          <w:sz w:val="22"/>
        </w:rPr>
        <w:t xml:space="preserve">to illegal caviar trade within Romania, and reveal </w:t>
      </w:r>
      <w:r w:rsidRPr="00097B98">
        <w:rPr>
          <w:rFonts w:cs="Times New Roman"/>
          <w:sz w:val="22"/>
        </w:rPr>
        <w:t xml:space="preserve">that they not only challenge the dominant EU security </w:t>
      </w:r>
      <w:r>
        <w:rPr>
          <w:rFonts w:cs="Times New Roman"/>
          <w:sz w:val="22"/>
        </w:rPr>
        <w:t>framings</w:t>
      </w:r>
      <w:r w:rsidRPr="00097B98">
        <w:rPr>
          <w:rFonts w:cs="Times New Roman"/>
          <w:sz w:val="22"/>
        </w:rPr>
        <w:t xml:space="preserve"> but also compete with each other.</w:t>
      </w:r>
      <w:r w:rsidRPr="0065632F">
        <w:rPr>
          <w:rFonts w:cs="Times New Roman"/>
          <w:sz w:val="22"/>
        </w:rPr>
        <w:t xml:space="preserve"> This points to the complex power geometries at work within the EU</w:t>
      </w:r>
      <w:r w:rsidR="001C2D87">
        <w:rPr>
          <w:rFonts w:cs="Times New Roman"/>
          <w:sz w:val="22"/>
        </w:rPr>
        <w:t>, which</w:t>
      </w:r>
      <w:r w:rsidRPr="0065632F">
        <w:rPr>
          <w:rFonts w:cs="Times New Roman"/>
          <w:sz w:val="22"/>
        </w:rPr>
        <w:t xml:space="preserve"> shape how the security implications of illegal ca</w:t>
      </w:r>
      <w:r w:rsidR="009C7051">
        <w:rPr>
          <w:rFonts w:cs="Times New Roman"/>
          <w:sz w:val="22"/>
        </w:rPr>
        <w:t>viar trade are understood;</w:t>
      </w:r>
      <w:r w:rsidRPr="0065632F">
        <w:rPr>
          <w:rFonts w:cs="Times New Roman"/>
          <w:sz w:val="22"/>
        </w:rPr>
        <w:t xml:space="preserve"> and also reveal which security narratives are contested, marginalised</w:t>
      </w:r>
      <w:r w:rsidR="009C7051">
        <w:rPr>
          <w:rFonts w:cs="Times New Roman"/>
          <w:sz w:val="22"/>
        </w:rPr>
        <w:t>,</w:t>
      </w:r>
      <w:r w:rsidRPr="0065632F">
        <w:rPr>
          <w:rFonts w:cs="Times New Roman"/>
          <w:sz w:val="22"/>
        </w:rPr>
        <w:t xml:space="preserve"> or silenced entirely. </w:t>
      </w:r>
    </w:p>
    <w:p w14:paraId="253CF5B4" w14:textId="61D1B267" w:rsidR="00F90322" w:rsidRPr="0065632F" w:rsidRDefault="00F90322" w:rsidP="00F90322">
      <w:pPr>
        <w:ind w:firstLine="720"/>
        <w:rPr>
          <w:rFonts w:cs="Times New Roman"/>
          <w:sz w:val="22"/>
        </w:rPr>
      </w:pPr>
      <w:r w:rsidRPr="0065632F">
        <w:rPr>
          <w:rFonts w:cs="Times New Roman"/>
          <w:sz w:val="22"/>
        </w:rPr>
        <w:t xml:space="preserve">The security risks associated with illegal caviar trade </w:t>
      </w:r>
      <w:r>
        <w:rPr>
          <w:rFonts w:cs="Times New Roman"/>
          <w:sz w:val="22"/>
        </w:rPr>
        <w:t xml:space="preserve">in the Caspian Sea region </w:t>
      </w:r>
      <w:r w:rsidRPr="0065632F">
        <w:rPr>
          <w:rFonts w:cs="Times New Roman"/>
          <w:sz w:val="22"/>
        </w:rPr>
        <w:t xml:space="preserve">have been reported by a number of social scientists </w:t>
      </w:r>
      <w:r w:rsidRPr="0065632F">
        <w:rPr>
          <w:rFonts w:cs="Times New Roman"/>
          <w:sz w:val="22"/>
        </w:rPr>
        <w:fldChar w:fldCharType="begin" w:fldLock="1"/>
      </w:r>
      <w:r w:rsidR="00967992">
        <w:rPr>
          <w:rFonts w:cs="Times New Roman"/>
          <w:sz w:val="22"/>
        </w:rPr>
        <w:instrText>ADDIN CSL_CITATION {"citationItems":[{"id":"ITEM-1","itemData":{"DOI":"10.1007/s12117-016-9264-5","ISBN":"0165-1684","ISSN":"19364830","abstract":"The trade in caviar has a rich and colorful history, influenced over thousands of years by many cultures, societies and in the last decades by regulation. The value of caviar is historically discovered in the context of social change, political relationships and environmental change. The role of organized crime is described, as the scarcity of caviar has offered the unique opportunity to fish illegally, smuggle and trade contraband to mainly European countries with millions in profits. This study highlights that these criminal networks manifest themselves at all levels of the trade: from the poaching areas where organized criminal groups cooperate with law enforcers and possess top-notch equipment to major smuggling operations in the hands of sophisticated criminal networks. Although due to overexploitation ‘wild caviar’ is increasingly difficult to obtain, the demand in the context of exclusivity and scarcity remains intact by the upper class society desire for edible gold.","author":[{"dropping-particle":"","family":"Uhm","given":"Daan","non-dropping-particle":"van","parse-names":false,"suffix":""},{"dropping-particle":"","family":"Siegel","given":"Dina","non-dropping-particle":"","parse-names":false,"suffix":""}],"container-title":"Trends in Organized Crime","id":"ITEM-1","issue":"1","issued":{"date-parts":[["2016"]]},"page":"67-87","title":"The illegal trade in black caviar","type":"article-journal","volume":"19"},"uris":["http://www.mendeley.com/documents/?uuid=34c9ccf8-422d-4c42-a907-21a3eb6a28ad"]},{"id":"ITEM-2","itemData":{"DOI":"10.1007/s12117-014-9214-z","ISBN":"1211701492","ISSN":"19364830","abstract":"The Volga-Caspian basin, once the largest habitat of sturgeon species, became a hotbed of wildlife crime in the 1990s. With the rising demand for caviar in various parts of the world, caviar trafficking has grown to unprecedented levels, having put Caspian sturgeons under the risk of absolute extinction. Two decades later, as the Caspian sturgeon populations have been radically depleted, North American supplies of sturgeon species are targeted by criminal masterminds as an alternative illicit source of black caviar. This article identifies some of the trends in the development of the illicit market in black caviar. The analysis utilizes the idea of criminogenic asymmetries developed by Nikos Passas to examine the dynamics of and the driving forces behind this illicit market. Beyond the application of Passas' framework, the article offers a detailed descriptive analysis of poaching activities and caviar trafficking schemes based on data retrieved from public reports, court files, news media and interviews with officials and journalists.","author":[{"dropping-particle":"","family":"Zabyelina","given":"Yuliya G.","non-dropping-particle":"","parse-names":false,"suffix":""}],"container-title":"Trends in Organized Crime","id":"ITEM-2","issue":"3","issued":{"date-parts":[["2014"]]},"page":"181-198","title":"The \"fishy\" business: A qualitative analysis of the illicit market in black caviar","type":"article-journal","volume":"17"},"uris":["http://www.mendeley.com/documents/?uuid=1616d308-87d3-4886-a73a-8249113c67b7"]},{"id":"ITEM-3","itemData":{"author":[{"dropping-particle":"","family":"Shadrina","given":"Ekaterina","non-dropping-particle":"","parse-names":false,"suffix":""}],"container-title":"Security Index: A Russian Journal on International Security","id":"ITEM-3","issue":"1 (81)","issued":{"date-parts":[["2007"]]},"page":"55-78","title":"The Great Caspian Caviar Game","type":"article-journal","volume":"13"},"uris":["http://www.mendeley.com/documents/?uuid=33306659-0cc1-456a-bb15-4dbaebbcfe36"]}],"mendeley":{"formattedCitation":"(Shadrina, 2007; Zabyelina, 2014; van Uhm and Siegel, 2016)","manualFormatting":"(Shadrina, 2007; Zabyelina, 2014; van Uhm and Siegel, 2016)","plainTextFormattedCitation":"(Shadrina, 2007; Zabyelina, 2014; van Uhm and Siegel, 2016)","previouslyFormattedCitation":"(Shadrina, 2007; Zabyelina, 2014; van Uhm and Siegel, 2016)"},"properties":{"noteIndex":0},"schema":"https://github.com/citation-style-language/schema/raw/master/csl-citation.json"}</w:instrText>
      </w:r>
      <w:r w:rsidRPr="0065632F">
        <w:rPr>
          <w:rFonts w:cs="Times New Roman"/>
          <w:sz w:val="22"/>
        </w:rPr>
        <w:fldChar w:fldCharType="separate"/>
      </w:r>
      <w:r w:rsidRPr="0065632F">
        <w:rPr>
          <w:rFonts w:cs="Times New Roman"/>
          <w:noProof/>
          <w:sz w:val="22"/>
        </w:rPr>
        <w:t xml:space="preserve">(Shadrina, 2007; Zabyelina, 2014; van Uhm and </w:t>
      </w:r>
      <w:r w:rsidR="009C7051">
        <w:rPr>
          <w:rFonts w:cs="Times New Roman"/>
          <w:noProof/>
          <w:sz w:val="22"/>
        </w:rPr>
        <w:t>Siegel, 2016</w:t>
      </w:r>
      <w:r w:rsidRPr="0065632F">
        <w:rPr>
          <w:rFonts w:cs="Times New Roman"/>
          <w:noProof/>
          <w:sz w:val="22"/>
        </w:rPr>
        <w:t>)</w:t>
      </w:r>
      <w:r w:rsidRPr="0065632F">
        <w:rPr>
          <w:rFonts w:cs="Times New Roman"/>
          <w:sz w:val="22"/>
        </w:rPr>
        <w:fldChar w:fldCharType="end"/>
      </w:r>
      <w:r w:rsidRPr="0065632F">
        <w:rPr>
          <w:rFonts w:cs="Times New Roman"/>
          <w:sz w:val="22"/>
        </w:rPr>
        <w:t>. These accounts portray the Caspian Sea as a securitized geographical space where militarized ‘caviar mafia’</w:t>
      </w:r>
      <w:r>
        <w:rPr>
          <w:rFonts w:cs="Times New Roman"/>
          <w:sz w:val="22"/>
        </w:rPr>
        <w:t xml:space="preserve"> groups</w:t>
      </w:r>
      <w:r w:rsidRPr="0065632F">
        <w:rPr>
          <w:rFonts w:cs="Times New Roman"/>
          <w:sz w:val="22"/>
        </w:rPr>
        <w:t xml:space="preserve"> clash with law enforcement officials</w:t>
      </w:r>
      <w:r w:rsidR="00BF2B67">
        <w:rPr>
          <w:rFonts w:cs="Times New Roman"/>
          <w:sz w:val="22"/>
        </w:rPr>
        <w:t xml:space="preserve"> </w:t>
      </w:r>
      <w:r w:rsidR="001C2D87">
        <w:rPr>
          <w:rFonts w:cs="Times New Roman"/>
          <w:sz w:val="22"/>
        </w:rPr>
        <w:t xml:space="preserve">and each other </w:t>
      </w:r>
      <w:r w:rsidR="00BF2B67" w:rsidRPr="0065632F">
        <w:rPr>
          <w:rFonts w:cs="Times New Roman"/>
          <w:sz w:val="22"/>
        </w:rPr>
        <w:fldChar w:fldCharType="begin" w:fldLock="1"/>
      </w:r>
      <w:r w:rsidR="00BF2B67">
        <w:rPr>
          <w:rFonts w:cs="Times New Roman"/>
          <w:sz w:val="22"/>
        </w:rPr>
        <w:instrText>ADDIN CSL_CITATION {"citationItems":[{"id":"ITEM-1","itemData":{"DOI":"10.1007/s10531-016-1211-x","abstract":"This article explores responses to the implementation of Russian sturgeon conservation policy in three fishing communities (in Dagestan, Kalmykia and the Volga River delta areas), along the Western and Northern coasts of the Caspian Sea. Enforcement of regulatory measures has led to complex socio-cultural responses. We show how social responses to conservation policy generate various forms of poaching. An analytical model of 'soft' and 'hard' forms of poaching is analyzed against three regulatory measures: introduction of specially designated fishing areas in Russia's Caspian fisheries, border zone expansion and the ban on sturgeon fishing. We explain why in Kalmykia the policy led people to stop practicing hard forms of sturgeon fishing, while fishermen in Dagestan responded in a more complex manner by displaying resistance towards the new policies.","author":[{"dropping-particle":"","family":"Ermolin","given":"Ilya","non-dropping-particle":"","parse-names":false,"suffix":""},{"dropping-particle":"","family":"Svolkinas","given":"Linas","non-dropping-particle":"","parse-names":false,"suffix":""}],"container-title":"Biodivers Conserv","id":"ITEM-1","issued":{"date-parts":[["2016"]]},"page":"2929-2945","title":"Who owns sturgeon in the Caspian? New theoretical model of social responses towards state conservation policy","type":"article-journal","volume":"25"},"uris":["http://www.mendeley.com/documents/?uuid=8ba7e264-80d8-3911-a776-c613d29fb5a4"]}],"mendeley":{"formattedCitation":"(Ermolin and Svolkinas, 2016)","plainTextFormattedCitation":"(Ermolin and Svolkinas, 2016)","previouslyFormattedCitation":"(Ermolin and Svolkinas, 2016)"},"properties":{"noteIndex":0},"schema":"https://github.com/citation-style-language/schema/raw/master/csl-citation.json"}</w:instrText>
      </w:r>
      <w:r w:rsidR="00BF2B67" w:rsidRPr="0065632F">
        <w:rPr>
          <w:rFonts w:cs="Times New Roman"/>
          <w:sz w:val="22"/>
        </w:rPr>
        <w:fldChar w:fldCharType="separate"/>
      </w:r>
      <w:r w:rsidR="00BF2B67" w:rsidRPr="00042533">
        <w:rPr>
          <w:rFonts w:cs="Times New Roman"/>
          <w:noProof/>
          <w:sz w:val="22"/>
        </w:rPr>
        <w:t>(Ermolin and Svolkinas, 2016)</w:t>
      </w:r>
      <w:r w:rsidR="00BF2B67" w:rsidRPr="0065632F">
        <w:rPr>
          <w:rFonts w:cs="Times New Roman"/>
          <w:sz w:val="22"/>
        </w:rPr>
        <w:fldChar w:fldCharType="end"/>
      </w:r>
      <w:r w:rsidR="009C7051">
        <w:rPr>
          <w:rFonts w:cs="Times New Roman"/>
          <w:sz w:val="22"/>
        </w:rPr>
        <w:t>. The extent and organis</w:t>
      </w:r>
      <w:r w:rsidRPr="0065632F">
        <w:rPr>
          <w:rFonts w:cs="Times New Roman"/>
          <w:sz w:val="22"/>
        </w:rPr>
        <w:t xml:space="preserve">ed nature of sturgeon poaching has been </w:t>
      </w:r>
      <w:r w:rsidR="009C7051">
        <w:rPr>
          <w:rFonts w:cs="Times New Roman"/>
          <w:sz w:val="22"/>
        </w:rPr>
        <w:t>called “biological terrorism” and is said to pose a “</w:t>
      </w:r>
      <w:r w:rsidRPr="0065632F">
        <w:rPr>
          <w:rFonts w:cs="Times New Roman"/>
          <w:sz w:val="22"/>
        </w:rPr>
        <w:t>genu</w:t>
      </w:r>
      <w:r w:rsidR="009C7051">
        <w:rPr>
          <w:rFonts w:cs="Times New Roman"/>
          <w:sz w:val="22"/>
        </w:rPr>
        <w:t>ine threat to regional security”</w:t>
      </w:r>
      <w:r w:rsidRPr="0065632F">
        <w:rPr>
          <w:rFonts w:cs="Times New Roman"/>
          <w:sz w:val="22"/>
        </w:rPr>
        <w:t xml:space="preserve"> (Shadrina, 2007: 73). In the contemporary security landscape in the Ca</w:t>
      </w:r>
      <w:r w:rsidR="009C7051">
        <w:rPr>
          <w:rFonts w:cs="Times New Roman"/>
          <w:sz w:val="22"/>
        </w:rPr>
        <w:t>spian, poachers are said to be “</w:t>
      </w:r>
      <w:r w:rsidRPr="0065632F">
        <w:rPr>
          <w:rFonts w:cs="Times New Roman"/>
          <w:sz w:val="22"/>
        </w:rPr>
        <w:t xml:space="preserve">way better equipped than ten years </w:t>
      </w:r>
      <w:r w:rsidRPr="0065632F">
        <w:rPr>
          <w:rFonts w:cs="Times New Roman"/>
          <w:sz w:val="22"/>
        </w:rPr>
        <w:lastRenderedPageBreak/>
        <w:t>ago</w:t>
      </w:r>
      <w:r w:rsidR="009C7051">
        <w:rPr>
          <w:rFonts w:cs="Times New Roman"/>
          <w:sz w:val="22"/>
        </w:rPr>
        <w:t>”</w:t>
      </w:r>
      <w:r w:rsidRPr="005B292F">
        <w:rPr>
          <w:rStyle w:val="FootnoteReference"/>
        </w:rPr>
        <w:footnoteReference w:id="197"/>
      </w:r>
      <w:r w:rsidR="00BF2B67">
        <w:rPr>
          <w:rFonts w:cs="Times New Roman"/>
          <w:sz w:val="22"/>
        </w:rPr>
        <w:t>;</w:t>
      </w:r>
      <w:r w:rsidR="00BF2B67" w:rsidRPr="0065632F">
        <w:rPr>
          <w:rFonts w:cs="Times New Roman"/>
          <w:sz w:val="22"/>
        </w:rPr>
        <w:t xml:space="preserve"> </w:t>
      </w:r>
      <w:r w:rsidR="00BF2B67">
        <w:rPr>
          <w:rFonts w:cs="Times New Roman"/>
          <w:sz w:val="22"/>
        </w:rPr>
        <w:t>and o</w:t>
      </w:r>
      <w:r w:rsidRPr="0065632F">
        <w:rPr>
          <w:rFonts w:cs="Times New Roman"/>
          <w:sz w:val="22"/>
        </w:rPr>
        <w:t xml:space="preserve">rganised criminal groups continue to operate with relative impunity in the region </w:t>
      </w:r>
      <w:r w:rsidRPr="0065632F">
        <w:rPr>
          <w:rFonts w:cs="Times New Roman"/>
          <w:sz w:val="22"/>
        </w:rPr>
        <w:fldChar w:fldCharType="begin" w:fldLock="1"/>
      </w:r>
      <w:r w:rsidR="00280EB6">
        <w:rPr>
          <w:rFonts w:cs="Times New Roman"/>
          <w:sz w:val="22"/>
        </w:rPr>
        <w:instrText>ADDIN CSL_CITATION {"citationItems":[{"id":"ITEM-1","itemData":{"DOI":"10.1007/s12117-016-9264-5","ISBN":"0165-1684","ISSN":"19364830","abstract":"The trade in caviar has a rich and colorful history, influenced over thousands of years by many cultures, societies and in the last decades by regulation. The value of caviar is historically discovered in the context of social change, political relationships and environmental change. The role of organized crime is described, as the scarcity of caviar has offered the unique opportunity to fish illegally, smuggle and trade contraband to mainly European countries with millions in profits. This study highlights that these criminal networks manifest themselves at all levels of the trade: from the poaching areas where organized criminal groups cooperate with law enforcers and possess top-notch equipment to major smuggling operations in the hands of sophisticated criminal networks. Although due to overexploitation ‘wild caviar’ is increasingly difficult to obtain, the demand in the context of exclusivity and scarcity remains intact by the upper class society desire for edible gold.","author":[{"dropping-particle":"","family":"Uhm","given":"Daan","non-dropping-particle":"van","parse-names":false,"suffix":""},{"dropping-particle":"","family":"Siegel","given":"Dina","non-dropping-particle":"","parse-names":false,"suffix":""}],"container-title":"Trends in Organized Crime","id":"ITEM-1","issue":"1","issued":{"date-parts":[["2016"]]},"page":"67-87","title":"The illegal trade in black caviar","type":"article-journal","volume":"19"},"uris":["http://www.mendeley.com/documents/?uuid=34c9ccf8-422d-4c42-a907-21a3eb6a28ad"]},{"id":"ITEM-2","itemData":{"DOI":"10.1007/s12117-014-9214-z","ISBN":"1211701492","ISSN":"19364830","abstract":"The Volga-Caspian basin, once the largest habitat of sturgeon species, became a hotbed of wildlife crime in the 1990s. With the rising demand for caviar in various parts of the world, caviar trafficking has grown to unprecedented levels, having put Caspian sturgeons under the risk of absolute extinction. Two decades later, as the Caspian sturgeon populations have been radically depleted, North American supplies of sturgeon species are targeted by criminal masterminds as an alternative illicit source of black caviar. This article identifies some of the trends in the development of the illicit market in black caviar. The analysis utilizes the idea of criminogenic asymmetries developed by Nikos Passas to examine the dynamics of and the driving forces behind this illicit market. Beyond the application of Passas' framework, the article offers a detailed descriptive analysis of poaching activities and caviar trafficking schemes based on data retrieved from public reports, court files, news media and interviews with officials and journalists.","author":[{"dropping-particle":"","family":"Zabyelina","given":"Yuliya G.","non-dropping-particle":"","parse-names":false,"suffix":""}],"container-title":"Trends in Organized Crime","id":"ITEM-2","issue":"3","issued":{"date-parts":[["2014"]]},"page":"181-198","title":"The \"fishy\" business: A qualitative analysis of the illicit market in black caviar","type":"article-journal","volume":"17"},"uris":["http://www.mendeley.com/documents/?uuid=1616d308-87d3-4886-a73a-8249113c67b7"]}],"mendeley":{"formattedCitation":"(Zabyelina, 2014; van Uhm and Siegel, 2016)","manualFormatting":"(Zabyelina, 2014; Ermolin and Svolkinas, 2016; van Uhm and Siegel, 2016;)","plainTextFormattedCitation":"(Zabyelina, 2014; van Uhm and Siegel, 2016)","previouslyFormattedCitation":"(Zabyelina, 2014; van Uhm and Siegel, 2016)"},"properties":{"noteIndex":0},"schema":"https://github.com/citation-style-language/schema/raw/master/csl-citation.json"}</w:instrText>
      </w:r>
      <w:r w:rsidRPr="0065632F">
        <w:rPr>
          <w:rFonts w:cs="Times New Roman"/>
          <w:sz w:val="22"/>
        </w:rPr>
        <w:fldChar w:fldCharType="separate"/>
      </w:r>
      <w:r w:rsidR="00042533" w:rsidRPr="00042533">
        <w:rPr>
          <w:rFonts w:cs="Times New Roman"/>
          <w:noProof/>
          <w:sz w:val="22"/>
        </w:rPr>
        <w:t>(Zabyelina, 2014;</w:t>
      </w:r>
      <w:r w:rsidR="001C2D87">
        <w:rPr>
          <w:rFonts w:cs="Times New Roman"/>
          <w:noProof/>
          <w:sz w:val="22"/>
        </w:rPr>
        <w:t xml:space="preserve"> </w:t>
      </w:r>
      <w:r w:rsidR="001C2D87" w:rsidRPr="00042533">
        <w:rPr>
          <w:rFonts w:cs="Times New Roman"/>
          <w:noProof/>
          <w:sz w:val="22"/>
        </w:rPr>
        <w:t>Ermolin and Svolkinas, 2016</w:t>
      </w:r>
      <w:r w:rsidR="001C2D87">
        <w:rPr>
          <w:rFonts w:cs="Times New Roman"/>
          <w:noProof/>
          <w:sz w:val="22"/>
        </w:rPr>
        <w:t>;</w:t>
      </w:r>
      <w:r w:rsidR="00042533" w:rsidRPr="00042533">
        <w:rPr>
          <w:rFonts w:cs="Times New Roman"/>
          <w:noProof/>
          <w:sz w:val="22"/>
        </w:rPr>
        <w:t xml:space="preserve"> van Uhm and Siegel, 2016</w:t>
      </w:r>
      <w:r w:rsidR="001C2D87">
        <w:rPr>
          <w:rFonts w:cs="Times New Roman"/>
          <w:noProof/>
          <w:sz w:val="22"/>
        </w:rPr>
        <w:t>;</w:t>
      </w:r>
      <w:r w:rsidR="00042533" w:rsidRPr="00042533">
        <w:rPr>
          <w:rFonts w:cs="Times New Roman"/>
          <w:noProof/>
          <w:sz w:val="22"/>
        </w:rPr>
        <w:t>)</w:t>
      </w:r>
      <w:r w:rsidRPr="0065632F">
        <w:rPr>
          <w:rFonts w:cs="Times New Roman"/>
          <w:sz w:val="22"/>
        </w:rPr>
        <w:fldChar w:fldCharType="end"/>
      </w:r>
      <w:r w:rsidR="00BF2B67">
        <w:rPr>
          <w:rFonts w:cs="Times New Roman"/>
          <w:sz w:val="22"/>
        </w:rPr>
        <w:t xml:space="preserve">. </w:t>
      </w:r>
    </w:p>
    <w:p w14:paraId="2EAAC0AD" w14:textId="2B60573B" w:rsidR="00F90322" w:rsidRPr="0065632F" w:rsidRDefault="00F90322" w:rsidP="00F90322">
      <w:pPr>
        <w:rPr>
          <w:rFonts w:cs="Times New Roman"/>
          <w:sz w:val="22"/>
        </w:rPr>
      </w:pPr>
      <w:r w:rsidRPr="0065632F">
        <w:rPr>
          <w:rFonts w:cs="Times New Roman"/>
          <w:sz w:val="22"/>
        </w:rPr>
        <w:tab/>
        <w:t xml:space="preserve">In contrast, much less is documented about </w:t>
      </w:r>
      <w:r>
        <w:rPr>
          <w:rFonts w:cs="Times New Roman"/>
          <w:sz w:val="22"/>
        </w:rPr>
        <w:t xml:space="preserve">the security dimensions of illegal </w:t>
      </w:r>
      <w:r w:rsidRPr="0065632F">
        <w:rPr>
          <w:rFonts w:cs="Times New Roman"/>
          <w:sz w:val="22"/>
        </w:rPr>
        <w:t>caviar trade within the European Union. It is recognised that illegal caviar trad</w:t>
      </w:r>
      <w:r w:rsidR="008379D3">
        <w:rPr>
          <w:rFonts w:cs="Times New Roman"/>
          <w:sz w:val="22"/>
        </w:rPr>
        <w:t>e in the EU has links to organis</w:t>
      </w:r>
      <w:r w:rsidRPr="0065632F">
        <w:rPr>
          <w:rFonts w:cs="Times New Roman"/>
          <w:sz w:val="22"/>
        </w:rPr>
        <w:t xml:space="preserve">ed crime </w:t>
      </w:r>
      <w:r w:rsidRPr="0065632F">
        <w:rPr>
          <w:rFonts w:cs="Times New Roman"/>
          <w:sz w:val="22"/>
        </w:rPr>
        <w:fldChar w:fldCharType="begin" w:fldLock="1"/>
      </w:r>
      <w:r w:rsidR="00EC7F7E">
        <w:rPr>
          <w:rFonts w:cs="Times New Roman"/>
          <w:sz w:val="22"/>
        </w:rPr>
        <w:instrText>ADDIN CSL_CITATION {"citationItems":[{"id":"ITEM-1","itemData":{"ISBN":"9782930490144","author":[{"dropping-particle":"","family":"Kecse-Nagy","given":"Katalin","non-dropping-particle":"","parse-names":false,"suffix":""}],"id":"ITEM-1","issued":{"date-parts":[["2011"]]},"title":"Trade in Sturgeon Caviar in Bulgaria and Romania-overview of reported trade in caviar","type":"book"},"uris":["http://www.mendeley.com/documents/?uuid=b2c28520-cf4d-31b0-8f66-39dc5944ddaf"]},{"id":"ITEM-2","itemData":{"DOI":"10.1007/s12117-016-9264-5","ISBN":"0165-1684","ISSN":"19364830","abstract":"The trade in caviar has a rich and colorful history, influenced over thousands of years by many cultures, societies and in the last decades by regulation. The value of caviar is historically discovered in the context of social change, political relationships and environmental change. The role of organized crime is described, as the scarcity of caviar has offered the unique opportunity to fish illegally, smuggle and trade contraband to mainly European countries with millions in profits. This study highlights that these criminal networks manifest themselves at all levels of the trade: from the poaching areas where organized criminal groups cooperate with law enforcers and possess top-notch equipment to major smuggling operations in the hands of sophisticated criminal networks. Although due to overexploitation ‘wild caviar’ is increasingly difficult to obtain, the demand in the context of exclusivity and scarcity remains intact by the upper class society desire for edible gold.","author":[{"dropping-particle":"","family":"Uhm","given":"Daan","non-dropping-particle":"van","parse-names":false,"suffix":""},{"dropping-particle":"","family":"Siegel","given":"Dina","non-dropping-particle":"","parse-names":false,"suffix":""}],"container-title":"Trends in Organized Crime","id":"ITEM-2","issue":"1","issued":{"date-parts":[["2016"]]},"page":"67-87","title":"The illegal trade in black caviar","type":"article-journal","volume":"19"},"uris":["http://www.mendeley.com/documents/?uuid=34c9ccf8-422d-4c42-a907-21a3eb6a28ad"]}],"mendeley":{"formattedCitation":"(Kecse-Nagy, 2011; van Uhm and Siegel, 2016)","plainTextFormattedCitation":"(Kecse-Nagy, 2011; van Uhm and Siegel, 2016)","previouslyFormattedCitation":"(Kecse-Nagy, 2011; van Uhm and Siegel, 2016)"},"properties":{"noteIndex":0},"schema":"https://github.com/citation-style-language/schema/raw/master/csl-citation.json"}</w:instrText>
      </w:r>
      <w:r w:rsidRPr="0065632F">
        <w:rPr>
          <w:rFonts w:cs="Times New Roman"/>
          <w:sz w:val="22"/>
        </w:rPr>
        <w:fldChar w:fldCharType="separate"/>
      </w:r>
      <w:r w:rsidR="00042533" w:rsidRPr="00042533">
        <w:rPr>
          <w:rFonts w:cs="Times New Roman"/>
          <w:noProof/>
          <w:sz w:val="22"/>
        </w:rPr>
        <w:t>(Kecse-Nagy, 2011; van Uhm and Siegel, 2016)</w:t>
      </w:r>
      <w:r w:rsidRPr="0065632F">
        <w:rPr>
          <w:rFonts w:cs="Times New Roman"/>
          <w:sz w:val="22"/>
        </w:rPr>
        <w:fldChar w:fldCharType="end"/>
      </w:r>
      <w:r w:rsidRPr="0065632F">
        <w:rPr>
          <w:rFonts w:cs="Times New Roman"/>
          <w:sz w:val="22"/>
        </w:rPr>
        <w:t xml:space="preserve"> and corruption </w:t>
      </w:r>
      <w:r w:rsidRPr="0065632F">
        <w:rPr>
          <w:rFonts w:cs="Times New Roman"/>
          <w:sz w:val="22"/>
        </w:rPr>
        <w:fldChar w:fldCharType="begin" w:fldLock="1"/>
      </w:r>
      <w:r w:rsidR="00280EB6">
        <w:rPr>
          <w:rFonts w:cs="Times New Roman"/>
          <w:sz w:val="22"/>
        </w:rPr>
        <w:instrText>ADDIN CSL_CITATION {"citationItems":[{"id":"ITEM-1","itemData":{"ISBN":"9781911646051","abstract":"The illegal exploitation of the world's fl ora and fauna is a serious and growing problem globally, negatively impacting economic and social development, security and governance. Wildlife and forest crime has all the hallmarks of transnational organized crime and frequently involves other forms of seri-ous crime such as fraud, money laundering and corruption. Transnational organized criminal networks are moving poached or illegally harvested wildlife using a variety of smuggling techniques, often by means of existing infrastruc-tures and well-developed routes used for the traffi cking of drugs, people, weapons, counterfeit goods and other forms of contraband. All links in this traffi cking chain are facili-tated by varying levels of corruption – both in the public and private sectors. Yet in spite of all the negative impacts, wildlife and forest crime continues to be viewed as being outside 'main-stream crime' by many in the law enforcement community, governments and the public. Despite the transnational and organized nature of this illicit trade, the response varies signif-icantly from one region to another. Successful investigations and prosecutions are few, an indication of the low priority often given to this issue. When addressing corruption linked to wildlife and forest crime, efforts are haphazard, if any.","author":[{"dropping-particle":"","family":"Musing, L., Harris, L., Williams, A., Parry- Jones, R., van Uhm, D., Wyatt","given":"T.","non-dropping-particle":"","parse-names":false,"suffix":""}],"id":"ITEM-1","issued":{"date-parts":[["2019"]]},"title":"Corruption and Wildlife crime: A focus on caviar trade","type":"book"},"uris":["http://www.mendeley.com/documents/?uuid=a55a63cf-6b7f-4a17-8fad-345667ee03ac"]}],"mendeley":{"formattedCitation":"(Musing, L., Harris, L., Williams, A., Parry- Jones, R., van Uhm, D., Wyatt, 2019)","manualFormatting":"(Musing et al, 2019)","plainTextFormattedCitation":"(Musing, L., Harris, L., Williams, A., Parry- Jones, R., van Uhm, D., Wyatt, 2019)","previouslyFormattedCitation":"(Musing, L., Harris, L., Williams, A., Parry- Jones, R., van Uhm, D., Wyatt, 2019)"},"properties":{"noteIndex":0},"schema":"https://github.com/citation-style-language/schema/raw/master/csl-citation.json"}</w:instrText>
      </w:r>
      <w:r w:rsidRPr="0065632F">
        <w:rPr>
          <w:rFonts w:cs="Times New Roman"/>
          <w:sz w:val="22"/>
        </w:rPr>
        <w:fldChar w:fldCharType="separate"/>
      </w:r>
      <w:r w:rsidR="001C2D87">
        <w:rPr>
          <w:rFonts w:cs="Times New Roman"/>
          <w:noProof/>
          <w:sz w:val="22"/>
        </w:rPr>
        <w:t>(Musing</w:t>
      </w:r>
      <w:r w:rsidRPr="0065632F">
        <w:rPr>
          <w:rFonts w:cs="Times New Roman"/>
          <w:noProof/>
          <w:sz w:val="22"/>
        </w:rPr>
        <w:t xml:space="preserve"> </w:t>
      </w:r>
      <w:r w:rsidRPr="0065632F">
        <w:rPr>
          <w:rFonts w:cs="Times New Roman"/>
          <w:i/>
          <w:noProof/>
          <w:sz w:val="22"/>
        </w:rPr>
        <w:t>et al,</w:t>
      </w:r>
      <w:r w:rsidRPr="0065632F">
        <w:rPr>
          <w:rFonts w:cs="Times New Roman"/>
          <w:noProof/>
          <w:sz w:val="22"/>
        </w:rPr>
        <w:t xml:space="preserve"> 2019)</w:t>
      </w:r>
      <w:r w:rsidRPr="0065632F">
        <w:rPr>
          <w:rFonts w:cs="Times New Roman"/>
          <w:sz w:val="22"/>
        </w:rPr>
        <w:fldChar w:fldCharType="end"/>
      </w:r>
      <w:r w:rsidRPr="0065632F">
        <w:rPr>
          <w:rFonts w:cs="Times New Roman"/>
          <w:sz w:val="22"/>
        </w:rPr>
        <w:t xml:space="preserve">. These links carry with them </w:t>
      </w:r>
      <w:r w:rsidR="001C2D87">
        <w:rPr>
          <w:rFonts w:cs="Times New Roman"/>
          <w:sz w:val="22"/>
        </w:rPr>
        <w:t xml:space="preserve">implicit references to security. But </w:t>
      </w:r>
      <w:r w:rsidRPr="0065632F">
        <w:rPr>
          <w:rFonts w:cs="Times New Roman"/>
          <w:sz w:val="22"/>
        </w:rPr>
        <w:t>on the whole, these studies do not explicitly analyse the security implications of illegal caviar trade in the EU, or consider how security concerns influence</w:t>
      </w:r>
      <w:r w:rsidR="008379D3">
        <w:rPr>
          <w:rFonts w:cs="Times New Roman"/>
          <w:sz w:val="22"/>
        </w:rPr>
        <w:t xml:space="preserve"> policy and enforcement</w:t>
      </w:r>
      <w:r w:rsidRPr="0065632F">
        <w:rPr>
          <w:rFonts w:cs="Times New Roman"/>
          <w:sz w:val="22"/>
        </w:rPr>
        <w:t xml:space="preserve"> responses to illegal caviar trade</w:t>
      </w:r>
      <w:r w:rsidR="008379D3">
        <w:rPr>
          <w:rFonts w:cs="Times New Roman"/>
          <w:sz w:val="22"/>
        </w:rPr>
        <w:t xml:space="preserve"> in the EU</w:t>
      </w:r>
      <w:r w:rsidRPr="0065632F">
        <w:rPr>
          <w:rFonts w:cs="Times New Roman"/>
          <w:sz w:val="22"/>
        </w:rPr>
        <w:t>. This chapter therefore engages with security</w:t>
      </w:r>
      <w:r w:rsidR="00CF54DE">
        <w:rPr>
          <w:rFonts w:cs="Times New Roman"/>
          <w:sz w:val="22"/>
        </w:rPr>
        <w:t xml:space="preserve"> </w:t>
      </w:r>
      <w:r w:rsidR="00BF2B67">
        <w:rPr>
          <w:rFonts w:cs="Times New Roman"/>
          <w:sz w:val="22"/>
        </w:rPr>
        <w:t>narratives</w:t>
      </w:r>
      <w:r w:rsidRPr="0065632F">
        <w:rPr>
          <w:rFonts w:cs="Times New Roman"/>
          <w:sz w:val="22"/>
        </w:rPr>
        <w:t xml:space="preserve"> and securitizing responses as a useful way of analysing the contested geopolitical implications of the EU caviar trade regulations. </w:t>
      </w:r>
    </w:p>
    <w:p w14:paraId="23F3500C" w14:textId="5D04946A" w:rsidR="00C2258C" w:rsidRDefault="00F90322" w:rsidP="00F90322">
      <w:pPr>
        <w:rPr>
          <w:rFonts w:cs="Times New Roman"/>
          <w:sz w:val="22"/>
        </w:rPr>
      </w:pPr>
      <w:r w:rsidRPr="0065632F">
        <w:rPr>
          <w:rFonts w:cs="Times New Roman"/>
          <w:sz w:val="22"/>
        </w:rPr>
        <w:tab/>
      </w:r>
      <w:r w:rsidR="00967992">
        <w:rPr>
          <w:rFonts w:cs="Times New Roman"/>
          <w:sz w:val="22"/>
        </w:rPr>
        <w:t xml:space="preserve">In line with the theoretical framework of this thesis, I examine how contrasting visions of ‘security’ are used to stabilise and support particular environmental-geopolitical policy and enforcement interventions in the EU </w:t>
      </w:r>
      <w:r w:rsidR="00967992">
        <w:rPr>
          <w:rFonts w:cs="Times New Roman"/>
          <w:sz w:val="22"/>
        </w:rPr>
        <w:fldChar w:fldCharType="begin" w:fldLock="1"/>
      </w:r>
      <w:r w:rsidR="00594402">
        <w:rPr>
          <w:rFonts w:cs="Times New Roman"/>
          <w:sz w:val="22"/>
        </w:rPr>
        <w:instrText>ADDIN CSL_CITATION {"citationItems":[{"id":"ITEM-1","itemData":{"ISBN":"1442265817","abstract":" This thought-provoking and clearly argued text provides a critical geopolitical lens for understanding global environment politics. A subfield of political geography, environmental geopolitics examines how environmental themes are used to support geopolitical arguments and physical realities of power and place. Shannon O’Lear considers common, problematic traits of such familiar but widely misunderstood narratives about human-environment relationships. Mainstream themes about human-environment relationships include narratives about presumed connections between human population trends and resource scarcity; ways in which conflict and violence are linked to resource use or environmental degradation; climate security; and the application of science to solve environmental problems. O’Lear questions these narratives, arguing that the role or meaning of the environment is rarely specified, humans’ role in these situations tends to be considered selectively, and little attention is paid to spatial dimensions of human-environment relationships. She shows that how we tend to think about environmental concerns often obscure value judgments and constrain more dynamic approaches to human-environment relationships. Environmental geopolitics demonstrates how we can question familiar assumptions to generate more just and creative approaches to our many relationships with the environment.\r\n","author":[{"dropping-particle":"","family":"O'Lear","given":"Shannon","non-dropping-particle":"","parse-names":false,"suffix":""}],"id":"ITEM-1","issued":{"date-parts":[["2018"]]},"number-of-pages":"216","title":"Environmental Geopolitics","type":"book"},"uris":["http://www.mendeley.com/documents/?uuid=59389a53-42d6-3563-9aec-f89f03ab5871"]}],"mendeley":{"formattedCitation":"(O’Lear, 2018)","plainTextFormattedCitation":"(O’Lear, 2018)","previouslyFormattedCitation":"(O’Lear, 2018)"},"properties":{"noteIndex":0},"schema":"https://github.com/citation-style-language/schema/raw/master/csl-citation.json"}</w:instrText>
      </w:r>
      <w:r w:rsidR="00967992">
        <w:rPr>
          <w:rFonts w:cs="Times New Roman"/>
          <w:sz w:val="22"/>
        </w:rPr>
        <w:fldChar w:fldCharType="separate"/>
      </w:r>
      <w:r w:rsidR="00967992" w:rsidRPr="00967992">
        <w:rPr>
          <w:rFonts w:cs="Times New Roman"/>
          <w:noProof/>
          <w:sz w:val="22"/>
        </w:rPr>
        <w:t>(O’Lear, 2018)</w:t>
      </w:r>
      <w:r w:rsidR="00967992">
        <w:rPr>
          <w:rFonts w:cs="Times New Roman"/>
          <w:sz w:val="22"/>
        </w:rPr>
        <w:fldChar w:fldCharType="end"/>
      </w:r>
      <w:r w:rsidR="00967992">
        <w:rPr>
          <w:rFonts w:cs="Times New Roman"/>
          <w:sz w:val="22"/>
        </w:rPr>
        <w:t>.</w:t>
      </w:r>
      <w:r w:rsidR="00C2258C">
        <w:rPr>
          <w:rFonts w:cs="Times New Roman"/>
          <w:sz w:val="22"/>
        </w:rPr>
        <w:t xml:space="preserve"> I interrogate the multi-scalar geopolitical implications of these interventions, and ask “what is being secured and for whom?” (O’Lear, 2018: 172). In doing so my analysis foregrounds the unequally distributed impacts of securitized interventions. Moreover, from a more-than-human perspective, this chapter considers how sturgeon are variably integrated into, or marginalised by, the competing security discourses and responses materialising in the EU. </w:t>
      </w:r>
    </w:p>
    <w:p w14:paraId="67AE6EDB" w14:textId="579288BE" w:rsidR="00F90322" w:rsidRPr="0065632F" w:rsidRDefault="00C2258C" w:rsidP="00C2258C">
      <w:pPr>
        <w:ind w:firstLine="720"/>
        <w:rPr>
          <w:rFonts w:cs="Times New Roman"/>
          <w:sz w:val="22"/>
        </w:rPr>
      </w:pPr>
      <w:r>
        <w:rPr>
          <w:rFonts w:cs="Times New Roman"/>
          <w:sz w:val="22"/>
        </w:rPr>
        <w:t xml:space="preserve">In sum, </w:t>
      </w:r>
      <w:r w:rsidR="00967992">
        <w:rPr>
          <w:rFonts w:cs="Times New Roman"/>
          <w:sz w:val="22"/>
        </w:rPr>
        <w:t xml:space="preserve">I examine how security actors differentially frame illegal caviar trade as a </w:t>
      </w:r>
      <w:r>
        <w:rPr>
          <w:rFonts w:cs="Times New Roman"/>
          <w:sz w:val="22"/>
        </w:rPr>
        <w:t xml:space="preserve">security issue; and analyse what </w:t>
      </w:r>
      <w:r w:rsidRPr="0065632F">
        <w:rPr>
          <w:rFonts w:cs="Times New Roman"/>
          <w:sz w:val="22"/>
        </w:rPr>
        <w:t xml:space="preserve">security-oriented responses the </w:t>
      </w:r>
      <w:r w:rsidR="001C2D87">
        <w:rPr>
          <w:rFonts w:cs="Times New Roman"/>
          <w:sz w:val="22"/>
        </w:rPr>
        <w:t>contrasting</w:t>
      </w:r>
      <w:r w:rsidRPr="0065632F">
        <w:rPr>
          <w:rFonts w:cs="Times New Roman"/>
          <w:sz w:val="22"/>
        </w:rPr>
        <w:t xml:space="preserve"> security framings elicit and subsequently achieve</w:t>
      </w:r>
      <w:r>
        <w:rPr>
          <w:rFonts w:cs="Times New Roman"/>
          <w:sz w:val="22"/>
        </w:rPr>
        <w:t>. I focus analytical attention on explaining</w:t>
      </w:r>
      <w:r w:rsidR="00967992">
        <w:rPr>
          <w:rFonts w:cs="Times New Roman"/>
          <w:sz w:val="22"/>
        </w:rPr>
        <w:t xml:space="preserve"> </w:t>
      </w:r>
      <w:r w:rsidR="00967992" w:rsidRPr="0065632F">
        <w:rPr>
          <w:rFonts w:cs="Times New Roman"/>
          <w:sz w:val="22"/>
        </w:rPr>
        <w:t xml:space="preserve">‘how security problems emerge, evolve, and dissolve’ </w:t>
      </w:r>
      <w:r w:rsidR="00967992" w:rsidRPr="0065632F">
        <w:rPr>
          <w:rFonts w:cs="Times New Roman"/>
          <w:sz w:val="22"/>
        </w:rPr>
        <w:fldChar w:fldCharType="begin" w:fldLock="1"/>
      </w:r>
      <w:r w:rsidR="00280EB6">
        <w:rPr>
          <w:rFonts w:cs="Times New Roman"/>
          <w:sz w:val="22"/>
        </w:rPr>
        <w:instrText>ADDIN CSL_CITATION {"citationItems":[{"id":"ITEM-1","itemData":{"ISBN":"9780203868508","abstract":"A theory of securitization / Thierry Balzacq -- Enquiries into methods : a new framework for securitization analysis / Thierry Balzacq -- Reconceptualizing the audience in securitization theory / Sarah Léonard and Christian Kaunert -- Securitization as a media frame : what happens when the media \"speak security\" / Fred Vultee -- The limits of spoken words : from meta-narratives to experiences of security / C. Wilkinson -- When securitization fails : the hard case of counter-terrorism programs / Mark B. Salter -- Rethinking the securitization of the environment : old beliefs, new insights / Maria Julia Trombetta -- Health issues and securitization : the construction of HIV/AIDS as a US national security threat / Roxanna Sjöstedt -- Securitization, culture and power : rogue states in US and German discourse / Holger Stritzel and Dirk Schmittchen -- Religion bites : Falungong, securitization/desecuritization in the People's Republic of China / Juha A. Vuori -- The continuing evolution of securitization theory / Michael C. Williams.","author":[{"dropping-particle":"","family":"Balzacq","given":"Thierry.","non-dropping-particle":"","parse-names":false,"suffix":""}],"id":"ITEM-1","issued":{"date-parts":[["2011"]]},"number-of-pages":"258","publisher":"Routledge","title":"Securitization theory : how security problems emerge and dissolve","type":"book"},"uris":["http://www.mendeley.com/documents/?uuid=812ed7c8-93ff-3126-9e89-f337bce61ce9"]}],"mendeley":{"formattedCitation":"(Balzacq, 2011)","manualFormatting":"(Balzacq, 2011)","plainTextFormattedCitation":"(Balzacq, 2011)","previouslyFormattedCitation":"(Balzacq, 2011)"},"properties":{"noteIndex":0},"schema":"https://github.com/citation-style-language/schema/raw/master/csl-citation.json"}</w:instrText>
      </w:r>
      <w:r w:rsidR="00967992" w:rsidRPr="0065632F">
        <w:rPr>
          <w:rFonts w:cs="Times New Roman"/>
          <w:sz w:val="22"/>
        </w:rPr>
        <w:fldChar w:fldCharType="separate"/>
      </w:r>
      <w:r w:rsidR="001C2D87">
        <w:rPr>
          <w:rFonts w:cs="Times New Roman"/>
          <w:noProof/>
          <w:sz w:val="22"/>
        </w:rPr>
        <w:t>(Balzacq, 2011</w:t>
      </w:r>
      <w:r w:rsidR="00967992" w:rsidRPr="0065632F">
        <w:rPr>
          <w:rFonts w:cs="Times New Roman"/>
          <w:noProof/>
          <w:sz w:val="22"/>
        </w:rPr>
        <w:t>)</w:t>
      </w:r>
      <w:r w:rsidR="00967992" w:rsidRPr="0065632F">
        <w:rPr>
          <w:rFonts w:cs="Times New Roman"/>
          <w:sz w:val="22"/>
        </w:rPr>
        <w:fldChar w:fldCharType="end"/>
      </w:r>
      <w:r>
        <w:rPr>
          <w:rFonts w:cs="Times New Roman"/>
          <w:sz w:val="22"/>
        </w:rPr>
        <w:t xml:space="preserve"> in the context of regulating sturgeon crimes in the EU. </w:t>
      </w:r>
      <w:r w:rsidR="00F90322" w:rsidRPr="0065632F">
        <w:rPr>
          <w:rFonts w:cs="Times New Roman"/>
          <w:sz w:val="22"/>
        </w:rPr>
        <w:t xml:space="preserve">Dissolving security responses include EU institutions and enforcement bodies delisting caviar as a CITES priority. Evolving security responses include NGOs moving further into the security arena and pushing for operations informed by surveillance techniques. </w:t>
      </w:r>
      <w:r w:rsidR="00F90322">
        <w:rPr>
          <w:rFonts w:cs="Times New Roman"/>
          <w:sz w:val="22"/>
        </w:rPr>
        <w:t>Emerging security discourses develop arguments about ‘ecological security’, but are silenced by state actors pursuin</w:t>
      </w:r>
      <w:r w:rsidR="0005099F">
        <w:rPr>
          <w:rFonts w:cs="Times New Roman"/>
          <w:sz w:val="22"/>
        </w:rPr>
        <w:t>g alternative security agendas. U</w:t>
      </w:r>
      <w:r w:rsidR="00F90322" w:rsidRPr="0065632F">
        <w:rPr>
          <w:rFonts w:cs="Times New Roman"/>
          <w:sz w:val="22"/>
        </w:rPr>
        <w:t xml:space="preserve">nderwriting the traction and effectiveness of these contested security framings and responses, are power dynamics that determine whose or which securitizing moves are successful. </w:t>
      </w:r>
    </w:p>
    <w:p w14:paraId="403F54D8" w14:textId="586F55AD" w:rsidR="00C2258C" w:rsidRDefault="00F90322" w:rsidP="00F90322">
      <w:pPr>
        <w:rPr>
          <w:rFonts w:cs="Times New Roman"/>
          <w:sz w:val="22"/>
        </w:rPr>
      </w:pPr>
      <w:r w:rsidRPr="0065632F">
        <w:rPr>
          <w:rFonts w:cs="Times New Roman"/>
          <w:sz w:val="22"/>
        </w:rPr>
        <w:tab/>
        <w:t>In section 7.1 I assess how the security implications of illegal caviar trade have been downgraded via ‘dissolving’ security</w:t>
      </w:r>
      <w:r w:rsidR="0005099F">
        <w:rPr>
          <w:rFonts w:cs="Times New Roman"/>
          <w:sz w:val="22"/>
        </w:rPr>
        <w:t xml:space="preserve"> discourses and actions pursued</w:t>
      </w:r>
      <w:r w:rsidRPr="0065632F">
        <w:rPr>
          <w:rFonts w:cs="Times New Roman"/>
          <w:sz w:val="22"/>
        </w:rPr>
        <w:t xml:space="preserve"> by EU institutions. I argue that the dissolving securitizing moves are geopolitically dominant, but do not reflect the nuanced security realities on the ground in sturgeon range states such as Romania. In Section 7.2 I explore how gaps and grey areas in regulations have cata</w:t>
      </w:r>
      <w:r>
        <w:rPr>
          <w:rFonts w:cs="Times New Roman"/>
          <w:sz w:val="22"/>
        </w:rPr>
        <w:t xml:space="preserve">lysed the evolution of security discourses and conservation </w:t>
      </w:r>
      <w:r>
        <w:rPr>
          <w:rFonts w:cs="Times New Roman"/>
          <w:sz w:val="22"/>
        </w:rPr>
        <w:lastRenderedPageBreak/>
        <w:t>surveillance response</w:t>
      </w:r>
      <w:r w:rsidR="0005099F">
        <w:rPr>
          <w:rFonts w:cs="Times New Roman"/>
          <w:sz w:val="22"/>
        </w:rPr>
        <w:t>s to the threat posed by organis</w:t>
      </w:r>
      <w:r>
        <w:rPr>
          <w:rFonts w:cs="Times New Roman"/>
          <w:sz w:val="22"/>
        </w:rPr>
        <w:t xml:space="preserve">ed crime in Romania and the wider Lower Danube and North-West Black Sea region. </w:t>
      </w:r>
      <w:r w:rsidRPr="0065632F">
        <w:rPr>
          <w:rFonts w:cs="Times New Roman"/>
          <w:sz w:val="22"/>
        </w:rPr>
        <w:t xml:space="preserve">These securitizing moves challenge the ‘dissolving’ security narratives deployed by EU institutions. </w:t>
      </w:r>
      <w:r>
        <w:rPr>
          <w:rFonts w:cs="Times New Roman"/>
          <w:sz w:val="22"/>
        </w:rPr>
        <w:t xml:space="preserve">In section 7.3 I draw attention to the existence of security discourses focused upon ‘ecological security’; but show how these securitizing discourses are silenced by the security agenda of the Romanian state. </w:t>
      </w:r>
      <w:r w:rsidRPr="0065632F">
        <w:rPr>
          <w:rFonts w:cs="Times New Roman"/>
          <w:sz w:val="22"/>
        </w:rPr>
        <w:t>Finally in sec</w:t>
      </w:r>
      <w:r>
        <w:rPr>
          <w:rFonts w:cs="Times New Roman"/>
          <w:sz w:val="22"/>
        </w:rPr>
        <w:t>tion 7.4</w:t>
      </w:r>
      <w:r w:rsidRPr="0065632F">
        <w:rPr>
          <w:rFonts w:cs="Times New Roman"/>
          <w:sz w:val="22"/>
        </w:rPr>
        <w:t xml:space="preserve"> I </w:t>
      </w:r>
      <w:r w:rsidR="0005099F">
        <w:rPr>
          <w:rFonts w:cs="Times New Roman"/>
          <w:sz w:val="22"/>
        </w:rPr>
        <w:t>reflect</w:t>
      </w:r>
      <w:r w:rsidRPr="0065632F">
        <w:rPr>
          <w:rFonts w:cs="Times New Roman"/>
          <w:sz w:val="22"/>
        </w:rPr>
        <w:t xml:space="preserve"> on the contested geopolitics of security playing out around </w:t>
      </w:r>
      <w:r w:rsidR="0005099F">
        <w:rPr>
          <w:rFonts w:cs="Times New Roman"/>
          <w:sz w:val="22"/>
        </w:rPr>
        <w:t xml:space="preserve">illegal caviar trade in the EU; and conclude that power geometries ultimately </w:t>
      </w:r>
      <w:r w:rsidRPr="0065632F">
        <w:rPr>
          <w:rFonts w:cs="Times New Roman"/>
          <w:sz w:val="22"/>
        </w:rPr>
        <w:t>enable some secur</w:t>
      </w:r>
      <w:r>
        <w:rPr>
          <w:rFonts w:cs="Times New Roman"/>
          <w:sz w:val="22"/>
        </w:rPr>
        <w:t>itizing processes</w:t>
      </w:r>
      <w:r w:rsidR="0005099F">
        <w:rPr>
          <w:rFonts w:cs="Times New Roman"/>
          <w:sz w:val="22"/>
        </w:rPr>
        <w:t xml:space="preserve"> to gain traction</w:t>
      </w:r>
      <w:r w:rsidRPr="0065632F">
        <w:rPr>
          <w:rFonts w:cs="Times New Roman"/>
          <w:sz w:val="22"/>
        </w:rPr>
        <w:t xml:space="preserve"> whilst others are silenced. </w:t>
      </w:r>
    </w:p>
    <w:p w14:paraId="38E303AC" w14:textId="77777777" w:rsidR="004A71EC" w:rsidRPr="0065632F" w:rsidRDefault="004A71EC" w:rsidP="00F90322">
      <w:pPr>
        <w:rPr>
          <w:rFonts w:cs="Times New Roman"/>
          <w:sz w:val="22"/>
        </w:rPr>
      </w:pPr>
    </w:p>
    <w:p w14:paraId="5170C9B1" w14:textId="29144F5B" w:rsidR="00F90322" w:rsidRPr="0065632F" w:rsidRDefault="00A6113F" w:rsidP="00F90322">
      <w:pPr>
        <w:pStyle w:val="Heading2"/>
      </w:pPr>
      <w:bookmarkStart w:id="88" w:name="_Toc453224245"/>
      <w:r>
        <w:t>7.1 Illegal c</w:t>
      </w:r>
      <w:r w:rsidR="00F90322" w:rsidRPr="0065632F">
        <w:t>aviar trade in the EU: a dissolving security concern?</w:t>
      </w:r>
      <w:bookmarkEnd w:id="88"/>
    </w:p>
    <w:p w14:paraId="6EF67E50" w14:textId="587C03E1" w:rsidR="00F90322" w:rsidRPr="0065632F" w:rsidRDefault="00F90322" w:rsidP="00FC70E0">
      <w:pPr>
        <w:rPr>
          <w:rFonts w:cs="Times New Roman"/>
          <w:b/>
          <w:sz w:val="22"/>
          <w:u w:val="single"/>
        </w:rPr>
      </w:pPr>
      <w:r w:rsidRPr="0065632F">
        <w:rPr>
          <w:rFonts w:cs="Times New Roman"/>
          <w:sz w:val="22"/>
        </w:rPr>
        <w:t xml:space="preserve">Previously </w:t>
      </w:r>
      <w:r w:rsidRPr="0065632F">
        <w:rPr>
          <w:rFonts w:eastAsia="Cambria" w:cs="Times New Roman"/>
          <w:sz w:val="22"/>
        </w:rPr>
        <w:t xml:space="preserve">high levels of criminality served to configure illegal caviar trade as a security threat in the EU. Examples abound of those working to implement caviar trade regulations in the EU being threatened or intimidated by groups and individuals suspected to be </w:t>
      </w:r>
      <w:r>
        <w:rPr>
          <w:rFonts w:eastAsia="Cambria" w:cs="Times New Roman"/>
          <w:sz w:val="22"/>
        </w:rPr>
        <w:t>part of</w:t>
      </w:r>
      <w:r w:rsidRPr="0065632F">
        <w:rPr>
          <w:rFonts w:eastAsia="Cambria" w:cs="Times New Roman"/>
          <w:sz w:val="22"/>
        </w:rPr>
        <w:t xml:space="preserve"> ‘caviar mafia’ affiliations. </w:t>
      </w:r>
      <w:r>
        <w:rPr>
          <w:rFonts w:eastAsia="Cambria" w:cs="Times New Roman"/>
          <w:sz w:val="22"/>
        </w:rPr>
        <w:t xml:space="preserve">NGO </w:t>
      </w:r>
      <w:r w:rsidR="00A6113F">
        <w:rPr>
          <w:rFonts w:eastAsia="Cambria" w:cs="Times New Roman"/>
          <w:sz w:val="22"/>
        </w:rPr>
        <w:t>representative</w:t>
      </w:r>
      <w:r w:rsidR="004A71EC">
        <w:rPr>
          <w:rFonts w:eastAsia="Cambria" w:cs="Times New Roman"/>
          <w:sz w:val="22"/>
        </w:rPr>
        <w:t xml:space="preserve"> Rose</w:t>
      </w:r>
      <w:r w:rsidR="00A6113F">
        <w:rPr>
          <w:rFonts w:eastAsia="Cambria" w:cs="Times New Roman"/>
          <w:sz w:val="22"/>
        </w:rPr>
        <w:t>, explained that she has “</w:t>
      </w:r>
      <w:r w:rsidRPr="0065632F">
        <w:rPr>
          <w:rFonts w:eastAsia="Cambria" w:cs="Times New Roman"/>
          <w:sz w:val="22"/>
        </w:rPr>
        <w:t>heard from colleagues working on the ground in sturgeon conservation, that they’ve been threatened before. I’ve heard of a story of a person who has even been killed</w:t>
      </w:r>
      <w:r w:rsidR="00A6113F">
        <w:rPr>
          <w:rFonts w:eastAsia="Cambria" w:cs="Times New Roman"/>
          <w:sz w:val="22"/>
        </w:rPr>
        <w:t>”</w:t>
      </w:r>
      <w:r w:rsidRPr="005B292F">
        <w:rPr>
          <w:rStyle w:val="FootnoteReference"/>
        </w:rPr>
        <w:footnoteReference w:id="198"/>
      </w:r>
      <w:r w:rsidRPr="0065632F">
        <w:rPr>
          <w:rFonts w:eastAsia="Cambria" w:cs="Times New Roman"/>
          <w:sz w:val="22"/>
        </w:rPr>
        <w:t xml:space="preserve">. Similarly </w:t>
      </w:r>
      <w:r w:rsidR="004A71EC">
        <w:rPr>
          <w:rFonts w:eastAsia="Cambria" w:cs="Times New Roman"/>
          <w:sz w:val="22"/>
        </w:rPr>
        <w:t xml:space="preserve">researcher </w:t>
      </w:r>
      <w:r w:rsidRPr="0065632F">
        <w:rPr>
          <w:rFonts w:eastAsia="Cambria" w:cs="Times New Roman"/>
          <w:sz w:val="22"/>
        </w:rPr>
        <w:t>Yvar</w:t>
      </w:r>
      <w:r w:rsidR="00EE1A21">
        <w:rPr>
          <w:rFonts w:eastAsia="Cambria" w:cs="Times New Roman"/>
          <w:sz w:val="22"/>
        </w:rPr>
        <w:t xml:space="preserve"> </w:t>
      </w:r>
      <w:r w:rsidRPr="0065632F">
        <w:rPr>
          <w:rFonts w:eastAsia="Cambria" w:cs="Times New Roman"/>
          <w:sz w:val="22"/>
        </w:rPr>
        <w:t>listed numerous cases of threats, violence and extortion</w:t>
      </w:r>
      <w:r>
        <w:rPr>
          <w:rFonts w:eastAsia="Cambria" w:cs="Times New Roman"/>
          <w:sz w:val="22"/>
        </w:rPr>
        <w:t xml:space="preserve"> taking place within</w:t>
      </w:r>
      <w:r w:rsidR="004A71EC">
        <w:rPr>
          <w:rFonts w:eastAsia="Cambria" w:cs="Times New Roman"/>
          <w:sz w:val="22"/>
        </w:rPr>
        <w:t xml:space="preserve"> Europe: </w:t>
      </w:r>
      <w:r w:rsidRPr="0065632F">
        <w:rPr>
          <w:rFonts w:eastAsia="Cambria" w:cs="Times New Roman"/>
          <w:sz w:val="22"/>
        </w:rPr>
        <w:t xml:space="preserve">apparently committed by organised criminal groups and directed at officials </w:t>
      </w:r>
      <w:r w:rsidR="004A4EB6" w:rsidRPr="0065632F">
        <w:rPr>
          <w:rFonts w:eastAsia="Cambria" w:cs="Times New Roman"/>
          <w:sz w:val="22"/>
        </w:rPr>
        <w:t>targeting</w:t>
      </w:r>
      <w:r w:rsidRPr="0065632F">
        <w:rPr>
          <w:rFonts w:eastAsia="Cambria" w:cs="Times New Roman"/>
          <w:sz w:val="22"/>
        </w:rPr>
        <w:t xml:space="preserve"> illegal cavi</w:t>
      </w:r>
      <w:r w:rsidR="006C5A91">
        <w:rPr>
          <w:rFonts w:eastAsia="Cambria" w:cs="Times New Roman"/>
          <w:sz w:val="22"/>
        </w:rPr>
        <w:t>ar trade. For example he noted</w:t>
      </w:r>
      <w:r w:rsidRPr="0065632F">
        <w:rPr>
          <w:rFonts w:eastAsia="Cambria" w:cs="Times New Roman"/>
          <w:sz w:val="22"/>
        </w:rPr>
        <w:t xml:space="preserve"> case</w:t>
      </w:r>
      <w:r w:rsidR="006C5A91">
        <w:rPr>
          <w:rFonts w:eastAsia="Cambria" w:cs="Times New Roman"/>
          <w:sz w:val="22"/>
        </w:rPr>
        <w:t>s</w:t>
      </w:r>
      <w:r w:rsidRPr="0065632F">
        <w:rPr>
          <w:rFonts w:eastAsia="Cambria" w:cs="Times New Roman"/>
          <w:sz w:val="22"/>
        </w:rPr>
        <w:t xml:space="preserve"> </w:t>
      </w:r>
      <w:r>
        <w:rPr>
          <w:rFonts w:eastAsia="Cambria" w:cs="Times New Roman"/>
          <w:sz w:val="22"/>
        </w:rPr>
        <w:t xml:space="preserve">in which </w:t>
      </w:r>
      <w:r w:rsidRPr="0065632F">
        <w:rPr>
          <w:rFonts w:eastAsia="Cambria" w:cs="Times New Roman"/>
          <w:sz w:val="22"/>
        </w:rPr>
        <w:t>caviar was confiscated in Geneva</w:t>
      </w:r>
      <w:r w:rsidR="006C5A91">
        <w:rPr>
          <w:rFonts w:eastAsia="Cambria" w:cs="Times New Roman"/>
          <w:sz w:val="22"/>
        </w:rPr>
        <w:t xml:space="preserve"> and the Netherlands,</w:t>
      </w:r>
      <w:r w:rsidRPr="0065632F">
        <w:rPr>
          <w:rFonts w:eastAsia="Cambria" w:cs="Times New Roman"/>
          <w:sz w:val="22"/>
        </w:rPr>
        <w:t xml:space="preserve"> and CITES officials were threatened; a </w:t>
      </w:r>
      <w:r w:rsidR="004A4EB6" w:rsidRPr="0065632F">
        <w:rPr>
          <w:rFonts w:eastAsia="Cambria" w:cs="Times New Roman"/>
          <w:sz w:val="22"/>
        </w:rPr>
        <w:t>prosecutor</w:t>
      </w:r>
      <w:r w:rsidRPr="0065632F">
        <w:rPr>
          <w:rFonts w:eastAsia="Cambria" w:cs="Times New Roman"/>
          <w:sz w:val="22"/>
        </w:rPr>
        <w:t xml:space="preserve"> in France who was threatened by criminal groups; and a</w:t>
      </w:r>
      <w:r w:rsidR="004A71EC">
        <w:rPr>
          <w:rFonts w:eastAsia="Cambria" w:cs="Times New Roman"/>
          <w:sz w:val="22"/>
        </w:rPr>
        <w:t xml:space="preserve"> Dutch</w:t>
      </w:r>
      <w:r w:rsidRPr="0065632F">
        <w:rPr>
          <w:rFonts w:eastAsia="Cambria" w:cs="Times New Roman"/>
          <w:sz w:val="22"/>
        </w:rPr>
        <w:t xml:space="preserve"> law enforcement officer who witnessed unknown Russian </w:t>
      </w:r>
      <w:r w:rsidR="004A4EB6" w:rsidRPr="0065632F">
        <w:rPr>
          <w:rFonts w:eastAsia="Cambria" w:cs="Times New Roman"/>
          <w:sz w:val="22"/>
        </w:rPr>
        <w:t>individuals</w:t>
      </w:r>
      <w:r w:rsidRPr="0065632F">
        <w:rPr>
          <w:rFonts w:eastAsia="Cambria" w:cs="Times New Roman"/>
          <w:sz w:val="22"/>
        </w:rPr>
        <w:t xml:space="preserve"> taking photographs and engaging in other intimidating activities</w:t>
      </w:r>
      <w:r>
        <w:rPr>
          <w:rFonts w:eastAsia="Cambria" w:cs="Times New Roman"/>
          <w:sz w:val="22"/>
        </w:rPr>
        <w:t xml:space="preserve"> outside his home</w:t>
      </w:r>
      <w:r w:rsidRPr="0065632F">
        <w:rPr>
          <w:rFonts w:eastAsia="Cambria" w:cs="Times New Roman"/>
          <w:sz w:val="22"/>
        </w:rPr>
        <w:t>. Joseph tests caviar to provide evidence for criminal prosecutions, and summed up his own concerns about the security impli</w:t>
      </w:r>
      <w:r>
        <w:rPr>
          <w:rFonts w:eastAsia="Cambria" w:cs="Times New Roman"/>
          <w:sz w:val="22"/>
        </w:rPr>
        <w:t>cations of illegal caviar trade</w:t>
      </w:r>
      <w:r w:rsidR="00EE1A21">
        <w:rPr>
          <w:rFonts w:eastAsia="Cambria" w:cs="Times New Roman"/>
          <w:sz w:val="22"/>
        </w:rPr>
        <w:t>: “</w:t>
      </w:r>
      <w:r w:rsidRPr="0065632F">
        <w:rPr>
          <w:rFonts w:eastAsia="Cambria" w:cs="Times New Roman"/>
          <w:sz w:val="22"/>
        </w:rPr>
        <w:t>if there’s money involved there will be people who’ve got to protect something at all costs... There could be real danger</w:t>
      </w:r>
      <w:r w:rsidR="00EE1A21">
        <w:rPr>
          <w:rFonts w:eastAsia="Cambria" w:cs="Times New Roman"/>
          <w:sz w:val="22"/>
        </w:rPr>
        <w:t>”</w:t>
      </w:r>
      <w:r w:rsidRPr="005B292F">
        <w:rPr>
          <w:rStyle w:val="FootnoteReference"/>
        </w:rPr>
        <w:footnoteReference w:id="199"/>
      </w:r>
      <w:r w:rsidR="00EE1A21">
        <w:rPr>
          <w:rFonts w:eastAsia="Cambria" w:cs="Times New Roman"/>
          <w:sz w:val="22"/>
        </w:rPr>
        <w:t>. Thus, the spectre of organis</w:t>
      </w:r>
      <w:r w:rsidRPr="0065632F">
        <w:rPr>
          <w:rFonts w:eastAsia="Cambria" w:cs="Times New Roman"/>
          <w:sz w:val="22"/>
        </w:rPr>
        <w:t xml:space="preserve">ed crime fed into a </w:t>
      </w:r>
      <w:r>
        <w:rPr>
          <w:rFonts w:eastAsia="Cambria" w:cs="Times New Roman"/>
          <w:sz w:val="22"/>
        </w:rPr>
        <w:t xml:space="preserve">sense amongst some </w:t>
      </w:r>
      <w:r w:rsidR="004A4EB6">
        <w:rPr>
          <w:rFonts w:eastAsia="Cambria" w:cs="Times New Roman"/>
          <w:sz w:val="22"/>
        </w:rPr>
        <w:t>interviewees</w:t>
      </w:r>
      <w:r w:rsidRPr="0065632F">
        <w:rPr>
          <w:rFonts w:eastAsia="Cambria" w:cs="Times New Roman"/>
          <w:sz w:val="22"/>
        </w:rPr>
        <w:t xml:space="preserve"> that illegal caviar trade was historically, and potentially still is, a security risk in the EU. </w:t>
      </w:r>
    </w:p>
    <w:p w14:paraId="0158BC4D" w14:textId="3DBA22C8" w:rsidR="00F90322" w:rsidRPr="0065632F" w:rsidRDefault="00F90322" w:rsidP="00FC70E0">
      <w:pPr>
        <w:pStyle w:val="normal0"/>
        <w:spacing w:after="160" w:line="360" w:lineRule="auto"/>
        <w:jc w:val="both"/>
        <w:rPr>
          <w:rFonts w:ascii="Times New Roman" w:eastAsia="Cambria" w:hAnsi="Times New Roman" w:cs="Times New Roman"/>
        </w:rPr>
      </w:pPr>
      <w:r w:rsidRPr="0065632F">
        <w:rPr>
          <w:rFonts w:ascii="Times New Roman" w:eastAsia="Cambria" w:hAnsi="Times New Roman" w:cs="Times New Roman"/>
        </w:rPr>
        <w:tab/>
        <w:t>The tightening of caviar trade regulations in the EU in 2006 and the organisation of the European Commission enforcement workshop on illegal caviar trade</w:t>
      </w:r>
      <w:r>
        <w:rPr>
          <w:rFonts w:ascii="Times New Roman" w:eastAsia="Cambria" w:hAnsi="Times New Roman" w:cs="Times New Roman"/>
        </w:rPr>
        <w:t xml:space="preserve"> in June</w:t>
      </w:r>
      <w:r w:rsidR="004A71EC">
        <w:rPr>
          <w:rFonts w:ascii="Times New Roman" w:eastAsia="Cambria" w:hAnsi="Times New Roman" w:cs="Times New Roman"/>
        </w:rPr>
        <w:t xml:space="preserve"> of the same year</w:t>
      </w:r>
      <w:r w:rsidRPr="0065632F">
        <w:rPr>
          <w:rFonts w:ascii="Times New Roman" w:eastAsia="Cambria" w:hAnsi="Times New Roman" w:cs="Times New Roman"/>
        </w:rPr>
        <w:t xml:space="preserve">, </w:t>
      </w:r>
      <w:r w:rsidR="006C5A91">
        <w:rPr>
          <w:rFonts w:ascii="Times New Roman" w:eastAsia="Cambria" w:hAnsi="Times New Roman" w:cs="Times New Roman"/>
        </w:rPr>
        <w:t xml:space="preserve">coincided with generally heightened concerns about </w:t>
      </w:r>
      <w:r w:rsidRPr="0065632F">
        <w:rPr>
          <w:rFonts w:ascii="Times New Roman" w:eastAsia="Cambria" w:hAnsi="Times New Roman" w:cs="Times New Roman"/>
        </w:rPr>
        <w:t>about ‘sturgeon wars’ (Shadrina, 2007) taking place in the Caspian Se</w:t>
      </w:r>
      <w:r w:rsidR="006C5A91">
        <w:rPr>
          <w:rFonts w:ascii="Times New Roman" w:eastAsia="Cambria" w:hAnsi="Times New Roman" w:cs="Times New Roman"/>
        </w:rPr>
        <w:t>a region</w:t>
      </w:r>
      <w:r w:rsidRPr="0065632F">
        <w:rPr>
          <w:rFonts w:ascii="Times New Roman" w:eastAsia="Cambria" w:hAnsi="Times New Roman" w:cs="Times New Roman"/>
        </w:rPr>
        <w:t xml:space="preserve">. Given that the Caspian Region was the primary source of caviar imported into the EU both legally and illegally – for example over 40% of all EU seizures of caviar originate from Russia </w:t>
      </w:r>
      <w:r w:rsidRPr="0065632F">
        <w:rPr>
          <w:rFonts w:ascii="Times New Roman" w:eastAsia="Cambria" w:hAnsi="Times New Roman" w:cs="Times New Roman"/>
        </w:rPr>
        <w:fldChar w:fldCharType="begin" w:fldLock="1"/>
      </w:r>
      <w:r w:rsidR="00EC7F7E">
        <w:rPr>
          <w:rFonts w:ascii="Times New Roman" w:eastAsia="Cambria" w:hAnsi="Times New Roman" w:cs="Times New Roman"/>
        </w:rPr>
        <w:instrText>ADDIN CSL_CITATION {"citationItems":[{"id":"ITEM-1","itemData":{"author":[{"dropping-particle":"Van","family":"Uhm","given":"Daan P","non-dropping-particle":"","parse-names":false,"suffix":""}],"container-title":"Routledge international handbook of green","id":"ITEM-1","issue":"June 2016","issued":{"date-parts":[["2016"]]},"page":"1-25","title":"Illegal Wildlife Trade to the EU and Harms to the World","type":"article-journal"},"uris":["http://www.mendeley.com/documents/?uuid=a94150b7-4ffe-48ea-af20-0dff03748ce3"]}],"mendeley":{"formattedCitation":"(Uhm, 2016)","manualFormatting":"(van Uhm, 2016a:52)","plainTextFormattedCitation":"(Uhm, 2016)","previouslyFormattedCitation":"(Uhm, 2016)"},"properties":{"noteIndex":0},"schema":"https://github.com/citation-style-language/schema/raw/master/csl-citation.json"}</w:instrText>
      </w:r>
      <w:r w:rsidRPr="0065632F">
        <w:rPr>
          <w:rFonts w:ascii="Times New Roman" w:eastAsia="Cambria" w:hAnsi="Times New Roman" w:cs="Times New Roman"/>
        </w:rPr>
        <w:fldChar w:fldCharType="separate"/>
      </w:r>
      <w:r w:rsidRPr="0065632F">
        <w:rPr>
          <w:rFonts w:ascii="Times New Roman" w:eastAsia="Cambria" w:hAnsi="Times New Roman" w:cs="Times New Roman"/>
          <w:noProof/>
        </w:rPr>
        <w:t>(van Uhm, 2016a:52)</w:t>
      </w:r>
      <w:r w:rsidRPr="0065632F">
        <w:rPr>
          <w:rFonts w:ascii="Times New Roman" w:eastAsia="Cambria" w:hAnsi="Times New Roman" w:cs="Times New Roman"/>
        </w:rPr>
        <w:fldChar w:fldCharType="end"/>
      </w:r>
      <w:r w:rsidRPr="0065632F">
        <w:rPr>
          <w:rFonts w:ascii="Times New Roman" w:eastAsia="Cambria" w:hAnsi="Times New Roman" w:cs="Times New Roman"/>
        </w:rPr>
        <w:t xml:space="preserve"> – the sturgeon wars in t</w:t>
      </w:r>
      <w:r>
        <w:rPr>
          <w:rFonts w:ascii="Times New Roman" w:eastAsia="Cambria" w:hAnsi="Times New Roman" w:cs="Times New Roman"/>
        </w:rPr>
        <w:t>he region could be viewed as a securit</w:t>
      </w:r>
      <w:r w:rsidR="006C5A91">
        <w:rPr>
          <w:rFonts w:ascii="Times New Roman" w:eastAsia="Cambria" w:hAnsi="Times New Roman" w:cs="Times New Roman"/>
        </w:rPr>
        <w:t xml:space="preserve">y threat that could </w:t>
      </w:r>
      <w:r w:rsidRPr="0065632F">
        <w:rPr>
          <w:rFonts w:ascii="Times New Roman" w:eastAsia="Cambria" w:hAnsi="Times New Roman" w:cs="Times New Roman"/>
        </w:rPr>
        <w:t>spillover into the EU. Indeed the proliferating reach of caviar mafia networks into and within the EU was noted by Yvar who</w:t>
      </w:r>
      <w:r w:rsidR="006C5A91">
        <w:rPr>
          <w:rFonts w:ascii="Times New Roman" w:eastAsia="Cambria" w:hAnsi="Times New Roman" w:cs="Times New Roman"/>
        </w:rPr>
        <w:t xml:space="preserve"> said that “</w:t>
      </w:r>
      <w:r w:rsidRPr="0065632F">
        <w:rPr>
          <w:rFonts w:ascii="Times New Roman" w:eastAsia="Cambria" w:hAnsi="Times New Roman" w:cs="Times New Roman"/>
        </w:rPr>
        <w:t xml:space="preserve">the networks that are involved in </w:t>
      </w:r>
      <w:r w:rsidRPr="0065632F">
        <w:rPr>
          <w:rFonts w:ascii="Times New Roman" w:eastAsia="Cambria" w:hAnsi="Times New Roman" w:cs="Times New Roman"/>
        </w:rPr>
        <w:lastRenderedPageBreak/>
        <w:t>Russia, trading it from Russia into Europe, are still active</w:t>
      </w:r>
      <w:r w:rsidR="006C5A91">
        <w:rPr>
          <w:rFonts w:ascii="Times New Roman" w:eastAsia="Cambria" w:hAnsi="Times New Roman" w:cs="Times New Roman"/>
        </w:rPr>
        <w:t>”</w:t>
      </w:r>
      <w:r w:rsidRPr="005B292F">
        <w:rPr>
          <w:rStyle w:val="FootnoteReference"/>
        </w:rPr>
        <w:footnoteReference w:id="200"/>
      </w:r>
      <w:r w:rsidR="006C5A91">
        <w:rPr>
          <w:rFonts w:ascii="Times New Roman" w:eastAsia="Cambria" w:hAnsi="Times New Roman" w:cs="Times New Roman"/>
        </w:rPr>
        <w:t>. As such, the role of organis</w:t>
      </w:r>
      <w:r w:rsidRPr="0065632F">
        <w:rPr>
          <w:rFonts w:ascii="Times New Roman" w:eastAsia="Cambria" w:hAnsi="Times New Roman" w:cs="Times New Roman"/>
        </w:rPr>
        <w:t>ed crime in illegal</w:t>
      </w:r>
      <w:r w:rsidR="006C5A91">
        <w:rPr>
          <w:rFonts w:ascii="Times New Roman" w:eastAsia="Cambria" w:hAnsi="Times New Roman" w:cs="Times New Roman"/>
        </w:rPr>
        <w:t xml:space="preserve"> caviar trade is described  as “not exceptional”</w:t>
      </w:r>
      <w:r w:rsidRPr="0065632F">
        <w:rPr>
          <w:rFonts w:ascii="Times New Roman" w:eastAsia="Cambria" w:hAnsi="Times New Roman" w:cs="Times New Roman"/>
        </w:rPr>
        <w:t xml:space="preserve">, </w:t>
      </w:r>
      <w:r w:rsidR="006C5A91">
        <w:rPr>
          <w:rFonts w:ascii="Times New Roman" w:eastAsia="Cambria" w:hAnsi="Times New Roman" w:cs="Times New Roman"/>
        </w:rPr>
        <w:t>and as having the potential to “</w:t>
      </w:r>
      <w:r w:rsidRPr="0065632F">
        <w:rPr>
          <w:rFonts w:ascii="Times New Roman" w:eastAsia="Cambria" w:hAnsi="Times New Roman" w:cs="Times New Roman"/>
        </w:rPr>
        <w:t>result in state s</w:t>
      </w:r>
      <w:r w:rsidR="006C5A91">
        <w:rPr>
          <w:rFonts w:ascii="Times New Roman" w:eastAsia="Cambria" w:hAnsi="Times New Roman" w:cs="Times New Roman"/>
        </w:rPr>
        <w:t>ecurity threats”</w:t>
      </w:r>
      <w:r w:rsidRPr="0065632F">
        <w:rPr>
          <w:rFonts w:ascii="Times New Roman" w:eastAsia="Cambria" w:hAnsi="Times New Roman" w:cs="Times New Roman"/>
        </w:rPr>
        <w:t xml:space="preserve"> (</w:t>
      </w:r>
      <w:r w:rsidRPr="00594402">
        <w:rPr>
          <w:rFonts w:ascii="Times New Roman" w:eastAsia="Cambria" w:hAnsi="Times New Roman" w:cs="Times New Roman"/>
        </w:rPr>
        <w:t>van Uhm, 2016b: 155</w:t>
      </w:r>
      <w:r w:rsidRPr="0065632F">
        <w:rPr>
          <w:rFonts w:ascii="Times New Roman" w:eastAsia="Cambria" w:hAnsi="Times New Roman" w:cs="Times New Roman"/>
        </w:rPr>
        <w:t>). In this regard, the tightening of caviar trade regulations in the Eur</w:t>
      </w:r>
      <w:r w:rsidR="004A71EC">
        <w:rPr>
          <w:rFonts w:ascii="Times New Roman" w:eastAsia="Cambria" w:hAnsi="Times New Roman" w:cs="Times New Roman"/>
        </w:rPr>
        <w:t>opean Union arguably constitutes</w:t>
      </w:r>
      <w:r w:rsidRPr="0065632F">
        <w:rPr>
          <w:rFonts w:ascii="Times New Roman" w:eastAsia="Cambria" w:hAnsi="Times New Roman" w:cs="Times New Roman"/>
        </w:rPr>
        <w:t xml:space="preserve"> part of a securitizing process designed to protect the EU from the security risks associated with caviar trade </w:t>
      </w:r>
      <w:r w:rsidR="00594402">
        <w:rPr>
          <w:rFonts w:ascii="Times New Roman" w:eastAsia="Cambria" w:hAnsi="Times New Roman" w:cs="Times New Roman"/>
        </w:rPr>
        <w:t>and organis</w:t>
      </w:r>
      <w:r w:rsidRPr="0065632F">
        <w:rPr>
          <w:rFonts w:ascii="Times New Roman" w:eastAsia="Cambria" w:hAnsi="Times New Roman" w:cs="Times New Roman"/>
        </w:rPr>
        <w:t>ed crime, and reduce the potential for spillover effects of the ‘sturgeon wars’ in the Caspian Region. However, the high-level political concern about the security implications of illegal caviar trade</w:t>
      </w:r>
      <w:r>
        <w:rPr>
          <w:rFonts w:ascii="Times New Roman" w:eastAsia="Cambria" w:hAnsi="Times New Roman" w:cs="Times New Roman"/>
        </w:rPr>
        <w:t xml:space="preserve"> in the EU</w:t>
      </w:r>
      <w:r w:rsidRPr="0065632F">
        <w:rPr>
          <w:rFonts w:ascii="Times New Roman" w:eastAsia="Cambria" w:hAnsi="Times New Roman" w:cs="Times New Roman"/>
        </w:rPr>
        <w:t xml:space="preserve"> appears to have waned over recent years.</w:t>
      </w:r>
    </w:p>
    <w:p w14:paraId="5217068A" w14:textId="77777777" w:rsidR="00D41219" w:rsidRDefault="00F90322" w:rsidP="00FC70E0">
      <w:pPr>
        <w:pStyle w:val="normal0"/>
        <w:spacing w:after="160" w:line="360" w:lineRule="auto"/>
        <w:ind w:firstLine="720"/>
        <w:jc w:val="both"/>
        <w:rPr>
          <w:rFonts w:ascii="Times New Roman" w:eastAsia="Cambria" w:hAnsi="Times New Roman" w:cs="Times New Roman"/>
        </w:rPr>
      </w:pPr>
      <w:r w:rsidRPr="0065632F">
        <w:rPr>
          <w:rFonts w:ascii="Times New Roman" w:eastAsia="Cambria" w:hAnsi="Times New Roman" w:cs="Times New Roman"/>
        </w:rPr>
        <w:t xml:space="preserve">As discussed </w:t>
      </w:r>
      <w:r w:rsidR="00D41219">
        <w:rPr>
          <w:rFonts w:ascii="Times New Roman" w:eastAsia="Cambria" w:hAnsi="Times New Roman" w:cs="Times New Roman"/>
        </w:rPr>
        <w:t>throughout the previous empirical chapters</w:t>
      </w:r>
      <w:r w:rsidRPr="0065632F">
        <w:rPr>
          <w:rFonts w:ascii="Times New Roman" w:eastAsia="Cambria" w:hAnsi="Times New Roman" w:cs="Times New Roman"/>
        </w:rPr>
        <w:t>, the implementation and tightening of the caviar trade reg</w:t>
      </w:r>
      <w:r w:rsidR="00D41219">
        <w:rPr>
          <w:rFonts w:ascii="Times New Roman" w:eastAsia="Cambria" w:hAnsi="Times New Roman" w:cs="Times New Roman"/>
        </w:rPr>
        <w:t>ulations in the European Union has prompted</w:t>
      </w:r>
      <w:r>
        <w:rPr>
          <w:rFonts w:ascii="Times New Roman" w:eastAsia="Cambria" w:hAnsi="Times New Roman" w:cs="Times New Roman"/>
        </w:rPr>
        <w:t xml:space="preserve"> a wholesale shift in </w:t>
      </w:r>
      <w:r w:rsidRPr="0065632F">
        <w:rPr>
          <w:rFonts w:ascii="Times New Roman" w:eastAsia="Cambria" w:hAnsi="Times New Roman" w:cs="Times New Roman"/>
        </w:rPr>
        <w:t>the caviar indust</w:t>
      </w:r>
      <w:r w:rsidR="00D41219">
        <w:rPr>
          <w:rFonts w:ascii="Times New Roman" w:eastAsia="Cambria" w:hAnsi="Times New Roman" w:cs="Times New Roman"/>
        </w:rPr>
        <w:t xml:space="preserve">ry to farmed caviar production. </w:t>
      </w:r>
      <w:r w:rsidRPr="0065632F">
        <w:rPr>
          <w:rFonts w:ascii="Times New Roman" w:eastAsia="Cambria" w:hAnsi="Times New Roman" w:cs="Times New Roman"/>
        </w:rPr>
        <w:t>This has coincided with declining seizures of caviar and declining intelligence about</w:t>
      </w:r>
      <w:r w:rsidR="00A2259A">
        <w:rPr>
          <w:rFonts w:ascii="Times New Roman" w:eastAsia="Cambria" w:hAnsi="Times New Roman" w:cs="Times New Roman"/>
        </w:rPr>
        <w:t xml:space="preserve"> the involvement of organis</w:t>
      </w:r>
      <w:r w:rsidRPr="0065632F">
        <w:rPr>
          <w:rFonts w:ascii="Times New Roman" w:eastAsia="Cambria" w:hAnsi="Times New Roman" w:cs="Times New Roman"/>
        </w:rPr>
        <w:t>ed criminal groups in driving</w:t>
      </w:r>
      <w:r w:rsidR="00D41219">
        <w:rPr>
          <w:rFonts w:ascii="Times New Roman" w:eastAsia="Cambria" w:hAnsi="Times New Roman" w:cs="Times New Roman"/>
        </w:rPr>
        <w:t xml:space="preserve"> illegal caviar trade in the EU. </w:t>
      </w:r>
      <w:r w:rsidRPr="0065632F">
        <w:rPr>
          <w:rFonts w:ascii="Times New Roman" w:eastAsia="Cambria" w:hAnsi="Times New Roman" w:cs="Times New Roman"/>
        </w:rPr>
        <w:t>These dynamics have contributed to a sense amongst policymakers and some enforcement officials in Western European states, that regulatory frameworks have d</w:t>
      </w:r>
      <w:r w:rsidR="00A2259A">
        <w:rPr>
          <w:rFonts w:ascii="Times New Roman" w:eastAsia="Cambria" w:hAnsi="Times New Roman" w:cs="Times New Roman"/>
        </w:rPr>
        <w:t>ramatically destabilised organis</w:t>
      </w:r>
      <w:r w:rsidRPr="0065632F">
        <w:rPr>
          <w:rFonts w:ascii="Times New Roman" w:eastAsia="Cambria" w:hAnsi="Times New Roman" w:cs="Times New Roman"/>
        </w:rPr>
        <w:t>ed caviar crime, and thereby reduced the security risks posed by illegal caviar trade into and within the EU. As described in chapter four, Western European enforcement officers</w:t>
      </w:r>
      <w:r w:rsidR="00A2259A">
        <w:rPr>
          <w:rFonts w:ascii="Times New Roman" w:eastAsia="Cambria" w:hAnsi="Times New Roman" w:cs="Times New Roman"/>
        </w:rPr>
        <w:t xml:space="preserve"> say that illegal caviar trade “</w:t>
      </w:r>
      <w:r w:rsidRPr="0065632F">
        <w:rPr>
          <w:rFonts w:ascii="Times New Roman" w:eastAsia="Cambria" w:hAnsi="Times New Roman" w:cs="Times New Roman"/>
        </w:rPr>
        <w:t>is totally drying up as an issue</w:t>
      </w:r>
      <w:r w:rsidR="00A2259A">
        <w:rPr>
          <w:rFonts w:ascii="Times New Roman" w:eastAsia="Cambria" w:hAnsi="Times New Roman" w:cs="Times New Roman"/>
        </w:rPr>
        <w:t>”</w:t>
      </w:r>
      <w:r w:rsidRPr="005B292F">
        <w:rPr>
          <w:rStyle w:val="FootnoteReference"/>
        </w:rPr>
        <w:footnoteReference w:id="201"/>
      </w:r>
      <w:r w:rsidRPr="0065632F">
        <w:rPr>
          <w:rFonts w:ascii="Times New Roman" w:eastAsia="Cambria" w:hAnsi="Times New Roman" w:cs="Times New Roman"/>
        </w:rPr>
        <w:t>. However, I demonstrate in chapter four that these conclusions are built upon flawed data and flawed assumptions that</w:t>
      </w:r>
      <w:r>
        <w:rPr>
          <w:rFonts w:ascii="Times New Roman" w:eastAsia="Cambria" w:hAnsi="Times New Roman" w:cs="Times New Roman"/>
        </w:rPr>
        <w:t xml:space="preserve"> equate declining seizures with</w:t>
      </w:r>
      <w:r w:rsidR="00D41219">
        <w:rPr>
          <w:rFonts w:ascii="Times New Roman" w:eastAsia="Cambria" w:hAnsi="Times New Roman" w:cs="Times New Roman"/>
        </w:rPr>
        <w:t xml:space="preserve"> declining criminality. </w:t>
      </w:r>
      <w:r>
        <w:rPr>
          <w:rFonts w:ascii="Times New Roman" w:eastAsia="Cambria" w:hAnsi="Times New Roman" w:cs="Times New Roman"/>
        </w:rPr>
        <w:t>Nevertheless, t</w:t>
      </w:r>
      <w:r w:rsidRPr="0065632F">
        <w:rPr>
          <w:rFonts w:ascii="Times New Roman" w:eastAsia="Cambria" w:hAnsi="Times New Roman" w:cs="Times New Roman"/>
        </w:rPr>
        <w:t xml:space="preserve">he declining seizures and intelligence on criminality have led to a decision made by the European Commission to downgrade caviar as an EU CITES priority area. This decision represents part of a wider process initiated at </w:t>
      </w:r>
      <w:r w:rsidR="00D41219">
        <w:rPr>
          <w:rFonts w:ascii="Times New Roman" w:eastAsia="Cambria" w:hAnsi="Times New Roman" w:cs="Times New Roman"/>
        </w:rPr>
        <w:t>the highest level of EU politicymaking</w:t>
      </w:r>
      <w:r w:rsidRPr="0065632F">
        <w:rPr>
          <w:rFonts w:ascii="Times New Roman" w:eastAsia="Cambria" w:hAnsi="Times New Roman" w:cs="Times New Roman"/>
        </w:rPr>
        <w:t xml:space="preserve"> in recent years, to discursively dissolve and deconstruct illegal caviar trade as a security issue. </w:t>
      </w:r>
    </w:p>
    <w:p w14:paraId="60DC592C" w14:textId="46F4EFFD" w:rsidR="00F90322" w:rsidRPr="0065632F" w:rsidRDefault="00F90322" w:rsidP="00FC70E0">
      <w:pPr>
        <w:pStyle w:val="normal0"/>
        <w:spacing w:after="160" w:line="360" w:lineRule="auto"/>
        <w:ind w:firstLine="720"/>
        <w:jc w:val="both"/>
        <w:rPr>
          <w:rFonts w:ascii="Times New Roman" w:eastAsia="Cambria" w:hAnsi="Times New Roman" w:cs="Times New Roman"/>
        </w:rPr>
      </w:pPr>
      <w:r w:rsidRPr="0065632F">
        <w:rPr>
          <w:rFonts w:ascii="Times New Roman" w:eastAsia="Cambria" w:hAnsi="Times New Roman" w:cs="Times New Roman"/>
        </w:rPr>
        <w:t>The downplaying of the contemporary security implications of caviar trade in the EU seems at odds with wider EU efforts to emphasise the links between wildlife crime and security; and appears even more striking when notable NGO representati</w:t>
      </w:r>
      <w:r w:rsidR="00A2259A">
        <w:rPr>
          <w:rFonts w:ascii="Times New Roman" w:eastAsia="Cambria" w:hAnsi="Times New Roman" w:cs="Times New Roman"/>
        </w:rPr>
        <w:t>ves such as Rose, stress that “</w:t>
      </w:r>
      <w:r w:rsidRPr="0065632F">
        <w:rPr>
          <w:rFonts w:ascii="Times New Roman" w:eastAsia="Cambria" w:hAnsi="Times New Roman" w:cs="Times New Roman"/>
        </w:rPr>
        <w:t>there is certainly a security dimension</w:t>
      </w:r>
      <w:r w:rsidR="00A2259A">
        <w:rPr>
          <w:rFonts w:ascii="Times New Roman" w:eastAsia="Cambria" w:hAnsi="Times New Roman" w:cs="Times New Roman"/>
        </w:rPr>
        <w:t>”</w:t>
      </w:r>
      <w:r w:rsidRPr="005B292F">
        <w:rPr>
          <w:rStyle w:val="FootnoteReference"/>
        </w:rPr>
        <w:footnoteReference w:id="202"/>
      </w:r>
      <w:r w:rsidRPr="0065632F">
        <w:rPr>
          <w:rFonts w:ascii="Times New Roman" w:eastAsia="Cambria" w:hAnsi="Times New Roman" w:cs="Times New Roman"/>
        </w:rPr>
        <w:t xml:space="preserve"> to caviar trade. In</w:t>
      </w:r>
      <w:r w:rsidR="00D41219">
        <w:rPr>
          <w:rFonts w:ascii="Times New Roman" w:eastAsia="Cambria" w:hAnsi="Times New Roman" w:cs="Times New Roman"/>
        </w:rPr>
        <w:t>deed, in</w:t>
      </w:r>
      <w:r w:rsidRPr="0065632F">
        <w:rPr>
          <w:rFonts w:ascii="Times New Roman" w:eastAsia="Cambria" w:hAnsi="Times New Roman" w:cs="Times New Roman"/>
        </w:rPr>
        <w:t xml:space="preserve"> the contemporary </w:t>
      </w:r>
      <w:r w:rsidR="00A2259A">
        <w:rPr>
          <w:rFonts w:ascii="Times New Roman" w:eastAsia="Cambria" w:hAnsi="Times New Roman" w:cs="Times New Roman"/>
        </w:rPr>
        <w:t>geo</w:t>
      </w:r>
      <w:r w:rsidRPr="0065632F">
        <w:rPr>
          <w:rFonts w:ascii="Times New Roman" w:eastAsia="Cambria" w:hAnsi="Times New Roman" w:cs="Times New Roman"/>
        </w:rPr>
        <w:t>political climate there is a significant focus on highlighting and deconstructing the links between wildlife crime and security. This is particularly prevalent in the EU. The European Commission in particular is investing significant resources across a ra</w:t>
      </w:r>
      <w:r w:rsidR="00A2259A">
        <w:rPr>
          <w:rFonts w:ascii="Times New Roman" w:eastAsia="Cambria" w:hAnsi="Times New Roman" w:cs="Times New Roman"/>
        </w:rPr>
        <w:t>nge of departments, including</w:t>
      </w:r>
      <w:r w:rsidRPr="0065632F">
        <w:rPr>
          <w:rFonts w:ascii="Times New Roman" w:eastAsia="Cambria" w:hAnsi="Times New Roman" w:cs="Times New Roman"/>
        </w:rPr>
        <w:t xml:space="preserve"> DG-ENV</w:t>
      </w:r>
      <w:r w:rsidR="00A2259A" w:rsidRPr="005B292F">
        <w:rPr>
          <w:rStyle w:val="FootnoteReference"/>
        </w:rPr>
        <w:footnoteReference w:id="203"/>
      </w:r>
      <w:r w:rsidRPr="0065632F">
        <w:rPr>
          <w:rFonts w:ascii="Times New Roman" w:eastAsia="Cambria" w:hAnsi="Times New Roman" w:cs="Times New Roman"/>
        </w:rPr>
        <w:t>, DG-DEVCO</w:t>
      </w:r>
      <w:r w:rsidR="00A2259A" w:rsidRPr="005B292F">
        <w:rPr>
          <w:rStyle w:val="FootnoteReference"/>
        </w:rPr>
        <w:footnoteReference w:id="204"/>
      </w:r>
      <w:r w:rsidRPr="0065632F">
        <w:rPr>
          <w:rFonts w:ascii="Times New Roman" w:eastAsia="Cambria" w:hAnsi="Times New Roman" w:cs="Times New Roman"/>
        </w:rPr>
        <w:t>, DG-</w:t>
      </w:r>
      <w:r w:rsidRPr="0065632F">
        <w:rPr>
          <w:rFonts w:ascii="Times New Roman" w:eastAsia="Cambria" w:hAnsi="Times New Roman" w:cs="Times New Roman"/>
        </w:rPr>
        <w:lastRenderedPageBreak/>
        <w:t>REGIO</w:t>
      </w:r>
      <w:r w:rsidR="00A2259A" w:rsidRPr="005B292F">
        <w:rPr>
          <w:rStyle w:val="FootnoteReference"/>
        </w:rPr>
        <w:footnoteReference w:id="205"/>
      </w:r>
      <w:r w:rsidRPr="0065632F">
        <w:rPr>
          <w:rFonts w:ascii="Times New Roman" w:eastAsia="Cambria" w:hAnsi="Times New Roman" w:cs="Times New Roman"/>
        </w:rPr>
        <w:t xml:space="preserve"> and the </w:t>
      </w:r>
      <w:r w:rsidR="00271305">
        <w:rPr>
          <w:rFonts w:ascii="Times New Roman" w:eastAsia="Cambria" w:hAnsi="Times New Roman" w:cs="Times New Roman"/>
        </w:rPr>
        <w:t xml:space="preserve">European </w:t>
      </w:r>
      <w:r w:rsidRPr="0065632F">
        <w:rPr>
          <w:rFonts w:ascii="Times New Roman" w:eastAsia="Cambria" w:hAnsi="Times New Roman" w:cs="Times New Roman"/>
        </w:rPr>
        <w:t>External Action service</w:t>
      </w:r>
      <w:r w:rsidR="00271305">
        <w:rPr>
          <w:rFonts w:ascii="Times New Roman" w:eastAsia="Cambria" w:hAnsi="Times New Roman" w:cs="Times New Roman"/>
        </w:rPr>
        <w:t xml:space="preserve"> (EEAS)</w:t>
      </w:r>
      <w:r w:rsidR="00A2259A" w:rsidRPr="005B292F">
        <w:rPr>
          <w:rStyle w:val="FootnoteReference"/>
        </w:rPr>
        <w:footnoteReference w:id="206"/>
      </w:r>
      <w:r w:rsidRPr="0065632F">
        <w:rPr>
          <w:rFonts w:ascii="Times New Roman" w:eastAsia="Cambria" w:hAnsi="Times New Roman" w:cs="Times New Roman"/>
        </w:rPr>
        <w:t>, to understand and tackle the security impl</w:t>
      </w:r>
      <w:r w:rsidR="00D41219">
        <w:rPr>
          <w:rFonts w:ascii="Times New Roman" w:eastAsia="Cambria" w:hAnsi="Times New Roman" w:cs="Times New Roman"/>
        </w:rPr>
        <w:t>ications of wildlife crime</w:t>
      </w:r>
      <w:r w:rsidRPr="0065632F">
        <w:rPr>
          <w:rFonts w:ascii="Times New Roman" w:eastAsia="Cambria" w:hAnsi="Times New Roman" w:cs="Times New Roman"/>
        </w:rPr>
        <w:t xml:space="preserve">. Environmental crime (including wildlife trafficking) was codified as one of the EU’s priority areas for the 2018-2021 policy cycle </w:t>
      </w:r>
      <w:r w:rsidR="0084474B">
        <w:rPr>
          <w:rFonts w:ascii="Times New Roman" w:eastAsia="Cambria" w:hAnsi="Times New Roman" w:cs="Times New Roman"/>
        </w:rPr>
        <w:t>to tackle serious and organis</w:t>
      </w:r>
      <w:r w:rsidRPr="0065632F">
        <w:rPr>
          <w:rFonts w:ascii="Times New Roman" w:eastAsia="Cambria" w:hAnsi="Times New Roman" w:cs="Times New Roman"/>
        </w:rPr>
        <w:t>ed</w:t>
      </w:r>
      <w:r w:rsidR="0084474B">
        <w:rPr>
          <w:rFonts w:ascii="Times New Roman" w:eastAsia="Cambria" w:hAnsi="Times New Roman" w:cs="Times New Roman"/>
        </w:rPr>
        <w:t xml:space="preserve"> international</w:t>
      </w:r>
      <w:r w:rsidRPr="0065632F">
        <w:rPr>
          <w:rFonts w:ascii="Times New Roman" w:eastAsia="Cambria" w:hAnsi="Times New Roman" w:cs="Times New Roman"/>
        </w:rPr>
        <w:t xml:space="preserve"> crime</w:t>
      </w:r>
      <w:r w:rsidR="0084474B" w:rsidRPr="005B292F">
        <w:rPr>
          <w:rStyle w:val="FootnoteReference"/>
        </w:rPr>
        <w:footnoteReference w:id="207"/>
      </w:r>
      <w:r w:rsidRPr="0065632F">
        <w:rPr>
          <w:rFonts w:ascii="Times New Roman" w:eastAsia="Cambria" w:hAnsi="Times New Roman" w:cs="Times New Roman"/>
        </w:rPr>
        <w:t>. Moreover the 2016 EU Action Plan against Wildlife Trafficking outlines objective 3.3, which is to: ‘Address the security dimension of wildlife trafficking’. The Action Plan against Wildlife Trafficking does not define what is</w:t>
      </w:r>
      <w:r w:rsidR="00D41219">
        <w:rPr>
          <w:rFonts w:ascii="Times New Roman" w:eastAsia="Cambria" w:hAnsi="Times New Roman" w:cs="Times New Roman"/>
        </w:rPr>
        <w:t xml:space="preserve"> meant by ‘security dimension’; </w:t>
      </w:r>
      <w:r w:rsidRPr="0065632F">
        <w:rPr>
          <w:rFonts w:ascii="Times New Roman" w:eastAsia="Cambria" w:hAnsi="Times New Roman" w:cs="Times New Roman"/>
        </w:rPr>
        <w:t>but</w:t>
      </w:r>
      <w:r w:rsidR="0084474B">
        <w:rPr>
          <w:rFonts w:ascii="Times New Roman" w:eastAsia="Cambria" w:hAnsi="Times New Roman" w:cs="Times New Roman"/>
        </w:rPr>
        <w:t xml:space="preserve"> Ulmer, a representative of DG-ENV, explained that the European Commission takes “</w:t>
      </w:r>
      <w:r w:rsidRPr="0065632F">
        <w:rPr>
          <w:rFonts w:ascii="Times New Roman" w:eastAsia="Cambria" w:hAnsi="Times New Roman" w:cs="Times New Roman"/>
        </w:rPr>
        <w:t xml:space="preserve">a broad understanding of the </w:t>
      </w:r>
      <w:r>
        <w:rPr>
          <w:rFonts w:ascii="Times New Roman" w:eastAsia="Cambria" w:hAnsi="Times New Roman" w:cs="Times New Roman"/>
        </w:rPr>
        <w:t>term security</w:t>
      </w:r>
      <w:r w:rsidRPr="0065632F">
        <w:rPr>
          <w:rFonts w:ascii="Times New Roman" w:eastAsia="Cambria" w:hAnsi="Times New Roman" w:cs="Times New Roman"/>
        </w:rPr>
        <w:t>. So it’s not j</w:t>
      </w:r>
      <w:r w:rsidR="0084474B">
        <w:rPr>
          <w:rFonts w:ascii="Times New Roman" w:eastAsia="Cambria" w:hAnsi="Times New Roman" w:cs="Times New Roman"/>
        </w:rPr>
        <w:t>ust terrorism, it’s also organis</w:t>
      </w:r>
      <w:r w:rsidRPr="0065632F">
        <w:rPr>
          <w:rFonts w:ascii="Times New Roman" w:eastAsia="Cambria" w:hAnsi="Times New Roman" w:cs="Times New Roman"/>
        </w:rPr>
        <w:t>ed crime and even broader than that... human security for sure</w:t>
      </w:r>
      <w:r w:rsidR="0084474B">
        <w:rPr>
          <w:rFonts w:ascii="Times New Roman" w:eastAsia="Cambria" w:hAnsi="Times New Roman" w:cs="Times New Roman"/>
        </w:rPr>
        <w:t>”</w:t>
      </w:r>
      <w:r w:rsidR="0084474B" w:rsidRPr="005B292F">
        <w:rPr>
          <w:rStyle w:val="FootnoteReference"/>
        </w:rPr>
        <w:footnoteReference w:id="208"/>
      </w:r>
      <w:r w:rsidR="0084474B">
        <w:rPr>
          <w:rFonts w:ascii="Times New Roman" w:eastAsia="Cambria" w:hAnsi="Times New Roman" w:cs="Times New Roman"/>
        </w:rPr>
        <w:t xml:space="preserve">. </w:t>
      </w:r>
    </w:p>
    <w:p w14:paraId="21E52B73" w14:textId="3D0EACD0" w:rsidR="00AD2748" w:rsidRDefault="00F90322" w:rsidP="00FC70E0">
      <w:pPr>
        <w:pStyle w:val="normal0"/>
        <w:spacing w:after="160" w:line="360" w:lineRule="auto"/>
        <w:ind w:firstLine="720"/>
        <w:jc w:val="both"/>
        <w:rPr>
          <w:rFonts w:ascii="Times New Roman" w:eastAsia="Cambria" w:hAnsi="Times New Roman" w:cs="Times New Roman"/>
        </w:rPr>
      </w:pPr>
      <w:r w:rsidRPr="0065632F">
        <w:rPr>
          <w:rFonts w:ascii="Times New Roman" w:eastAsia="Cambria" w:hAnsi="Times New Roman" w:cs="Times New Roman"/>
        </w:rPr>
        <w:t>This then begs the question: why is declining attention being given to the security dimensions of illegal caviar trade in the EU? When discussing this issue</w:t>
      </w:r>
      <w:r w:rsidR="00D41219">
        <w:rPr>
          <w:rFonts w:ascii="Times New Roman" w:eastAsia="Cambria" w:hAnsi="Times New Roman" w:cs="Times New Roman"/>
        </w:rPr>
        <w:t xml:space="preserve"> in the context of the contemporary </w:t>
      </w:r>
      <w:r w:rsidR="00D41219" w:rsidRPr="0065632F">
        <w:rPr>
          <w:rFonts w:ascii="Times New Roman" w:eastAsia="Cambria" w:hAnsi="Times New Roman" w:cs="Times New Roman"/>
        </w:rPr>
        <w:t xml:space="preserve">EU </w:t>
      </w:r>
      <w:r w:rsidR="00D41219">
        <w:rPr>
          <w:rFonts w:ascii="Times New Roman" w:eastAsia="Cambria" w:hAnsi="Times New Roman" w:cs="Times New Roman"/>
        </w:rPr>
        <w:t xml:space="preserve">focus on the </w:t>
      </w:r>
      <w:r w:rsidR="00D41219" w:rsidRPr="0065632F">
        <w:rPr>
          <w:rFonts w:ascii="Times New Roman" w:eastAsia="Cambria" w:hAnsi="Times New Roman" w:cs="Times New Roman"/>
        </w:rPr>
        <w:t>security-wildlife crime</w:t>
      </w:r>
      <w:r w:rsidR="00D41219">
        <w:rPr>
          <w:rFonts w:ascii="Times New Roman" w:eastAsia="Cambria" w:hAnsi="Times New Roman" w:cs="Times New Roman"/>
        </w:rPr>
        <w:t xml:space="preserve"> nexus</w:t>
      </w:r>
      <w:r w:rsidR="00D41219" w:rsidRPr="0065632F">
        <w:rPr>
          <w:rFonts w:ascii="Times New Roman" w:eastAsia="Cambria" w:hAnsi="Times New Roman" w:cs="Times New Roman"/>
        </w:rPr>
        <w:t>,</w:t>
      </w:r>
      <w:r w:rsidR="00D41219">
        <w:rPr>
          <w:rFonts w:ascii="Times New Roman" w:eastAsia="Cambria" w:hAnsi="Times New Roman" w:cs="Times New Roman"/>
        </w:rPr>
        <w:t xml:space="preserve"> </w:t>
      </w:r>
      <w:r w:rsidRPr="0065632F">
        <w:rPr>
          <w:rFonts w:ascii="Times New Roman" w:eastAsia="Cambria" w:hAnsi="Times New Roman" w:cs="Times New Roman"/>
        </w:rPr>
        <w:t xml:space="preserve">Yvar suggested </w:t>
      </w:r>
      <w:r>
        <w:rPr>
          <w:rFonts w:ascii="Times New Roman" w:eastAsia="Cambria" w:hAnsi="Times New Roman" w:cs="Times New Roman"/>
        </w:rPr>
        <w:t>that the</w:t>
      </w:r>
      <w:r w:rsidRPr="0065632F">
        <w:rPr>
          <w:rFonts w:ascii="Times New Roman" w:eastAsia="Cambria" w:hAnsi="Times New Roman" w:cs="Times New Roman"/>
        </w:rPr>
        <w:t xml:space="preserve"> example of caviar trade </w:t>
      </w:r>
      <w:r>
        <w:rPr>
          <w:rFonts w:ascii="Times New Roman" w:eastAsia="Cambria" w:hAnsi="Times New Roman" w:cs="Times New Roman"/>
        </w:rPr>
        <w:t>was being simplistically mobilised to fit the</w:t>
      </w:r>
      <w:r w:rsidR="00682356">
        <w:rPr>
          <w:rFonts w:ascii="Times New Roman" w:eastAsia="Cambria" w:hAnsi="Times New Roman" w:cs="Times New Roman"/>
        </w:rPr>
        <w:t xml:space="preserve"> EU</w:t>
      </w:r>
      <w:r>
        <w:rPr>
          <w:rFonts w:ascii="Times New Roman" w:eastAsia="Cambria" w:hAnsi="Times New Roman" w:cs="Times New Roman"/>
        </w:rPr>
        <w:t xml:space="preserve"> </w:t>
      </w:r>
      <w:r w:rsidR="00682356">
        <w:rPr>
          <w:rFonts w:ascii="Times New Roman" w:eastAsia="Cambria" w:hAnsi="Times New Roman" w:cs="Times New Roman"/>
        </w:rPr>
        <w:t>geo</w:t>
      </w:r>
      <w:r>
        <w:rPr>
          <w:rFonts w:ascii="Times New Roman" w:eastAsia="Cambria" w:hAnsi="Times New Roman" w:cs="Times New Roman"/>
        </w:rPr>
        <w:t>political agenda</w:t>
      </w:r>
      <w:r w:rsidRPr="0065632F">
        <w:rPr>
          <w:rFonts w:ascii="Times New Roman" w:eastAsia="Cambria" w:hAnsi="Times New Roman" w:cs="Times New Roman"/>
        </w:rPr>
        <w:t>. For exampl</w:t>
      </w:r>
      <w:r>
        <w:rPr>
          <w:rFonts w:ascii="Times New Roman" w:eastAsia="Cambria" w:hAnsi="Times New Roman" w:cs="Times New Roman"/>
        </w:rPr>
        <w:t>e,</w:t>
      </w:r>
      <w:r w:rsidRPr="0065632F">
        <w:rPr>
          <w:rFonts w:ascii="Times New Roman" w:eastAsia="Cambria" w:hAnsi="Times New Roman" w:cs="Times New Roman"/>
        </w:rPr>
        <w:t xml:space="preserve"> the </w:t>
      </w:r>
      <w:r w:rsidR="00682356">
        <w:rPr>
          <w:rFonts w:ascii="Times New Roman" w:eastAsia="Cambria" w:hAnsi="Times New Roman" w:cs="Times New Roman"/>
        </w:rPr>
        <w:t xml:space="preserve">wholesale </w:t>
      </w:r>
      <w:r w:rsidRPr="0065632F">
        <w:rPr>
          <w:rFonts w:ascii="Times New Roman" w:eastAsia="Cambria" w:hAnsi="Times New Roman" w:cs="Times New Roman"/>
        </w:rPr>
        <w:t>shift to aquaculture</w:t>
      </w:r>
      <w:r w:rsidR="00682356">
        <w:rPr>
          <w:rFonts w:ascii="Times New Roman" w:eastAsia="Cambria" w:hAnsi="Times New Roman" w:cs="Times New Roman"/>
        </w:rPr>
        <w:t xml:space="preserve"> and declining caviar seizures,</w:t>
      </w:r>
      <w:r w:rsidRPr="0065632F">
        <w:rPr>
          <w:rFonts w:ascii="Times New Roman" w:eastAsia="Cambria" w:hAnsi="Times New Roman" w:cs="Times New Roman"/>
        </w:rPr>
        <w:t xml:space="preserve"> may be deployed as indicative of how regulatory mechanisms and concerted enforcement can produce systemic change and dismantle links betwe</w:t>
      </w:r>
      <w:r w:rsidR="0084474B">
        <w:rPr>
          <w:rFonts w:ascii="Times New Roman" w:eastAsia="Cambria" w:hAnsi="Times New Roman" w:cs="Times New Roman"/>
        </w:rPr>
        <w:t xml:space="preserve">en wildlife crime and security. </w:t>
      </w:r>
      <w:r w:rsidRPr="0065632F">
        <w:rPr>
          <w:rFonts w:ascii="Times New Roman" w:eastAsia="Cambria" w:hAnsi="Times New Roman" w:cs="Times New Roman"/>
        </w:rPr>
        <w:t>Ro</w:t>
      </w:r>
      <w:r w:rsidR="0084474B">
        <w:rPr>
          <w:rFonts w:ascii="Times New Roman" w:eastAsia="Cambria" w:hAnsi="Times New Roman" w:cs="Times New Roman"/>
        </w:rPr>
        <w:t>se similarly acknowledged that “</w:t>
      </w:r>
      <w:r w:rsidRPr="0065632F">
        <w:rPr>
          <w:rFonts w:ascii="Times New Roman" w:eastAsia="Cambria" w:hAnsi="Times New Roman" w:cs="Times New Roman"/>
        </w:rPr>
        <w:t xml:space="preserve">it is important and politically beneficial to say ‘we are doing something about </w:t>
      </w:r>
      <w:r>
        <w:rPr>
          <w:rFonts w:ascii="Times New Roman" w:eastAsia="Cambria" w:hAnsi="Times New Roman" w:cs="Times New Roman"/>
        </w:rPr>
        <w:t xml:space="preserve">[organized] </w:t>
      </w:r>
      <w:r w:rsidRPr="0065632F">
        <w:rPr>
          <w:rFonts w:ascii="Times New Roman" w:eastAsia="Cambria" w:hAnsi="Times New Roman" w:cs="Times New Roman"/>
        </w:rPr>
        <w:t>crime’</w:t>
      </w:r>
      <w:r w:rsidR="0084474B">
        <w:rPr>
          <w:rFonts w:ascii="Times New Roman" w:eastAsia="Cambria" w:hAnsi="Times New Roman" w:cs="Times New Roman"/>
        </w:rPr>
        <w:t>”</w:t>
      </w:r>
      <w:r w:rsidRPr="005B292F">
        <w:rPr>
          <w:rStyle w:val="FootnoteReference"/>
        </w:rPr>
        <w:footnoteReference w:id="209"/>
      </w:r>
      <w:r w:rsidRPr="0065632F">
        <w:rPr>
          <w:rFonts w:ascii="Times New Roman" w:eastAsia="Cambria" w:hAnsi="Times New Roman" w:cs="Times New Roman"/>
        </w:rPr>
        <w:t xml:space="preserve">, and caviar trade can be used as an example. </w:t>
      </w:r>
      <w:r>
        <w:rPr>
          <w:rFonts w:ascii="Times New Roman" w:eastAsia="Cambria" w:hAnsi="Times New Roman" w:cs="Times New Roman"/>
        </w:rPr>
        <w:t>Indeed, when questioned on this, Ulmer reinforced the European Commission stance</w:t>
      </w:r>
      <w:r w:rsidR="00682356">
        <w:rPr>
          <w:rFonts w:ascii="Times New Roman" w:eastAsia="Cambria" w:hAnsi="Times New Roman" w:cs="Times New Roman"/>
        </w:rPr>
        <w:t xml:space="preserve"> on caviar and declining organis</w:t>
      </w:r>
      <w:r w:rsidR="00D41219">
        <w:rPr>
          <w:rFonts w:ascii="Times New Roman" w:eastAsia="Cambria" w:hAnsi="Times New Roman" w:cs="Times New Roman"/>
        </w:rPr>
        <w:t>ed crime, emphasising that “</w:t>
      </w:r>
      <w:r>
        <w:rPr>
          <w:rFonts w:ascii="Times New Roman" w:eastAsia="Cambria" w:hAnsi="Times New Roman" w:cs="Times New Roman"/>
        </w:rPr>
        <w:t>there’s now a lot of legal trade, and it’s coming from aquaculture facilities. At least the majority of it we believe. Then the issue of illegal trade has been replaced</w:t>
      </w:r>
      <w:r w:rsidR="00682356">
        <w:rPr>
          <w:rFonts w:ascii="Times New Roman" w:eastAsia="Cambria" w:hAnsi="Times New Roman" w:cs="Times New Roman"/>
        </w:rPr>
        <w:t>”</w:t>
      </w:r>
      <w:r w:rsidRPr="005B292F">
        <w:rPr>
          <w:rStyle w:val="FootnoteReference"/>
        </w:rPr>
        <w:footnoteReference w:id="210"/>
      </w:r>
      <w:r w:rsidRPr="0065632F">
        <w:rPr>
          <w:rFonts w:ascii="Times New Roman" w:eastAsia="Cambria" w:hAnsi="Times New Roman" w:cs="Times New Roman"/>
        </w:rPr>
        <w:t>. Yvar suggested that there is a geopolitical motivation in disseminating this</w:t>
      </w:r>
      <w:r>
        <w:rPr>
          <w:rFonts w:ascii="Times New Roman" w:eastAsia="Cambria" w:hAnsi="Times New Roman" w:cs="Times New Roman"/>
        </w:rPr>
        <w:t xml:space="preserve"> simpli</w:t>
      </w:r>
      <w:r w:rsidR="00682356">
        <w:rPr>
          <w:rFonts w:ascii="Times New Roman" w:eastAsia="Cambria" w:hAnsi="Times New Roman" w:cs="Times New Roman"/>
        </w:rPr>
        <w:t>fied version of reality:</w:t>
      </w:r>
    </w:p>
    <w:p w14:paraId="16F01078" w14:textId="5DBE7460" w:rsidR="00682356" w:rsidRDefault="00682356" w:rsidP="00FC70E0">
      <w:pPr>
        <w:pStyle w:val="Quote"/>
        <w:rPr>
          <w:rFonts w:eastAsia="Cambria" w:cs="Times New Roman"/>
        </w:rPr>
      </w:pPr>
      <w:r>
        <w:t>T</w:t>
      </w:r>
      <w:r w:rsidR="00F90322" w:rsidRPr="00682356">
        <w:t>hey have interests to communicate to the outside world that there are no problems at the moment... to focus on a discourse where caviar trade – illegal caviar trade – does not happen anymore; where it has become in the hands of legitimate traders; where there are good control mechanisms and so on... This is the ‘political reality’ I would say. And of course there is a reality how caviar trafficking takes place in the actual world</w:t>
      </w:r>
      <w:r w:rsidRPr="005B292F">
        <w:rPr>
          <w:rStyle w:val="FootnoteReference"/>
        </w:rPr>
        <w:footnoteReference w:id="211"/>
      </w:r>
      <w:r w:rsidR="00F90322" w:rsidRPr="00682356">
        <w:t>.</w:t>
      </w:r>
      <w:r w:rsidR="00F90322">
        <w:rPr>
          <w:rFonts w:eastAsia="Cambria" w:cs="Times New Roman"/>
        </w:rPr>
        <w:t xml:space="preserve"> </w:t>
      </w:r>
    </w:p>
    <w:p w14:paraId="0055E852" w14:textId="5F65AA0E" w:rsidR="00F90322" w:rsidRPr="0065632F" w:rsidRDefault="00F90322" w:rsidP="00FC70E0">
      <w:pPr>
        <w:pStyle w:val="normal0"/>
        <w:spacing w:after="160" w:line="360" w:lineRule="auto"/>
        <w:jc w:val="both"/>
        <w:rPr>
          <w:rFonts w:ascii="Times New Roman" w:eastAsia="Cambria" w:hAnsi="Times New Roman" w:cs="Times New Roman"/>
        </w:rPr>
      </w:pPr>
      <w:r>
        <w:rPr>
          <w:rFonts w:ascii="Times New Roman" w:eastAsia="Cambria" w:hAnsi="Times New Roman" w:cs="Times New Roman"/>
        </w:rPr>
        <w:lastRenderedPageBreak/>
        <w:t xml:space="preserve">As such, any ongoing security implications of illegal caviar trade are masked by the </w:t>
      </w:r>
      <w:r w:rsidR="0093697C">
        <w:rPr>
          <w:rFonts w:ascii="Times New Roman" w:eastAsia="Cambria" w:hAnsi="Times New Roman" w:cs="Times New Roman"/>
        </w:rPr>
        <w:t xml:space="preserve">dominant </w:t>
      </w:r>
      <w:r w:rsidR="00325BEF">
        <w:rPr>
          <w:rFonts w:ascii="Times New Roman" w:eastAsia="Cambria" w:hAnsi="Times New Roman" w:cs="Times New Roman"/>
        </w:rPr>
        <w:t>political narratives</w:t>
      </w:r>
      <w:r w:rsidR="0093697C">
        <w:rPr>
          <w:rFonts w:ascii="Times New Roman" w:eastAsia="Cambria" w:hAnsi="Times New Roman" w:cs="Times New Roman"/>
        </w:rPr>
        <w:t xml:space="preserve"> – discussed previously in chapter four - </w:t>
      </w:r>
      <w:r>
        <w:rPr>
          <w:rFonts w:ascii="Times New Roman" w:eastAsia="Cambria" w:hAnsi="Times New Roman" w:cs="Times New Roman"/>
        </w:rPr>
        <w:t xml:space="preserve"> that frame illegal</w:t>
      </w:r>
      <w:r w:rsidR="0093697C">
        <w:rPr>
          <w:rFonts w:ascii="Times New Roman" w:eastAsia="Cambria" w:hAnsi="Times New Roman" w:cs="Times New Roman"/>
        </w:rPr>
        <w:t xml:space="preserve"> caviar trade in the EU as having been</w:t>
      </w:r>
      <w:r>
        <w:rPr>
          <w:rFonts w:ascii="Times New Roman" w:eastAsia="Cambria" w:hAnsi="Times New Roman" w:cs="Times New Roman"/>
        </w:rPr>
        <w:t xml:space="preserve"> ‘replaced’. </w:t>
      </w:r>
    </w:p>
    <w:p w14:paraId="17034475" w14:textId="57742A19" w:rsidR="00325BEF" w:rsidRDefault="00F90322" w:rsidP="00FC70E0">
      <w:pPr>
        <w:pStyle w:val="normal0"/>
        <w:spacing w:after="160" w:line="360" w:lineRule="auto"/>
        <w:ind w:firstLine="720"/>
        <w:jc w:val="both"/>
        <w:rPr>
          <w:rFonts w:ascii="Times New Roman" w:eastAsia="Cambria" w:hAnsi="Times New Roman" w:cs="Times New Roman"/>
        </w:rPr>
      </w:pPr>
      <w:r w:rsidRPr="0065632F">
        <w:rPr>
          <w:rFonts w:ascii="Times New Roman" w:eastAsia="Cambria" w:hAnsi="Times New Roman" w:cs="Times New Roman"/>
        </w:rPr>
        <w:t xml:space="preserve">I argue that power dynamics operating in the European Union </w:t>
      </w:r>
      <w:r>
        <w:rPr>
          <w:rFonts w:ascii="Times New Roman" w:eastAsia="Cambria" w:hAnsi="Times New Roman" w:cs="Times New Roman"/>
        </w:rPr>
        <w:t xml:space="preserve">have enabled EU institutions </w:t>
      </w:r>
      <w:r w:rsidRPr="0065632F">
        <w:rPr>
          <w:rFonts w:ascii="Times New Roman" w:eastAsia="Cambria" w:hAnsi="Times New Roman" w:cs="Times New Roman"/>
        </w:rPr>
        <w:t xml:space="preserve">to dissolve illegal caviar trade as a security concern at the EU-level. In explaining the </w:t>
      </w:r>
      <w:r w:rsidR="00325BEF">
        <w:rPr>
          <w:rFonts w:ascii="Times New Roman" w:eastAsia="Cambria" w:hAnsi="Times New Roman" w:cs="Times New Roman"/>
        </w:rPr>
        <w:t>logic behind relegating caviar as a European Commission CITES priority, Ulmer said “</w:t>
      </w:r>
      <w:r w:rsidRPr="0065632F">
        <w:rPr>
          <w:rFonts w:ascii="Times New Roman" w:eastAsia="Cambria" w:hAnsi="Times New Roman" w:cs="Times New Roman"/>
        </w:rPr>
        <w:t xml:space="preserve">if you know that it’s </w:t>
      </w:r>
      <w:r w:rsidRPr="0065632F">
        <w:rPr>
          <w:rFonts w:ascii="Times New Roman" w:eastAsia="Cambria" w:hAnsi="Times New Roman" w:cs="Times New Roman"/>
          <w:i/>
        </w:rPr>
        <w:t>a bit</w:t>
      </w:r>
      <w:r w:rsidRPr="0065632F">
        <w:rPr>
          <w:rFonts w:ascii="Times New Roman" w:eastAsia="Cambria" w:hAnsi="Times New Roman" w:cs="Times New Roman"/>
        </w:rPr>
        <w:t xml:space="preserve"> of illegal trade in caviar, say </w:t>
      </w:r>
      <w:r w:rsidR="00D41219">
        <w:rPr>
          <w:rFonts w:ascii="Times New Roman" w:eastAsia="Cambria" w:hAnsi="Times New Roman" w:cs="Times New Roman"/>
        </w:rPr>
        <w:t>‘</w:t>
      </w:r>
      <w:r w:rsidRPr="0065632F">
        <w:rPr>
          <w:rFonts w:ascii="Times New Roman" w:eastAsia="Cambria" w:hAnsi="Times New Roman" w:cs="Times New Roman"/>
        </w:rPr>
        <w:t>ok that’s a priority for the regions</w:t>
      </w:r>
      <w:r w:rsidR="00D41219">
        <w:rPr>
          <w:rFonts w:ascii="Times New Roman" w:eastAsia="Cambria" w:hAnsi="Times New Roman" w:cs="Times New Roman"/>
        </w:rPr>
        <w:t>’</w:t>
      </w:r>
      <w:r w:rsidRPr="0065632F">
        <w:rPr>
          <w:rFonts w:ascii="Times New Roman" w:eastAsia="Cambria" w:hAnsi="Times New Roman" w:cs="Times New Roman"/>
        </w:rPr>
        <w:t>, with the countries and the range states concerned</w:t>
      </w:r>
      <w:r w:rsidR="00325BEF">
        <w:rPr>
          <w:rFonts w:ascii="Times New Roman" w:eastAsia="Cambria" w:hAnsi="Times New Roman" w:cs="Times New Roman"/>
        </w:rPr>
        <w:t>”</w:t>
      </w:r>
      <w:r w:rsidRPr="005B292F">
        <w:rPr>
          <w:rStyle w:val="FootnoteReference"/>
        </w:rPr>
        <w:footnoteReference w:id="212"/>
      </w:r>
      <w:r w:rsidRPr="0065632F">
        <w:rPr>
          <w:rFonts w:ascii="Times New Roman" w:eastAsia="Cambria" w:hAnsi="Times New Roman" w:cs="Times New Roman"/>
        </w:rPr>
        <w:t xml:space="preserve">. This narrative geographically isolates </w:t>
      </w:r>
      <w:r w:rsidR="00D41219">
        <w:rPr>
          <w:rFonts w:ascii="Times New Roman" w:eastAsia="Cambria" w:hAnsi="Times New Roman" w:cs="Times New Roman"/>
        </w:rPr>
        <w:t xml:space="preserve">illegal caviar trade in the EU </w:t>
      </w:r>
      <w:r w:rsidRPr="0065632F">
        <w:rPr>
          <w:rFonts w:ascii="Times New Roman" w:eastAsia="Cambria" w:hAnsi="Times New Roman" w:cs="Times New Roman"/>
        </w:rPr>
        <w:t>suggesting that it is contained within R</w:t>
      </w:r>
      <w:r w:rsidR="00D41219">
        <w:rPr>
          <w:rFonts w:ascii="Times New Roman" w:eastAsia="Cambria" w:hAnsi="Times New Roman" w:cs="Times New Roman"/>
        </w:rPr>
        <w:t>omania and Bulgaria,</w:t>
      </w:r>
      <w:r w:rsidRPr="0065632F">
        <w:rPr>
          <w:rFonts w:ascii="Times New Roman" w:eastAsia="Cambria" w:hAnsi="Times New Roman" w:cs="Times New Roman"/>
        </w:rPr>
        <w:t xml:space="preserve"> and thereby small and localised in extent. This reduces illeg</w:t>
      </w:r>
      <w:r w:rsidR="00D41219">
        <w:rPr>
          <w:rFonts w:ascii="Times New Roman" w:eastAsia="Cambria" w:hAnsi="Times New Roman" w:cs="Times New Roman"/>
        </w:rPr>
        <w:t xml:space="preserve">al caviar trade in the EU to a regional </w:t>
      </w:r>
      <w:r w:rsidRPr="0065632F">
        <w:rPr>
          <w:rFonts w:ascii="Times New Roman" w:eastAsia="Cambria" w:hAnsi="Times New Roman" w:cs="Times New Roman"/>
        </w:rPr>
        <w:t>conservation issue that is the responsibility of sturgeon range states to solve; rather than recognising illegal caviar trade as an EU-wide criminal issue with security implications. This rhetoric therefore reflects a lack of critical attention given to the broader geopolitics and political economy of the caviar trade within the European Union. No attention is given to interrogating how poaching</w:t>
      </w:r>
      <w:r w:rsidR="00D41219">
        <w:rPr>
          <w:rFonts w:ascii="Times New Roman" w:eastAsia="Cambria" w:hAnsi="Times New Roman" w:cs="Times New Roman"/>
        </w:rPr>
        <w:t xml:space="preserve"> dynamics in sturgeon range states are</w:t>
      </w:r>
      <w:r w:rsidRPr="0065632F">
        <w:rPr>
          <w:rFonts w:ascii="Times New Roman" w:eastAsia="Cambria" w:hAnsi="Times New Roman" w:cs="Times New Roman"/>
        </w:rPr>
        <w:t xml:space="preserve"> intrinsically connected to – and fuelled by -  a demand for wild caviar in Western European member states. As such, an assessment of the security implications of the illicit caviar supply chain as it extends across Europe, is overlooked. This effectively absolves Wes</w:t>
      </w:r>
      <w:r>
        <w:rPr>
          <w:rFonts w:ascii="Times New Roman" w:eastAsia="Cambria" w:hAnsi="Times New Roman" w:cs="Times New Roman"/>
        </w:rPr>
        <w:t xml:space="preserve">tern European </w:t>
      </w:r>
      <w:r w:rsidR="00D41219">
        <w:rPr>
          <w:rFonts w:ascii="Times New Roman" w:eastAsia="Cambria" w:hAnsi="Times New Roman" w:cs="Times New Roman"/>
        </w:rPr>
        <w:t>Member S</w:t>
      </w:r>
      <w:r w:rsidRPr="0065632F">
        <w:rPr>
          <w:rFonts w:ascii="Times New Roman" w:eastAsia="Cambria" w:hAnsi="Times New Roman" w:cs="Times New Roman"/>
        </w:rPr>
        <w:t xml:space="preserve">tates of their role in illegal </w:t>
      </w:r>
      <w:r>
        <w:rPr>
          <w:rFonts w:ascii="Times New Roman" w:eastAsia="Cambria" w:hAnsi="Times New Roman" w:cs="Times New Roman"/>
        </w:rPr>
        <w:t>cav</w:t>
      </w:r>
      <w:r w:rsidR="00325BEF">
        <w:rPr>
          <w:rFonts w:ascii="Times New Roman" w:eastAsia="Cambria" w:hAnsi="Times New Roman" w:cs="Times New Roman"/>
        </w:rPr>
        <w:t>iar trade and related organis</w:t>
      </w:r>
      <w:r w:rsidRPr="0065632F">
        <w:rPr>
          <w:rFonts w:ascii="Times New Roman" w:eastAsia="Cambria" w:hAnsi="Times New Roman" w:cs="Times New Roman"/>
        </w:rPr>
        <w:t xml:space="preserve">ed crime and security issues. </w:t>
      </w:r>
    </w:p>
    <w:p w14:paraId="6F961F36" w14:textId="77777777" w:rsidR="002E2512" w:rsidRDefault="00F90322" w:rsidP="00FC70E0">
      <w:pPr>
        <w:pStyle w:val="normal0"/>
        <w:spacing w:after="160" w:line="360" w:lineRule="auto"/>
        <w:ind w:firstLine="720"/>
        <w:jc w:val="both"/>
        <w:rPr>
          <w:rFonts w:ascii="Times New Roman" w:eastAsia="Cambria" w:hAnsi="Times New Roman" w:cs="Times New Roman"/>
        </w:rPr>
      </w:pPr>
      <w:r w:rsidRPr="00325BEF">
        <w:rPr>
          <w:rFonts w:ascii="Times New Roman" w:eastAsia="Cambria" w:hAnsi="Times New Roman" w:cs="Times New Roman"/>
        </w:rPr>
        <w:t>Europol similarly suggest that the issue of sturgeon poaching in the EU is small and geogra</w:t>
      </w:r>
      <w:r w:rsidR="00D41219">
        <w:rPr>
          <w:rFonts w:ascii="Times New Roman" w:eastAsia="Cambria" w:hAnsi="Times New Roman" w:cs="Times New Roman"/>
        </w:rPr>
        <w:t>phically concentrated. However,</w:t>
      </w:r>
      <w:r w:rsidRPr="00325BEF">
        <w:rPr>
          <w:rFonts w:ascii="Times New Roman" w:eastAsia="Cambria" w:hAnsi="Times New Roman" w:cs="Times New Roman"/>
        </w:rPr>
        <w:t xml:space="preserve"> in contrast they situate</w:t>
      </w:r>
      <w:r w:rsidR="00D41219">
        <w:rPr>
          <w:rFonts w:ascii="Times New Roman" w:eastAsia="Cambria" w:hAnsi="Times New Roman" w:cs="Times New Roman"/>
        </w:rPr>
        <w:t>d</w:t>
      </w:r>
      <w:r w:rsidRPr="00325BEF">
        <w:rPr>
          <w:rFonts w:ascii="Times New Roman" w:eastAsia="Cambria" w:hAnsi="Times New Roman" w:cs="Times New Roman"/>
        </w:rPr>
        <w:t xml:space="preserve"> these poaching dynamics in the wider </w:t>
      </w:r>
      <w:r w:rsidR="00D41219">
        <w:rPr>
          <w:rFonts w:ascii="Times New Roman" w:eastAsia="Cambria" w:hAnsi="Times New Roman" w:cs="Times New Roman"/>
        </w:rPr>
        <w:t>policitical-economy of</w:t>
      </w:r>
      <w:r w:rsidR="00325BEF">
        <w:rPr>
          <w:rFonts w:ascii="Times New Roman" w:eastAsia="Cambria" w:hAnsi="Times New Roman" w:cs="Times New Roman"/>
        </w:rPr>
        <w:t xml:space="preserve"> EU </w:t>
      </w:r>
      <w:r w:rsidR="00D41219">
        <w:rPr>
          <w:rFonts w:ascii="Times New Roman" w:eastAsia="Cambria" w:hAnsi="Times New Roman" w:cs="Times New Roman"/>
        </w:rPr>
        <w:t>illicit caviar trade</w:t>
      </w:r>
      <w:r w:rsidRPr="00325BEF">
        <w:rPr>
          <w:rFonts w:ascii="Times New Roman" w:eastAsia="Cambria" w:hAnsi="Times New Roman" w:cs="Times New Roman"/>
        </w:rPr>
        <w:t xml:space="preserve">. </w:t>
      </w:r>
      <w:r w:rsidR="00D41219">
        <w:rPr>
          <w:rFonts w:ascii="Times New Roman" w:eastAsia="Cambria" w:hAnsi="Times New Roman" w:cs="Times New Roman"/>
        </w:rPr>
        <w:t xml:space="preserve">Europol wildlife crime expert </w:t>
      </w:r>
      <w:r w:rsidR="00325BEF" w:rsidRPr="00325BEF">
        <w:rPr>
          <w:rFonts w:ascii="Times New Roman" w:eastAsia="Times New Roman" w:hAnsi="Times New Roman" w:cs="Times New Roman"/>
          <w:color w:val="000000"/>
        </w:rPr>
        <w:t>Čelan</w:t>
      </w:r>
      <w:r w:rsidR="00325BEF">
        <w:rPr>
          <w:rFonts w:ascii="Times New Roman" w:eastAsia="Cambria" w:hAnsi="Times New Roman" w:cs="Times New Roman"/>
        </w:rPr>
        <w:t xml:space="preserve">, </w:t>
      </w:r>
      <w:r w:rsidR="00C5614D">
        <w:rPr>
          <w:rFonts w:ascii="Times New Roman" w:eastAsia="Cambria" w:hAnsi="Times New Roman" w:cs="Times New Roman"/>
        </w:rPr>
        <w:t>emphasised that “</w:t>
      </w:r>
      <w:r w:rsidRPr="0065632F">
        <w:rPr>
          <w:rFonts w:ascii="Times New Roman" w:eastAsia="Cambria" w:hAnsi="Times New Roman" w:cs="Times New Roman"/>
        </w:rPr>
        <w:t>the biggest issue is illegal trade within the EU; this is more significant than the level of poaching. The illegal trade is happening widely in the EU, but poaching and impact on European biodiversity only affects a few EU countries</w:t>
      </w:r>
      <w:r w:rsidR="00C5614D">
        <w:rPr>
          <w:rFonts w:ascii="Times New Roman" w:eastAsia="Cambria" w:hAnsi="Times New Roman" w:cs="Times New Roman"/>
        </w:rPr>
        <w:t>”</w:t>
      </w:r>
      <w:r w:rsidRPr="005B292F">
        <w:rPr>
          <w:rStyle w:val="FootnoteReference"/>
        </w:rPr>
        <w:footnoteReference w:id="213"/>
      </w:r>
      <w:r w:rsidR="00593F4E">
        <w:rPr>
          <w:rFonts w:ascii="Times New Roman" w:eastAsia="Cambria" w:hAnsi="Times New Roman" w:cs="Times New Roman"/>
        </w:rPr>
        <w:t>. Indeed, Yvar confirmed that “</w:t>
      </w:r>
      <w:r w:rsidRPr="0065632F">
        <w:rPr>
          <w:rFonts w:ascii="Times New Roman" w:eastAsia="Cambria" w:hAnsi="Times New Roman" w:cs="Times New Roman"/>
        </w:rPr>
        <w:t xml:space="preserve">still Europe is an important demand market... people have this feeling that we would like to have </w:t>
      </w:r>
      <w:r w:rsidR="00593F4E">
        <w:rPr>
          <w:rFonts w:ascii="Times New Roman" w:eastAsia="Cambria" w:hAnsi="Times New Roman" w:cs="Times New Roman"/>
        </w:rPr>
        <w:t>‘</w:t>
      </w:r>
      <w:r w:rsidRPr="0065632F">
        <w:rPr>
          <w:rFonts w:ascii="Times New Roman" w:eastAsia="Cambria" w:hAnsi="Times New Roman" w:cs="Times New Roman"/>
        </w:rPr>
        <w:t xml:space="preserve">the </w:t>
      </w:r>
      <w:r w:rsidRPr="0065632F">
        <w:rPr>
          <w:rFonts w:ascii="Times New Roman" w:eastAsia="Cambria" w:hAnsi="Times New Roman" w:cs="Times New Roman"/>
          <w:i/>
        </w:rPr>
        <w:t>real</w:t>
      </w:r>
      <w:r w:rsidRPr="0065632F">
        <w:rPr>
          <w:rFonts w:ascii="Times New Roman" w:eastAsia="Cambria" w:hAnsi="Times New Roman" w:cs="Times New Roman"/>
        </w:rPr>
        <w:t xml:space="preserve"> stuff, the </w:t>
      </w:r>
      <w:r w:rsidRPr="0065632F">
        <w:rPr>
          <w:rFonts w:ascii="Times New Roman" w:eastAsia="Cambria" w:hAnsi="Times New Roman" w:cs="Times New Roman"/>
          <w:i/>
        </w:rPr>
        <w:t>wild</w:t>
      </w:r>
      <w:r w:rsidRPr="0065632F">
        <w:rPr>
          <w:rFonts w:ascii="Times New Roman" w:eastAsia="Cambria" w:hAnsi="Times New Roman" w:cs="Times New Roman"/>
        </w:rPr>
        <w:t xml:space="preserve"> stuff’</w:t>
      </w:r>
      <w:r w:rsidR="00593F4E">
        <w:rPr>
          <w:rFonts w:ascii="Times New Roman" w:eastAsia="Cambria" w:hAnsi="Times New Roman" w:cs="Times New Roman"/>
        </w:rPr>
        <w:t>”, and so “</w:t>
      </w:r>
      <w:r w:rsidRPr="0065632F">
        <w:rPr>
          <w:rFonts w:ascii="Times New Roman" w:eastAsia="Cambria" w:hAnsi="Times New Roman" w:cs="Times New Roman"/>
        </w:rPr>
        <w:t>there’s still criminal things going on in Netherlands, in Germany. And also the Polish border</w:t>
      </w:r>
      <w:r w:rsidR="00593F4E">
        <w:rPr>
          <w:rFonts w:ascii="Times New Roman" w:eastAsia="Cambria" w:hAnsi="Times New Roman" w:cs="Times New Roman"/>
        </w:rPr>
        <w:t>”</w:t>
      </w:r>
      <w:r w:rsidRPr="005B292F">
        <w:rPr>
          <w:rStyle w:val="FootnoteReference"/>
        </w:rPr>
        <w:footnoteReference w:id="214"/>
      </w:r>
      <w:r w:rsidRPr="0065632F">
        <w:rPr>
          <w:rFonts w:ascii="Times New Roman" w:eastAsia="Cambria" w:hAnsi="Times New Roman" w:cs="Times New Roman"/>
        </w:rPr>
        <w:t>. This presents a more holistic reading of illegal caviar trade in the European Union and positions it as a</w:t>
      </w:r>
      <w:r w:rsidR="00BD4C97">
        <w:rPr>
          <w:rFonts w:ascii="Times New Roman" w:eastAsia="Cambria" w:hAnsi="Times New Roman" w:cs="Times New Roman"/>
        </w:rPr>
        <w:t>n international</w:t>
      </w:r>
      <w:r w:rsidRPr="0065632F">
        <w:rPr>
          <w:rFonts w:ascii="Times New Roman" w:eastAsia="Cambria" w:hAnsi="Times New Roman" w:cs="Times New Roman"/>
        </w:rPr>
        <w:t xml:space="preserve"> criminal issue, rather than solely a </w:t>
      </w:r>
      <w:r w:rsidR="00BD4C97">
        <w:rPr>
          <w:rFonts w:ascii="Times New Roman" w:eastAsia="Cambria" w:hAnsi="Times New Roman" w:cs="Times New Roman"/>
        </w:rPr>
        <w:t xml:space="preserve">regional </w:t>
      </w:r>
      <w:r w:rsidRPr="0065632F">
        <w:rPr>
          <w:rFonts w:ascii="Times New Roman" w:eastAsia="Cambria" w:hAnsi="Times New Roman" w:cs="Times New Roman"/>
        </w:rPr>
        <w:t>biodive</w:t>
      </w:r>
      <w:r w:rsidR="00D41219">
        <w:rPr>
          <w:rFonts w:ascii="Times New Roman" w:eastAsia="Cambria" w:hAnsi="Times New Roman" w:cs="Times New Roman"/>
        </w:rPr>
        <w:t xml:space="preserve">rsity conservation issue. </w:t>
      </w:r>
    </w:p>
    <w:p w14:paraId="0A7258E3" w14:textId="0C8392A5" w:rsidR="00325BEF" w:rsidRPr="0065632F" w:rsidRDefault="00004B83" w:rsidP="00FC70E0">
      <w:pPr>
        <w:pStyle w:val="normal0"/>
        <w:spacing w:after="160" w:line="360" w:lineRule="auto"/>
        <w:ind w:firstLine="720"/>
        <w:jc w:val="both"/>
        <w:rPr>
          <w:rFonts w:ascii="Times New Roman" w:eastAsia="Cambria" w:hAnsi="Times New Roman" w:cs="Times New Roman"/>
        </w:rPr>
      </w:pPr>
      <w:r>
        <w:rPr>
          <w:rFonts w:ascii="Times New Roman" w:eastAsia="Cambria" w:hAnsi="Times New Roman" w:cs="Times New Roman"/>
        </w:rPr>
        <w:t>Thus</w:t>
      </w:r>
      <w:r w:rsidR="00D41219">
        <w:rPr>
          <w:rFonts w:ascii="Times New Roman" w:eastAsia="Cambria" w:hAnsi="Times New Roman" w:cs="Times New Roman"/>
        </w:rPr>
        <w:t>,</w:t>
      </w:r>
      <w:r>
        <w:rPr>
          <w:rFonts w:ascii="Times New Roman" w:eastAsia="Cambria" w:hAnsi="Times New Roman" w:cs="Times New Roman"/>
        </w:rPr>
        <w:t xml:space="preserve"> </w:t>
      </w:r>
      <w:r w:rsidRPr="00325BEF">
        <w:rPr>
          <w:rFonts w:ascii="Times New Roman" w:eastAsia="Times New Roman" w:hAnsi="Times New Roman" w:cs="Times New Roman"/>
          <w:color w:val="000000"/>
        </w:rPr>
        <w:t>Čelan</w:t>
      </w:r>
      <w:r>
        <w:rPr>
          <w:rFonts w:ascii="Times New Roman" w:eastAsia="Times New Roman" w:hAnsi="Times New Roman" w:cs="Times New Roman"/>
          <w:color w:val="000000"/>
        </w:rPr>
        <w:t>’s</w:t>
      </w:r>
      <w:r w:rsidR="00F90322" w:rsidRPr="0065632F">
        <w:rPr>
          <w:rFonts w:ascii="Times New Roman" w:eastAsia="Cambria" w:hAnsi="Times New Roman" w:cs="Times New Roman"/>
        </w:rPr>
        <w:t xml:space="preserve"> assertions challenge the narratives emanating from the European Commission, which give a narrow and selective view of declinining criminality in the caviar trade. These contrasting narratives give an indication to some of the power relations at work, which are shaping </w:t>
      </w:r>
      <w:r w:rsidR="00F90322" w:rsidRPr="0065632F">
        <w:rPr>
          <w:rFonts w:ascii="Times New Roman" w:eastAsia="Cambria" w:hAnsi="Times New Roman" w:cs="Times New Roman"/>
        </w:rPr>
        <w:lastRenderedPageBreak/>
        <w:t xml:space="preserve">understandings of the </w:t>
      </w:r>
      <w:r w:rsidR="002E2512">
        <w:rPr>
          <w:rFonts w:ascii="Times New Roman" w:eastAsia="Cambria" w:hAnsi="Times New Roman" w:cs="Times New Roman"/>
        </w:rPr>
        <w:t xml:space="preserve">illegal caviar trade </w:t>
      </w:r>
      <w:r w:rsidR="00F90322" w:rsidRPr="0065632F">
        <w:rPr>
          <w:rFonts w:ascii="Times New Roman" w:eastAsia="Cambria" w:hAnsi="Times New Roman" w:cs="Times New Roman"/>
        </w:rPr>
        <w:t xml:space="preserve">crime-conservation-security nexus </w:t>
      </w:r>
      <w:r w:rsidR="002E2512">
        <w:rPr>
          <w:rFonts w:ascii="Times New Roman" w:eastAsia="Cambria" w:hAnsi="Times New Roman" w:cs="Times New Roman"/>
        </w:rPr>
        <w:t xml:space="preserve">in the European Union. </w:t>
      </w:r>
      <w:r>
        <w:rPr>
          <w:rFonts w:ascii="Times New Roman" w:eastAsia="Cambria" w:hAnsi="Times New Roman" w:cs="Times New Roman"/>
        </w:rPr>
        <w:t>The dominant</w:t>
      </w:r>
      <w:r w:rsidR="00F90322">
        <w:rPr>
          <w:rFonts w:ascii="Times New Roman" w:eastAsia="Cambria" w:hAnsi="Times New Roman" w:cs="Times New Roman"/>
        </w:rPr>
        <w:t xml:space="preserve"> </w:t>
      </w:r>
      <w:r w:rsidR="00F90322" w:rsidRPr="0065632F">
        <w:rPr>
          <w:rFonts w:ascii="Times New Roman" w:eastAsia="Cambria" w:hAnsi="Times New Roman" w:cs="Times New Roman"/>
        </w:rPr>
        <w:t>politic</w:t>
      </w:r>
      <w:r w:rsidR="00F90322">
        <w:rPr>
          <w:rFonts w:ascii="Times New Roman" w:eastAsia="Cambria" w:hAnsi="Times New Roman" w:cs="Times New Roman"/>
        </w:rPr>
        <w:t>al</w:t>
      </w:r>
      <w:r w:rsidR="00F90322" w:rsidRPr="0065632F">
        <w:rPr>
          <w:rFonts w:ascii="Times New Roman" w:eastAsia="Cambria" w:hAnsi="Times New Roman" w:cs="Times New Roman"/>
        </w:rPr>
        <w:t xml:space="preserve"> framing </w:t>
      </w:r>
      <w:r w:rsidR="002E2512">
        <w:rPr>
          <w:rFonts w:ascii="Times New Roman" w:eastAsia="Cambria" w:hAnsi="Times New Roman" w:cs="Times New Roman"/>
        </w:rPr>
        <w:t xml:space="preserve">situates </w:t>
      </w:r>
      <w:r w:rsidR="00F90322" w:rsidRPr="0065632F">
        <w:rPr>
          <w:rFonts w:ascii="Times New Roman" w:eastAsia="Cambria" w:hAnsi="Times New Roman" w:cs="Times New Roman"/>
        </w:rPr>
        <w:t xml:space="preserve">illegal caviar trade </w:t>
      </w:r>
      <w:r w:rsidR="002E2512">
        <w:rPr>
          <w:rFonts w:ascii="Times New Roman" w:eastAsia="Cambria" w:hAnsi="Times New Roman" w:cs="Times New Roman"/>
        </w:rPr>
        <w:t xml:space="preserve">as a problem of localised poaching, and </w:t>
      </w:r>
      <w:r w:rsidR="00F90322" w:rsidRPr="0065632F">
        <w:rPr>
          <w:rFonts w:ascii="Times New Roman" w:eastAsia="Cambria" w:hAnsi="Times New Roman" w:cs="Times New Roman"/>
        </w:rPr>
        <w:t xml:space="preserve"> therefore a conserv</w:t>
      </w:r>
      <w:r>
        <w:rPr>
          <w:rFonts w:ascii="Times New Roman" w:eastAsia="Cambria" w:hAnsi="Times New Roman" w:cs="Times New Roman"/>
        </w:rPr>
        <w:t>ation issue to be solved by EU Member S</w:t>
      </w:r>
      <w:r w:rsidR="00F90322" w:rsidRPr="0065632F">
        <w:rPr>
          <w:rFonts w:ascii="Times New Roman" w:eastAsia="Cambria" w:hAnsi="Times New Roman" w:cs="Times New Roman"/>
        </w:rPr>
        <w:t>tates where poaching takes place. However, a less dominant security fra</w:t>
      </w:r>
      <w:r>
        <w:rPr>
          <w:rFonts w:ascii="Times New Roman" w:eastAsia="Cambria" w:hAnsi="Times New Roman" w:cs="Times New Roman"/>
        </w:rPr>
        <w:t>ming acknowledges the international and organised</w:t>
      </w:r>
      <w:r w:rsidR="00F90322" w:rsidRPr="0065632F">
        <w:rPr>
          <w:rFonts w:ascii="Times New Roman" w:eastAsia="Cambria" w:hAnsi="Times New Roman" w:cs="Times New Roman"/>
        </w:rPr>
        <w:t xml:space="preserve"> nature of trafficking in contraband caviar, which implicates and require</w:t>
      </w:r>
      <w:r>
        <w:rPr>
          <w:rFonts w:ascii="Times New Roman" w:eastAsia="Cambria" w:hAnsi="Times New Roman" w:cs="Times New Roman"/>
        </w:rPr>
        <w:t>s concerted action from all EU Member S</w:t>
      </w:r>
      <w:r w:rsidR="00F90322" w:rsidRPr="0065632F">
        <w:rPr>
          <w:rFonts w:ascii="Times New Roman" w:eastAsia="Cambria" w:hAnsi="Times New Roman" w:cs="Times New Roman"/>
        </w:rPr>
        <w:t>tates and EU institutions.</w:t>
      </w:r>
    </w:p>
    <w:p w14:paraId="3C831E51" w14:textId="6529FB6B" w:rsidR="00AD2748" w:rsidRPr="0065632F" w:rsidRDefault="00F90322" w:rsidP="00FC70E0">
      <w:pPr>
        <w:pStyle w:val="normal0"/>
        <w:spacing w:after="160" w:line="360" w:lineRule="auto"/>
        <w:ind w:firstLine="720"/>
        <w:jc w:val="both"/>
        <w:rPr>
          <w:rFonts w:ascii="Times New Roman" w:eastAsia="Cambria" w:hAnsi="Times New Roman" w:cs="Times New Roman"/>
        </w:rPr>
      </w:pPr>
      <w:r w:rsidRPr="0065632F">
        <w:rPr>
          <w:rFonts w:ascii="Times New Roman" w:eastAsia="Cambria" w:hAnsi="Times New Roman" w:cs="Times New Roman"/>
        </w:rPr>
        <w:t>The apparent ‘dissolving’ of illegal caviar trade as a security concern by the European Union is therefore an interesting anomaly, particularly as th</w:t>
      </w:r>
      <w:r w:rsidR="00004B83">
        <w:rPr>
          <w:rFonts w:ascii="Times New Roman" w:eastAsia="Cambria" w:hAnsi="Times New Roman" w:cs="Times New Roman"/>
        </w:rPr>
        <w:t>ere has not been a widespread  desecuritization</w:t>
      </w:r>
      <w:r w:rsidRPr="0065632F">
        <w:rPr>
          <w:rFonts w:ascii="Times New Roman" w:eastAsia="Cambria" w:hAnsi="Times New Roman" w:cs="Times New Roman"/>
        </w:rPr>
        <w:t xml:space="preserve"> of other wildlife crime issues by the European Union. In fact, as mentioned above, the EU is increasingly concerned about investigating the security implications of wildlife trafficking. DG-ENV in the European Commission are responsible for producing and implementing EU Wildlife trade policy, and Ulmer explained that their understanding of the wildlife crime-sec</w:t>
      </w:r>
      <w:r w:rsidR="00004B83">
        <w:rPr>
          <w:rFonts w:ascii="Times New Roman" w:eastAsia="Cambria" w:hAnsi="Times New Roman" w:cs="Times New Roman"/>
        </w:rPr>
        <w:t xml:space="preserve">urity nexus </w:t>
      </w:r>
      <w:r w:rsidR="002E2512">
        <w:rPr>
          <w:rFonts w:ascii="Times New Roman" w:eastAsia="Cambria" w:hAnsi="Times New Roman" w:cs="Times New Roman"/>
        </w:rPr>
        <w:t xml:space="preserve">foregrounded </w:t>
      </w:r>
      <w:r w:rsidR="00004B83">
        <w:rPr>
          <w:rFonts w:ascii="Times New Roman" w:eastAsia="Cambria" w:hAnsi="Times New Roman" w:cs="Times New Roman"/>
        </w:rPr>
        <w:t>organis</w:t>
      </w:r>
      <w:r w:rsidRPr="0065632F">
        <w:rPr>
          <w:rFonts w:ascii="Times New Roman" w:eastAsia="Cambria" w:hAnsi="Times New Roman" w:cs="Times New Roman"/>
        </w:rPr>
        <w:t xml:space="preserve">ed </w:t>
      </w:r>
      <w:r w:rsidR="002E2512">
        <w:rPr>
          <w:rFonts w:ascii="Times New Roman" w:eastAsia="Cambria" w:hAnsi="Times New Roman" w:cs="Times New Roman"/>
        </w:rPr>
        <w:t xml:space="preserve">wildlife </w:t>
      </w:r>
      <w:r w:rsidRPr="0065632F">
        <w:rPr>
          <w:rFonts w:ascii="Times New Roman" w:eastAsia="Cambria" w:hAnsi="Times New Roman" w:cs="Times New Roman"/>
        </w:rPr>
        <w:t xml:space="preserve">crime as a security issue, because:  </w:t>
      </w:r>
    </w:p>
    <w:p w14:paraId="35B2A809" w14:textId="5B15560B" w:rsidR="00AD2748" w:rsidRPr="00AD2748" w:rsidRDefault="00004B83" w:rsidP="00FC70E0">
      <w:pPr>
        <w:pStyle w:val="Quote"/>
      </w:pPr>
      <w:r>
        <w:t xml:space="preserve"> T</w:t>
      </w:r>
      <w:r w:rsidR="00F90322" w:rsidRPr="0065632F">
        <w:t>he most prevalent form of link with se</w:t>
      </w:r>
      <w:r>
        <w:t>curity, is the link with organis</w:t>
      </w:r>
      <w:r w:rsidR="00F90322" w:rsidRPr="0065632F">
        <w:t>ed crime and corruption… where you find really hot-spots for wildlife trafficking, are also where you find the hot-spots f</w:t>
      </w:r>
      <w:r>
        <w:t>or corruption, and where organis</w:t>
      </w:r>
      <w:r w:rsidR="00F90322" w:rsidRPr="0065632F">
        <w:t xml:space="preserve">ed crime is really the big issue </w:t>
      </w:r>
      <w:r>
        <w:t>there</w:t>
      </w:r>
      <w:r w:rsidR="00F90322" w:rsidRPr="005B292F">
        <w:rPr>
          <w:rStyle w:val="FootnoteReference"/>
        </w:rPr>
        <w:footnoteReference w:id="215"/>
      </w:r>
      <w:r w:rsidR="00F90322" w:rsidRPr="0065632F">
        <w:t xml:space="preserve">. </w:t>
      </w:r>
    </w:p>
    <w:p w14:paraId="00931868" w14:textId="1A74EF48" w:rsidR="00F90322" w:rsidRPr="0065632F" w:rsidRDefault="00F90322" w:rsidP="00FC70E0">
      <w:pPr>
        <w:pStyle w:val="normal0"/>
        <w:spacing w:after="160" w:line="360" w:lineRule="auto"/>
        <w:jc w:val="both"/>
        <w:rPr>
          <w:rFonts w:ascii="Times New Roman" w:eastAsia="Cambria" w:hAnsi="Times New Roman" w:cs="Times New Roman"/>
        </w:rPr>
      </w:pPr>
      <w:r w:rsidRPr="0065632F">
        <w:rPr>
          <w:rFonts w:ascii="Times New Roman" w:eastAsia="Cambria" w:hAnsi="Times New Roman" w:cs="Times New Roman"/>
        </w:rPr>
        <w:t>In line with this, the dissolving of illegal caviar trade as a security issue at the EU policy level seems somewhat misguided. The identification of Romania and Bulgaria as geographic hotsp</w:t>
      </w:r>
      <w:r>
        <w:rPr>
          <w:rFonts w:ascii="Times New Roman" w:eastAsia="Cambria" w:hAnsi="Times New Roman" w:cs="Times New Roman"/>
        </w:rPr>
        <w:t xml:space="preserve">ots for caviar trafficking, combined with </w:t>
      </w:r>
      <w:r w:rsidR="008D6D7D">
        <w:rPr>
          <w:rFonts w:ascii="Times New Roman" w:eastAsia="Cambria" w:hAnsi="Times New Roman" w:cs="Times New Roman"/>
        </w:rPr>
        <w:t>indications that “</w:t>
      </w:r>
      <w:r w:rsidRPr="0065632F">
        <w:rPr>
          <w:rFonts w:ascii="Times New Roman" w:eastAsia="Cambria" w:hAnsi="Times New Roman" w:cs="Times New Roman"/>
        </w:rPr>
        <w:t>corruption is playing a stronger role in these countries than in other parts of Europe</w:t>
      </w:r>
      <w:r w:rsidR="008D6D7D">
        <w:rPr>
          <w:rFonts w:ascii="Times New Roman" w:eastAsia="Cambria" w:hAnsi="Times New Roman" w:cs="Times New Roman"/>
        </w:rPr>
        <w:t>”</w:t>
      </w:r>
      <w:r w:rsidRPr="005B292F">
        <w:rPr>
          <w:rStyle w:val="FootnoteReference"/>
        </w:rPr>
        <w:footnoteReference w:id="216"/>
      </w:r>
      <w:r w:rsidRPr="0065632F">
        <w:rPr>
          <w:rFonts w:ascii="Times New Roman" w:eastAsia="Cambria" w:hAnsi="Times New Roman" w:cs="Times New Roman"/>
        </w:rPr>
        <w:t>, would point to a like</w:t>
      </w:r>
      <w:r w:rsidR="008D6D7D">
        <w:rPr>
          <w:rFonts w:ascii="Times New Roman" w:eastAsia="Cambria" w:hAnsi="Times New Roman" w:cs="Times New Roman"/>
        </w:rPr>
        <w:t>lihood of caviar related-organis</w:t>
      </w:r>
      <w:r w:rsidRPr="0065632F">
        <w:rPr>
          <w:rFonts w:ascii="Times New Roman" w:eastAsia="Cambria" w:hAnsi="Times New Roman" w:cs="Times New Roman"/>
        </w:rPr>
        <w:t>ed crime posin</w:t>
      </w:r>
      <w:r w:rsidR="008D6D7D">
        <w:rPr>
          <w:rFonts w:ascii="Times New Roman" w:eastAsia="Cambria" w:hAnsi="Times New Roman" w:cs="Times New Roman"/>
        </w:rPr>
        <w:t>g a security issue in these EU Member S</w:t>
      </w:r>
      <w:r w:rsidRPr="0065632F">
        <w:rPr>
          <w:rFonts w:ascii="Times New Roman" w:eastAsia="Cambria" w:hAnsi="Times New Roman" w:cs="Times New Roman"/>
        </w:rPr>
        <w:t xml:space="preserve">tates. I argue that this is the case. </w:t>
      </w:r>
    </w:p>
    <w:p w14:paraId="1A216165" w14:textId="14F86470" w:rsidR="00F90322" w:rsidRDefault="00F90322" w:rsidP="00FC70E0">
      <w:pPr>
        <w:pStyle w:val="normal0"/>
        <w:spacing w:after="160" w:line="360" w:lineRule="auto"/>
        <w:jc w:val="both"/>
        <w:rPr>
          <w:rFonts w:ascii="Times New Roman" w:eastAsia="Cambria" w:hAnsi="Times New Roman" w:cs="Times New Roman"/>
        </w:rPr>
      </w:pPr>
      <w:r w:rsidRPr="0065632F">
        <w:rPr>
          <w:rFonts w:ascii="Times New Roman" w:eastAsia="Cambria" w:hAnsi="Times New Roman" w:cs="Times New Roman"/>
        </w:rPr>
        <w:tab/>
        <w:t xml:space="preserve"> However, despite assurances that the EU is taking a broader view of security, it appears the high-level institutional priorities are aligned with tackling more spectacular examples of the wild</w:t>
      </w:r>
      <w:r w:rsidR="002E2512">
        <w:rPr>
          <w:rFonts w:ascii="Times New Roman" w:eastAsia="Cambria" w:hAnsi="Times New Roman" w:cs="Times New Roman"/>
        </w:rPr>
        <w:t>life trafficking-security nexus</w:t>
      </w:r>
      <w:r w:rsidRPr="0065632F">
        <w:rPr>
          <w:rFonts w:ascii="Times New Roman" w:eastAsia="Cambria" w:hAnsi="Times New Roman" w:cs="Times New Roman"/>
        </w:rPr>
        <w:t>. This is in part shaped by the popular</w:t>
      </w:r>
      <w:r w:rsidR="008D6D7D">
        <w:rPr>
          <w:rFonts w:ascii="Times New Roman" w:eastAsia="Cambria" w:hAnsi="Times New Roman" w:cs="Times New Roman"/>
        </w:rPr>
        <w:t xml:space="preserve"> concern for charismatic megafauna</w:t>
      </w:r>
      <w:r w:rsidRPr="0065632F">
        <w:rPr>
          <w:rFonts w:ascii="Times New Roman" w:eastAsia="Cambria" w:hAnsi="Times New Roman" w:cs="Times New Roman"/>
        </w:rPr>
        <w:t xml:space="preserve"> </w:t>
      </w:r>
      <w:r w:rsidR="002E2512">
        <w:rPr>
          <w:rFonts w:ascii="Times New Roman" w:eastAsia="Cambria" w:hAnsi="Times New Roman" w:cs="Times New Roman"/>
        </w:rPr>
        <w:t xml:space="preserve">including rhinos, elephants and tigers; </w:t>
      </w:r>
      <w:r w:rsidRPr="0065632F">
        <w:rPr>
          <w:rFonts w:ascii="Times New Roman" w:eastAsia="Cambria" w:hAnsi="Times New Roman" w:cs="Times New Roman"/>
        </w:rPr>
        <w:t>and widespread media reporting focused upon the exponential increase</w:t>
      </w:r>
      <w:r w:rsidR="002E2512">
        <w:rPr>
          <w:rFonts w:ascii="Times New Roman" w:eastAsia="Cambria" w:hAnsi="Times New Roman" w:cs="Times New Roman"/>
        </w:rPr>
        <w:t xml:space="preserve"> in poaching of these species over the last decade</w:t>
      </w:r>
      <w:r w:rsidRPr="0065632F">
        <w:rPr>
          <w:rFonts w:ascii="Times New Roman" w:eastAsia="Cambria" w:hAnsi="Times New Roman" w:cs="Times New Roman"/>
        </w:rPr>
        <w:t>. Further, high-profile polemical debates about the involvement of armed-militias and terr</w:t>
      </w:r>
      <w:r w:rsidR="002E2512">
        <w:rPr>
          <w:rFonts w:ascii="Times New Roman" w:eastAsia="Cambria" w:hAnsi="Times New Roman" w:cs="Times New Roman"/>
        </w:rPr>
        <w:t xml:space="preserve">orist groups in poaching, </w:t>
      </w:r>
      <w:r w:rsidRPr="0065632F">
        <w:rPr>
          <w:rFonts w:ascii="Times New Roman" w:eastAsia="Cambria" w:hAnsi="Times New Roman" w:cs="Times New Roman"/>
        </w:rPr>
        <w:t>has placed ivory</w:t>
      </w:r>
      <w:r w:rsidR="002E2512">
        <w:rPr>
          <w:rFonts w:ascii="Times New Roman" w:eastAsia="Cambria" w:hAnsi="Times New Roman" w:cs="Times New Roman"/>
        </w:rPr>
        <w:t xml:space="preserve"> and rhino horn</w:t>
      </w:r>
      <w:r w:rsidRPr="0065632F">
        <w:rPr>
          <w:rFonts w:ascii="Times New Roman" w:eastAsia="Cambria" w:hAnsi="Times New Roman" w:cs="Times New Roman"/>
        </w:rPr>
        <w:t xml:space="preserve"> firmly on the </w:t>
      </w:r>
      <w:r w:rsidR="008D6D7D">
        <w:rPr>
          <w:rFonts w:ascii="Times New Roman" w:eastAsia="Cambria" w:hAnsi="Times New Roman" w:cs="Times New Roman"/>
        </w:rPr>
        <w:t>geo</w:t>
      </w:r>
      <w:r w:rsidRPr="0065632F">
        <w:rPr>
          <w:rFonts w:ascii="Times New Roman" w:eastAsia="Cambria" w:hAnsi="Times New Roman" w:cs="Times New Roman"/>
        </w:rPr>
        <w:t>political agenda</w:t>
      </w:r>
      <w:r w:rsidR="00686D7B">
        <w:rPr>
          <w:rFonts w:ascii="Times New Roman" w:eastAsia="Cambria" w:hAnsi="Times New Roman" w:cs="Times New Roman"/>
        </w:rPr>
        <w:t xml:space="preserve"> </w:t>
      </w:r>
      <w:r w:rsidR="00686D7B">
        <w:rPr>
          <w:rFonts w:ascii="Times New Roman" w:eastAsia="Cambria" w:hAnsi="Times New Roman" w:cs="Times New Roman"/>
        </w:rPr>
        <w:fldChar w:fldCharType="begin" w:fldLock="1"/>
      </w:r>
      <w:r w:rsidR="00D74A11">
        <w:rPr>
          <w:rFonts w:ascii="Times New Roman" w:eastAsia="Cambria" w:hAnsi="Times New Roman" w:cs="Times New Roman"/>
        </w:rPr>
        <w:instrText>ADDIN CSL_CITATION {"citationItems":[{"id":"ITEM-1","itemData":{"ISBN":"9781783476237","author":[{"dropping-particle":"","family":"Elliott","given":"Lorraine","non-dropping-particle":"","parse-names":false,"suffix":""}],"container-title":"Handbook of Transnational Environmental Crime","id":"ITEM-1","issued":{"date-parts":[["2016"]]},"page":"68-87","title":"The securitization of transnational environmental crime and the militarization of conservation","type":"article-journal"},"uris":["http://www.mendeley.com/documents/?uuid=adb082d6-3aa0-4d85-b4fd-91b6d4a8bb70"]}],"mendeley":{"formattedCitation":"(Elliott, 2016)","plainTextFormattedCitation":"(Elliott, 2016)","previouslyFormattedCitation":"(Elliott, 2016)"},"properties":{"noteIndex":0},"schema":"https://github.com/citation-style-language/schema/raw/master/csl-citation.json"}</w:instrText>
      </w:r>
      <w:r w:rsidR="00686D7B">
        <w:rPr>
          <w:rFonts w:ascii="Times New Roman" w:eastAsia="Cambria" w:hAnsi="Times New Roman" w:cs="Times New Roman"/>
        </w:rPr>
        <w:fldChar w:fldCharType="separate"/>
      </w:r>
      <w:r w:rsidR="00686D7B" w:rsidRPr="00686D7B">
        <w:rPr>
          <w:rFonts w:ascii="Times New Roman" w:eastAsia="Cambria" w:hAnsi="Times New Roman" w:cs="Times New Roman"/>
          <w:noProof/>
        </w:rPr>
        <w:t>(Elliott, 2016)</w:t>
      </w:r>
      <w:r w:rsidR="00686D7B">
        <w:rPr>
          <w:rFonts w:ascii="Times New Roman" w:eastAsia="Cambria" w:hAnsi="Times New Roman" w:cs="Times New Roman"/>
        </w:rPr>
        <w:fldChar w:fldCharType="end"/>
      </w:r>
      <w:r w:rsidRPr="0065632F">
        <w:rPr>
          <w:rFonts w:ascii="Times New Roman" w:eastAsia="Cambria" w:hAnsi="Times New Roman" w:cs="Times New Roman"/>
        </w:rPr>
        <w:t>. In contrast, sturgeon are hardly well-known species</w:t>
      </w:r>
      <w:r>
        <w:rPr>
          <w:rFonts w:ascii="Times New Roman" w:eastAsia="Cambria" w:hAnsi="Times New Roman" w:cs="Times New Roman"/>
        </w:rPr>
        <w:t xml:space="preserve">, </w:t>
      </w:r>
      <w:r w:rsidRPr="0065632F">
        <w:rPr>
          <w:rFonts w:ascii="Times New Roman" w:eastAsia="Cambria" w:hAnsi="Times New Roman" w:cs="Times New Roman"/>
        </w:rPr>
        <w:t xml:space="preserve">and they do not garner public attention or affection in the same way as other species: </w:t>
      </w:r>
    </w:p>
    <w:p w14:paraId="6C025473" w14:textId="77777777" w:rsidR="00FC70E0" w:rsidRPr="0065632F" w:rsidRDefault="00FC70E0" w:rsidP="00FC70E0">
      <w:pPr>
        <w:pStyle w:val="normal0"/>
        <w:spacing w:after="160" w:line="360" w:lineRule="auto"/>
        <w:jc w:val="both"/>
        <w:rPr>
          <w:rFonts w:ascii="Times New Roman" w:eastAsia="Cambria" w:hAnsi="Times New Roman" w:cs="Times New Roman"/>
        </w:rPr>
      </w:pPr>
    </w:p>
    <w:p w14:paraId="0DA227AA" w14:textId="4DBD6262" w:rsidR="00F90322" w:rsidRPr="0065632F" w:rsidRDefault="00F90322" w:rsidP="00FC70E0">
      <w:pPr>
        <w:pStyle w:val="Quote"/>
      </w:pPr>
      <w:r w:rsidRPr="0065632F">
        <w:lastRenderedPageBreak/>
        <w:t xml:space="preserve">Sturgeon just aren’t sexy. Here’s a fish that’s facing just as severe threats as rhinos, elephants or whatever, and yet there’s a very limited number of </w:t>
      </w:r>
      <w:r w:rsidR="008D6D7D">
        <w:t>NGOs paying this any attention. And certainly the public don</w:t>
      </w:r>
      <w:r w:rsidRPr="0065632F">
        <w:t>’t give it any attention. And that’s understandable. Here you are, producing something for a luxury market, that’s not going to excite the public. That’s not going to capture their im</w:t>
      </w:r>
      <w:r w:rsidR="002E2512">
        <w:t>agination and say ‘O</w:t>
      </w:r>
      <w:r w:rsidR="008D6D7D">
        <w:t>h God, yeah! L</w:t>
      </w:r>
      <w:r w:rsidRPr="0065632F">
        <w:t>et’s go out and march down Whitehall on behalf of sturgeons!’</w:t>
      </w:r>
      <w:r w:rsidRPr="005B292F">
        <w:rPr>
          <w:rStyle w:val="FootnoteReference"/>
        </w:rPr>
        <w:footnoteReference w:id="217"/>
      </w:r>
      <w:r w:rsidRPr="0065632F">
        <w:t xml:space="preserve"> </w:t>
      </w:r>
    </w:p>
    <w:p w14:paraId="20D856ED" w14:textId="77777777" w:rsidR="00F90322" w:rsidRPr="0065632F" w:rsidRDefault="00F90322" w:rsidP="00F90322">
      <w:pPr>
        <w:pStyle w:val="normal0"/>
        <w:spacing w:line="360" w:lineRule="auto"/>
        <w:ind w:firstLine="720"/>
        <w:jc w:val="center"/>
        <w:rPr>
          <w:rFonts w:ascii="Times New Roman" w:eastAsia="Cambria" w:hAnsi="Times New Roman" w:cs="Times New Roman"/>
        </w:rPr>
      </w:pPr>
    </w:p>
    <w:p w14:paraId="268B79BC" w14:textId="0A535FFB" w:rsidR="00F90322" w:rsidRPr="0065632F" w:rsidRDefault="00F90322" w:rsidP="00F90322">
      <w:pPr>
        <w:pStyle w:val="normal0"/>
        <w:spacing w:line="360" w:lineRule="auto"/>
        <w:jc w:val="both"/>
        <w:rPr>
          <w:rFonts w:ascii="Times New Roman" w:eastAsia="Cambria" w:hAnsi="Times New Roman" w:cs="Times New Roman"/>
        </w:rPr>
      </w:pPr>
      <w:r w:rsidRPr="0065632F">
        <w:rPr>
          <w:rFonts w:ascii="Times New Roman" w:eastAsia="Cambria" w:hAnsi="Times New Roman" w:cs="Times New Roman"/>
        </w:rPr>
        <w:t xml:space="preserve">Thus, </w:t>
      </w:r>
      <w:r w:rsidR="00FB0CEF">
        <w:rPr>
          <w:rFonts w:ascii="Times New Roman" w:eastAsia="Cambria" w:hAnsi="Times New Roman" w:cs="Times New Roman"/>
        </w:rPr>
        <w:t xml:space="preserve">EU </w:t>
      </w:r>
      <w:r w:rsidRPr="0065632F">
        <w:rPr>
          <w:rFonts w:ascii="Times New Roman" w:eastAsia="Cambria" w:hAnsi="Times New Roman" w:cs="Times New Roman"/>
        </w:rPr>
        <w:t>institutional energy and resources are directed at ta</w:t>
      </w:r>
      <w:r>
        <w:rPr>
          <w:rFonts w:ascii="Times New Roman" w:eastAsia="Cambria" w:hAnsi="Times New Roman" w:cs="Times New Roman"/>
        </w:rPr>
        <w:t>ckling</w:t>
      </w:r>
      <w:r w:rsidRPr="0065632F">
        <w:rPr>
          <w:rFonts w:ascii="Times New Roman" w:eastAsia="Cambria" w:hAnsi="Times New Roman" w:cs="Times New Roman"/>
        </w:rPr>
        <w:t xml:space="preserve"> more high-profile examples of the wildlife trafficking-security nexus, particularly in Africa</w:t>
      </w:r>
      <w:r w:rsidR="00FB0CEF" w:rsidRPr="005B292F">
        <w:rPr>
          <w:rStyle w:val="FootnoteReference"/>
        </w:rPr>
        <w:footnoteReference w:id="218"/>
      </w:r>
      <w:r w:rsidRPr="0065632F">
        <w:rPr>
          <w:rFonts w:ascii="Times New Roman" w:eastAsia="Cambria" w:hAnsi="Times New Roman" w:cs="Times New Roman"/>
        </w:rPr>
        <w:t xml:space="preserve">. Michael expressed his exasperation about changing policy directions, and a focus on a particular </w:t>
      </w:r>
      <w:r w:rsidRPr="002E2512">
        <w:rPr>
          <w:rFonts w:ascii="Times New Roman" w:eastAsia="Cambria" w:hAnsi="Times New Roman" w:cs="Times New Roman"/>
          <w:i/>
        </w:rPr>
        <w:t>type</w:t>
      </w:r>
      <w:r w:rsidR="002E2512">
        <w:rPr>
          <w:rFonts w:ascii="Times New Roman" w:eastAsia="Cambria" w:hAnsi="Times New Roman" w:cs="Times New Roman"/>
        </w:rPr>
        <w:t xml:space="preserve"> of security threat</w:t>
      </w:r>
      <w:r w:rsidR="00E6146A">
        <w:rPr>
          <w:rFonts w:ascii="Times New Roman" w:eastAsia="Cambria" w:hAnsi="Times New Roman" w:cs="Times New Roman"/>
        </w:rPr>
        <w:t>, saying “</w:t>
      </w:r>
      <w:r>
        <w:rPr>
          <w:rFonts w:ascii="Times New Roman" w:eastAsia="Cambria" w:hAnsi="Times New Roman" w:cs="Times New Roman"/>
        </w:rPr>
        <w:t>t</w:t>
      </w:r>
      <w:r w:rsidRPr="0065632F">
        <w:rPr>
          <w:rFonts w:ascii="Times New Roman" w:eastAsia="Cambria" w:hAnsi="Times New Roman" w:cs="Times New Roman"/>
        </w:rPr>
        <w:t>his is part of the problem, the focus has simply come off that species [sturgeon]. The eye is off the ball. Goodness only knows what is taking place</w:t>
      </w:r>
      <w:r w:rsidR="00E6146A">
        <w:rPr>
          <w:rFonts w:ascii="Times New Roman" w:eastAsia="Cambria" w:hAnsi="Times New Roman" w:cs="Times New Roman"/>
        </w:rPr>
        <w:t>”</w:t>
      </w:r>
      <w:r w:rsidRPr="005B292F">
        <w:rPr>
          <w:rStyle w:val="FootnoteReference"/>
        </w:rPr>
        <w:footnoteReference w:id="219"/>
      </w:r>
      <w:r w:rsidRPr="0065632F">
        <w:rPr>
          <w:rFonts w:ascii="Times New Roman" w:eastAsia="Cambria" w:hAnsi="Times New Roman" w:cs="Times New Roman"/>
        </w:rPr>
        <w:t xml:space="preserve">. </w:t>
      </w:r>
    </w:p>
    <w:p w14:paraId="4FC9E2E5" w14:textId="6CA1EFED" w:rsidR="00F90322" w:rsidRPr="0065632F" w:rsidRDefault="00F90322" w:rsidP="00F90322">
      <w:pPr>
        <w:pStyle w:val="normal0"/>
        <w:spacing w:line="360" w:lineRule="auto"/>
        <w:ind w:firstLine="720"/>
        <w:jc w:val="both"/>
        <w:rPr>
          <w:rFonts w:ascii="Times New Roman" w:eastAsia="Cambria" w:hAnsi="Times New Roman" w:cs="Times New Roman"/>
        </w:rPr>
      </w:pPr>
      <w:r w:rsidRPr="0065632F">
        <w:rPr>
          <w:rFonts w:ascii="Times New Roman" w:eastAsia="Cambria" w:hAnsi="Times New Roman" w:cs="Times New Roman"/>
        </w:rPr>
        <w:t xml:space="preserve">In line with </w:t>
      </w:r>
      <w:r w:rsidR="002E2512">
        <w:rPr>
          <w:rFonts w:ascii="Times New Roman" w:eastAsia="Cambria" w:hAnsi="Times New Roman" w:cs="Times New Roman"/>
        </w:rPr>
        <w:t>this caviar producer Oliya,</w:t>
      </w:r>
      <w:r w:rsidRPr="0065632F">
        <w:rPr>
          <w:rFonts w:ascii="Times New Roman" w:eastAsia="Cambria" w:hAnsi="Times New Roman" w:cs="Times New Roman"/>
        </w:rPr>
        <w:t xml:space="preserve"> criticised how the centres of EU policymaking in Brussels and the Hague, posses </w:t>
      </w:r>
      <w:r>
        <w:rPr>
          <w:rFonts w:ascii="Times New Roman" w:eastAsia="Cambria" w:hAnsi="Times New Roman" w:cs="Times New Roman"/>
        </w:rPr>
        <w:t>a power to define and shape policy and security</w:t>
      </w:r>
      <w:r w:rsidRPr="0065632F">
        <w:rPr>
          <w:rFonts w:ascii="Times New Roman" w:eastAsia="Cambria" w:hAnsi="Times New Roman" w:cs="Times New Roman"/>
        </w:rPr>
        <w:t xml:space="preserve"> priorities whilst remaining geographically removed from the on-the-gro</w:t>
      </w:r>
      <w:r w:rsidR="00E6146A">
        <w:rPr>
          <w:rFonts w:ascii="Times New Roman" w:eastAsia="Cambria" w:hAnsi="Times New Roman" w:cs="Times New Roman"/>
        </w:rPr>
        <w:t>und reality. She stressed that “</w:t>
      </w:r>
      <w:r w:rsidRPr="008A3B85">
        <w:rPr>
          <w:rFonts w:ascii="Times New Roman" w:eastAsia="Cambria" w:hAnsi="Times New Roman" w:cs="Times New Roman"/>
        </w:rPr>
        <w:t>the politicians, the people who work in the office, they see nothing</w:t>
      </w:r>
      <w:r w:rsidR="00E6146A">
        <w:rPr>
          <w:rFonts w:ascii="Times New Roman" w:eastAsia="Cambria" w:hAnsi="Times New Roman" w:cs="Times New Roman"/>
        </w:rPr>
        <w:t>”</w:t>
      </w:r>
      <w:r w:rsidRPr="005B292F">
        <w:rPr>
          <w:rStyle w:val="FootnoteReference"/>
        </w:rPr>
        <w:footnoteReference w:id="220"/>
      </w:r>
      <w:r w:rsidRPr="0065632F">
        <w:rPr>
          <w:rFonts w:ascii="Times New Roman" w:eastAsia="Cambria" w:hAnsi="Times New Roman" w:cs="Times New Roman"/>
        </w:rPr>
        <w:t xml:space="preserve"> - implying that policymakers have neglected </w:t>
      </w:r>
      <w:r w:rsidR="00E6146A">
        <w:rPr>
          <w:rFonts w:ascii="Times New Roman" w:eastAsia="Cambria" w:hAnsi="Times New Roman" w:cs="Times New Roman"/>
        </w:rPr>
        <w:t>assessing the changing dynamics</w:t>
      </w:r>
      <w:r w:rsidRPr="0065632F">
        <w:rPr>
          <w:rFonts w:ascii="Times New Roman" w:eastAsia="Cambria" w:hAnsi="Times New Roman" w:cs="Times New Roman"/>
        </w:rPr>
        <w:t xml:space="preserve"> of illegal caviar trade and its security implications within the EU. </w:t>
      </w:r>
      <w:r w:rsidR="002E2512">
        <w:rPr>
          <w:rFonts w:ascii="Times New Roman" w:eastAsia="Cambria" w:hAnsi="Times New Roman" w:cs="Times New Roman"/>
        </w:rPr>
        <w:t xml:space="preserve">NGO </w:t>
      </w:r>
      <w:r w:rsidRPr="0065632F">
        <w:rPr>
          <w:rFonts w:ascii="Times New Roman" w:eastAsia="Cambria" w:hAnsi="Times New Roman" w:cs="Times New Roman"/>
        </w:rPr>
        <w:t>representative</w:t>
      </w:r>
      <w:r w:rsidR="002E2512">
        <w:rPr>
          <w:rFonts w:ascii="Times New Roman" w:eastAsia="Cambria" w:hAnsi="Times New Roman" w:cs="Times New Roman"/>
        </w:rPr>
        <w:t xml:space="preserve"> Sigrid</w:t>
      </w:r>
      <w:r w:rsidRPr="0065632F">
        <w:rPr>
          <w:rFonts w:ascii="Times New Roman" w:eastAsia="Cambria" w:hAnsi="Times New Roman" w:cs="Times New Roman"/>
        </w:rPr>
        <w:t xml:space="preserve"> also echoed this, expressing her sense that EU institutions are reluctant to scratch the surface of caviar trade for fear of unearthing complex issues with far-r</w:t>
      </w:r>
      <w:r w:rsidR="00E6146A">
        <w:rPr>
          <w:rFonts w:ascii="Times New Roman" w:eastAsia="Cambria" w:hAnsi="Times New Roman" w:cs="Times New Roman"/>
        </w:rPr>
        <w:t>eaching security implications: “</w:t>
      </w:r>
      <w:r w:rsidRPr="0065632F">
        <w:rPr>
          <w:rFonts w:ascii="Times New Roman" w:eastAsia="Cambria" w:hAnsi="Times New Roman" w:cs="Times New Roman"/>
        </w:rPr>
        <w:t>They just don’t want to have these pr</w:t>
      </w:r>
      <w:r w:rsidR="00E6146A">
        <w:rPr>
          <w:rFonts w:ascii="Times New Roman" w:eastAsia="Cambria" w:hAnsi="Times New Roman" w:cs="Times New Roman"/>
        </w:rPr>
        <w:t>oblems and are like the</w:t>
      </w:r>
      <w:r w:rsidR="008169D1">
        <w:rPr>
          <w:rFonts w:ascii="Times New Roman" w:eastAsia="Cambria" w:hAnsi="Times New Roman" w:cs="Times New Roman"/>
        </w:rPr>
        <w:t xml:space="preserve"> three wise</w:t>
      </w:r>
      <w:r w:rsidR="00E6146A">
        <w:rPr>
          <w:rFonts w:ascii="Times New Roman" w:eastAsia="Cambria" w:hAnsi="Times New Roman" w:cs="Times New Roman"/>
        </w:rPr>
        <w:t xml:space="preserve"> monkeys”</w:t>
      </w:r>
      <w:r w:rsidRPr="0065632F">
        <w:rPr>
          <w:rFonts w:ascii="Times New Roman" w:eastAsia="Cambria" w:hAnsi="Times New Roman" w:cs="Times New Roman"/>
        </w:rPr>
        <w:t xml:space="preserve"> [gestured hear no evil, see no evil, speak no evil]</w:t>
      </w:r>
      <w:r w:rsidRPr="005B292F">
        <w:rPr>
          <w:rStyle w:val="FootnoteReference"/>
        </w:rPr>
        <w:footnoteReference w:id="221"/>
      </w:r>
      <w:r w:rsidRPr="0065632F">
        <w:rPr>
          <w:rFonts w:ascii="Times New Roman" w:eastAsia="Cambria" w:hAnsi="Times New Roman" w:cs="Times New Roman"/>
        </w:rPr>
        <w:t xml:space="preserve"> </w:t>
      </w:r>
    </w:p>
    <w:p w14:paraId="0F12593A" w14:textId="048588BE" w:rsidR="00F90322" w:rsidRDefault="00F90322" w:rsidP="00C536A9">
      <w:pPr>
        <w:pStyle w:val="normal0"/>
        <w:spacing w:line="360" w:lineRule="auto"/>
        <w:ind w:firstLine="720"/>
        <w:jc w:val="both"/>
        <w:rPr>
          <w:rFonts w:ascii="Times New Roman" w:eastAsia="Cambria" w:hAnsi="Times New Roman" w:cs="Times New Roman"/>
        </w:rPr>
      </w:pPr>
      <w:r>
        <w:rPr>
          <w:rFonts w:ascii="Times New Roman" w:eastAsia="Cambria" w:hAnsi="Times New Roman" w:cs="Times New Roman"/>
        </w:rPr>
        <w:t>Thus</w:t>
      </w:r>
      <w:r w:rsidR="002E2512">
        <w:rPr>
          <w:rFonts w:ascii="Times New Roman" w:eastAsia="Cambria" w:hAnsi="Times New Roman" w:cs="Times New Roman"/>
        </w:rPr>
        <w:t>,</w:t>
      </w:r>
      <w:r>
        <w:rPr>
          <w:rFonts w:ascii="Times New Roman" w:eastAsia="Cambria" w:hAnsi="Times New Roman" w:cs="Times New Roman"/>
        </w:rPr>
        <w:t xml:space="preserve"> I argue that the</w:t>
      </w:r>
      <w:r w:rsidRPr="0065632F">
        <w:rPr>
          <w:rFonts w:ascii="Times New Roman" w:eastAsia="Cambria" w:hAnsi="Times New Roman" w:cs="Times New Roman"/>
        </w:rPr>
        <w:t xml:space="preserve"> prevailing belief that aquaculture has ‘replaced’ the issue of illegal caviar trade and associated criminality, proves to be a powerful ‘desecuritizing’ policy narrative that is reinforced by e</w:t>
      </w:r>
      <w:r>
        <w:rPr>
          <w:rFonts w:ascii="Times New Roman" w:eastAsia="Cambria" w:hAnsi="Times New Roman" w:cs="Times New Roman"/>
        </w:rPr>
        <w:t>vidence of declining seizures of</w:t>
      </w:r>
      <w:r w:rsidR="008169D1">
        <w:rPr>
          <w:rFonts w:ascii="Times New Roman" w:eastAsia="Cambria" w:hAnsi="Times New Roman" w:cs="Times New Roman"/>
        </w:rPr>
        <w:t xml:space="preserve"> caviar in the EU. This aligns</w:t>
      </w:r>
      <w:r>
        <w:rPr>
          <w:rFonts w:ascii="Times New Roman" w:eastAsia="Cambria" w:hAnsi="Times New Roman" w:cs="Times New Roman"/>
        </w:rPr>
        <w:t xml:space="preserve"> with an institutional focus on tackling m</w:t>
      </w:r>
      <w:r w:rsidR="002E2512">
        <w:rPr>
          <w:rFonts w:ascii="Times New Roman" w:eastAsia="Cambria" w:hAnsi="Times New Roman" w:cs="Times New Roman"/>
        </w:rPr>
        <w:t>ore spectacular examples of the wildlife trafficking-</w:t>
      </w:r>
      <w:r>
        <w:rPr>
          <w:rFonts w:ascii="Times New Roman" w:eastAsia="Cambria" w:hAnsi="Times New Roman" w:cs="Times New Roman"/>
        </w:rPr>
        <w:t>security</w:t>
      </w:r>
      <w:r w:rsidR="002E2512">
        <w:rPr>
          <w:rFonts w:ascii="Times New Roman" w:eastAsia="Cambria" w:hAnsi="Times New Roman" w:cs="Times New Roman"/>
        </w:rPr>
        <w:t xml:space="preserve"> nexus</w:t>
      </w:r>
      <w:r>
        <w:rPr>
          <w:rFonts w:ascii="Times New Roman" w:eastAsia="Cambria" w:hAnsi="Times New Roman" w:cs="Times New Roman"/>
        </w:rPr>
        <w:t>; and as a result</w:t>
      </w:r>
      <w:r w:rsidR="002E2512">
        <w:rPr>
          <w:rFonts w:ascii="Times New Roman" w:eastAsia="Cambria" w:hAnsi="Times New Roman" w:cs="Times New Roman"/>
        </w:rPr>
        <w:t>,</w:t>
      </w:r>
      <w:r>
        <w:rPr>
          <w:rFonts w:ascii="Times New Roman" w:eastAsia="Cambria" w:hAnsi="Times New Roman" w:cs="Times New Roman"/>
        </w:rPr>
        <w:t xml:space="preserve"> the contemporary security implications of illegal caviar trade in the EU are not in the spotlight or high on the policy agenda. </w:t>
      </w:r>
      <w:r w:rsidR="00C536A9">
        <w:rPr>
          <w:rFonts w:ascii="Times New Roman" w:eastAsia="Cambria" w:hAnsi="Times New Roman" w:cs="Times New Roman"/>
        </w:rPr>
        <w:t xml:space="preserve">In fact, the implementation and expansion of EU caviar trade regulations has catalysed a discursive ‘dissolving’ of sturgeon crimes as a security threat in the EU. This results in the issue overwhelmingly being framed at the EU policy level as a localised conservation issue, rather than an organised crime and security issue which implicates all EU member states </w:t>
      </w:r>
      <w:r w:rsidRPr="0065632F">
        <w:rPr>
          <w:rFonts w:ascii="Times New Roman" w:eastAsia="Cambria" w:hAnsi="Times New Roman" w:cs="Times New Roman"/>
        </w:rPr>
        <w:t xml:space="preserve">However, </w:t>
      </w:r>
      <w:r w:rsidR="00C536A9">
        <w:rPr>
          <w:rFonts w:ascii="Times New Roman" w:eastAsia="Cambria" w:hAnsi="Times New Roman" w:cs="Times New Roman"/>
        </w:rPr>
        <w:t xml:space="preserve">despite declining seizures, and </w:t>
      </w:r>
      <w:r w:rsidR="002E2512">
        <w:rPr>
          <w:rFonts w:ascii="Times New Roman" w:eastAsia="Cambria" w:hAnsi="Times New Roman" w:cs="Times New Roman"/>
        </w:rPr>
        <w:t xml:space="preserve">even if the EU policy agenda overlooks the security dimensions of illegal caviar trade, </w:t>
      </w:r>
      <w:r w:rsidR="00C536A9">
        <w:rPr>
          <w:rFonts w:ascii="Times New Roman" w:eastAsia="Cambria" w:hAnsi="Times New Roman" w:cs="Times New Roman"/>
        </w:rPr>
        <w:t xml:space="preserve">the reality is that EU illegal caviar trade continues to pose security threats. </w:t>
      </w:r>
    </w:p>
    <w:p w14:paraId="4DF5C2C3" w14:textId="11DB91BB" w:rsidR="00F90322" w:rsidRDefault="00F90322" w:rsidP="00F90322">
      <w:pPr>
        <w:pStyle w:val="normal0"/>
        <w:spacing w:line="360" w:lineRule="auto"/>
        <w:ind w:firstLine="720"/>
        <w:jc w:val="both"/>
        <w:rPr>
          <w:rFonts w:ascii="Times New Roman" w:eastAsia="Cambria" w:hAnsi="Times New Roman" w:cs="Times New Roman"/>
        </w:rPr>
      </w:pPr>
      <w:r w:rsidRPr="00F82564">
        <w:rPr>
          <w:rFonts w:ascii="Times New Roman" w:eastAsia="Cambria" w:hAnsi="Times New Roman" w:cs="Times New Roman"/>
        </w:rPr>
        <w:lastRenderedPageBreak/>
        <w:t>It was evident through my fieldwork encounters that the on-the-ground security dynamics associated with caviar trade and sturgeon conservation</w:t>
      </w:r>
      <w:r>
        <w:rPr>
          <w:rFonts w:ascii="Times New Roman" w:eastAsia="Cambria" w:hAnsi="Times New Roman" w:cs="Times New Roman"/>
        </w:rPr>
        <w:t xml:space="preserve"> in sturgeon range states</w:t>
      </w:r>
      <w:r w:rsidRPr="00F82564">
        <w:rPr>
          <w:rFonts w:ascii="Times New Roman" w:eastAsia="Cambria" w:hAnsi="Times New Roman" w:cs="Times New Roman"/>
        </w:rPr>
        <w:t>, were very different to the pic</w:t>
      </w:r>
      <w:r>
        <w:rPr>
          <w:rFonts w:ascii="Times New Roman" w:eastAsia="Cambria" w:hAnsi="Times New Roman" w:cs="Times New Roman"/>
        </w:rPr>
        <w:t>ture portrayed by</w:t>
      </w:r>
      <w:r w:rsidR="00C536A9">
        <w:rPr>
          <w:rFonts w:ascii="Times New Roman" w:eastAsia="Cambria" w:hAnsi="Times New Roman" w:cs="Times New Roman"/>
        </w:rPr>
        <w:t xml:space="preserve"> dominant</w:t>
      </w:r>
      <w:r>
        <w:rPr>
          <w:rFonts w:ascii="Times New Roman" w:eastAsia="Cambria" w:hAnsi="Times New Roman" w:cs="Times New Roman"/>
        </w:rPr>
        <w:t xml:space="preserve"> EU narratives. This points to the contested geopolitics of the securitization of wildlife trafficking in the EU. Through examining gaps and grey areas in caviar trade regulations, I show how existing security issues have evolved, and new security issues have emerged in Romania. </w:t>
      </w:r>
      <w:r w:rsidRPr="00F82564">
        <w:rPr>
          <w:rFonts w:ascii="Times New Roman" w:eastAsia="Cambria" w:hAnsi="Times New Roman" w:cs="Times New Roman"/>
        </w:rPr>
        <w:t xml:space="preserve">However, I make the argument that although a number of contrasting security actors and narratives exist, typically they do not have the power to challenge hegemonic </w:t>
      </w:r>
      <w:r>
        <w:rPr>
          <w:rFonts w:ascii="Times New Roman" w:eastAsia="Cambria" w:hAnsi="Times New Roman" w:cs="Times New Roman"/>
        </w:rPr>
        <w:t xml:space="preserve">EU </w:t>
      </w:r>
      <w:r w:rsidRPr="00F82564">
        <w:rPr>
          <w:rFonts w:ascii="Times New Roman" w:eastAsia="Cambria" w:hAnsi="Times New Roman" w:cs="Times New Roman"/>
        </w:rPr>
        <w:t xml:space="preserve">security portrayals, and only certain security framings are acted upon. </w:t>
      </w:r>
    </w:p>
    <w:p w14:paraId="68FDC446" w14:textId="77777777" w:rsidR="00F90322" w:rsidRPr="009849EC" w:rsidRDefault="00F90322" w:rsidP="00F90322">
      <w:pPr>
        <w:pStyle w:val="Heading2"/>
        <w:rPr>
          <w:vertAlign w:val="superscript"/>
        </w:rPr>
      </w:pPr>
    </w:p>
    <w:p w14:paraId="6A5F9861" w14:textId="77777777" w:rsidR="00F90322" w:rsidRPr="00FE14D7" w:rsidRDefault="00F90322" w:rsidP="00FC70E0">
      <w:pPr>
        <w:pStyle w:val="Heading2"/>
      </w:pPr>
      <w:bookmarkStart w:id="89" w:name="_Toc453224246"/>
      <w:r w:rsidRPr="00FE14D7">
        <w:t>7.2 Contested Securities: evolving security threats in sturgeon range states</w:t>
      </w:r>
      <w:bookmarkEnd w:id="89"/>
    </w:p>
    <w:p w14:paraId="7065B11B" w14:textId="593D49BC" w:rsidR="00F90322" w:rsidRPr="00A16312" w:rsidRDefault="00F90322" w:rsidP="00FC70E0">
      <w:pPr>
        <w:pStyle w:val="normal0"/>
        <w:spacing w:after="160" w:line="360" w:lineRule="auto"/>
        <w:jc w:val="both"/>
        <w:rPr>
          <w:rFonts w:ascii="Times New Roman" w:eastAsia="Cambria" w:hAnsi="Times New Roman" w:cs="Times New Roman"/>
        </w:rPr>
      </w:pPr>
      <w:r>
        <w:rPr>
          <w:rFonts w:ascii="Times New Roman" w:eastAsia="Cambria" w:hAnsi="Times New Roman" w:cs="Times New Roman"/>
        </w:rPr>
        <w:t>C</w:t>
      </w:r>
      <w:r w:rsidRPr="00A16312">
        <w:rPr>
          <w:rFonts w:ascii="Times New Roman" w:eastAsia="Cambria" w:hAnsi="Times New Roman" w:cs="Times New Roman"/>
        </w:rPr>
        <w:t xml:space="preserve">aviar trade regulations have gaps and grey areas in design and implementation that have shifted how sturgeon crimes take place in the EU, and in particular in sturgeon range states such as Romania. I demonstrate how these shifting features of illegal caviar trade in sturgeon range states have security implications that are overlooked at the broader EU level. </w:t>
      </w:r>
    </w:p>
    <w:p w14:paraId="55E2AF6E" w14:textId="7E496F34" w:rsidR="00F90322" w:rsidRPr="00FC70E0" w:rsidRDefault="00F90322" w:rsidP="00FC70E0">
      <w:pPr>
        <w:pStyle w:val="normal0"/>
        <w:spacing w:after="160" w:line="360" w:lineRule="auto"/>
        <w:jc w:val="both"/>
        <w:rPr>
          <w:rFonts w:ascii="Times New Roman" w:eastAsia="Cambria" w:hAnsi="Times New Roman" w:cs="Times New Roman"/>
        </w:rPr>
      </w:pPr>
      <w:r w:rsidRPr="00A16312">
        <w:rPr>
          <w:rFonts w:ascii="Times New Roman" w:eastAsia="Cambria" w:hAnsi="Times New Roman" w:cs="Times New Roman"/>
        </w:rPr>
        <w:tab/>
        <w:t xml:space="preserve">Illegal caviar trade is variably framed to pose a security threat in Romania. In contrast to the ‘dissolving’ of illegal caviar trade as a security issue at the EU </w:t>
      </w:r>
      <w:r w:rsidR="00810981">
        <w:rPr>
          <w:rFonts w:ascii="Times New Roman" w:eastAsia="Cambria" w:hAnsi="Times New Roman" w:cs="Times New Roman"/>
        </w:rPr>
        <w:t xml:space="preserve">policy </w:t>
      </w:r>
      <w:r w:rsidRPr="00A16312">
        <w:rPr>
          <w:rFonts w:ascii="Times New Roman" w:eastAsia="Cambria" w:hAnsi="Times New Roman" w:cs="Times New Roman"/>
        </w:rPr>
        <w:t xml:space="preserve">level, </w:t>
      </w:r>
      <w:r w:rsidRPr="009849EC">
        <w:rPr>
          <w:rFonts w:ascii="Times New Roman" w:eastAsia="Cambria" w:hAnsi="Times New Roman" w:cs="Times New Roman"/>
        </w:rPr>
        <w:t>in Romania the security dimensions of caviar trafficking were framed in two significant ways.</w:t>
      </w:r>
      <w:r w:rsidRPr="00A16312">
        <w:rPr>
          <w:rFonts w:ascii="Times New Roman" w:eastAsia="Cambria" w:hAnsi="Times New Roman" w:cs="Times New Roman"/>
        </w:rPr>
        <w:t xml:space="preserve"> </w:t>
      </w:r>
      <w:r>
        <w:rPr>
          <w:rFonts w:ascii="Times New Roman" w:eastAsia="Cambria" w:hAnsi="Times New Roman" w:cs="Times New Roman"/>
        </w:rPr>
        <w:t xml:space="preserve">In this section, I analyse the domninant security framing, whereby </w:t>
      </w:r>
      <w:r w:rsidRPr="00A16312">
        <w:rPr>
          <w:rFonts w:ascii="Times New Roman" w:eastAsia="Cambria" w:hAnsi="Times New Roman" w:cs="Times New Roman"/>
        </w:rPr>
        <w:t xml:space="preserve">interviewees </w:t>
      </w:r>
      <w:r>
        <w:rPr>
          <w:rFonts w:ascii="Times New Roman" w:eastAsia="Cambria" w:hAnsi="Times New Roman" w:cs="Times New Roman"/>
        </w:rPr>
        <w:t>focused on</w:t>
      </w:r>
      <w:r w:rsidRPr="00A16312">
        <w:rPr>
          <w:rFonts w:ascii="Times New Roman" w:eastAsia="Cambria" w:hAnsi="Times New Roman" w:cs="Times New Roman"/>
        </w:rPr>
        <w:t xml:space="preserve"> how regulatory frameworks – and gaps in these frameworks – have</w:t>
      </w:r>
      <w:r w:rsidR="008169D1">
        <w:rPr>
          <w:rFonts w:ascii="Times New Roman" w:eastAsia="Cambria" w:hAnsi="Times New Roman" w:cs="Times New Roman"/>
        </w:rPr>
        <w:t xml:space="preserve"> made the organised crime dimensions</w:t>
      </w:r>
      <w:r w:rsidRPr="00A16312">
        <w:rPr>
          <w:rFonts w:ascii="Times New Roman" w:eastAsia="Cambria" w:hAnsi="Times New Roman" w:cs="Times New Roman"/>
        </w:rPr>
        <w:t xml:space="preserve"> of illegal caviar trade evolve. This evolution is seen to create a national security threat. I show</w:t>
      </w:r>
      <w:r>
        <w:rPr>
          <w:rFonts w:ascii="Times New Roman" w:eastAsia="Cambria" w:hAnsi="Times New Roman" w:cs="Times New Roman"/>
        </w:rPr>
        <w:t xml:space="preserve"> that this security framing generates distinct security oriented responses predicated upon conservation surveillance techniques. I argue that these </w:t>
      </w:r>
      <w:r w:rsidRPr="00A16312">
        <w:rPr>
          <w:rFonts w:ascii="Times New Roman" w:eastAsia="Cambria" w:hAnsi="Times New Roman" w:cs="Times New Roman"/>
        </w:rPr>
        <w:t>responses have powerful implications for the (in)security of particular actors</w:t>
      </w:r>
      <w:r>
        <w:rPr>
          <w:rFonts w:ascii="Times New Roman" w:eastAsia="Cambria" w:hAnsi="Times New Roman" w:cs="Times New Roman"/>
        </w:rPr>
        <w:t xml:space="preserve">. </w:t>
      </w:r>
    </w:p>
    <w:p w14:paraId="7470FE9A" w14:textId="17A438D0" w:rsidR="00F90322" w:rsidRPr="00A16312" w:rsidRDefault="00F90322" w:rsidP="00FC70E0">
      <w:pPr>
        <w:pStyle w:val="Heading3"/>
      </w:pPr>
      <w:bookmarkStart w:id="90" w:name="_Toc453224247"/>
      <w:r>
        <w:t>7.2.1 Evo</w:t>
      </w:r>
      <w:r w:rsidR="008169D1">
        <w:t>lving Security framings: Organis</w:t>
      </w:r>
      <w:r w:rsidRPr="00A16312">
        <w:t>ed crime</w:t>
      </w:r>
      <w:bookmarkEnd w:id="90"/>
    </w:p>
    <w:p w14:paraId="2DE44C83" w14:textId="22848196" w:rsidR="00F90322" w:rsidRPr="00256B62" w:rsidRDefault="00F90322" w:rsidP="00FC70E0">
      <w:pPr>
        <w:pStyle w:val="normal0"/>
        <w:spacing w:after="160" w:line="360" w:lineRule="auto"/>
        <w:jc w:val="both"/>
        <w:rPr>
          <w:rFonts w:ascii="Times New Roman" w:eastAsia="Cambria" w:hAnsi="Times New Roman" w:cs="Times New Roman"/>
        </w:rPr>
      </w:pPr>
      <w:r w:rsidRPr="00A16312">
        <w:rPr>
          <w:rFonts w:ascii="Times New Roman" w:eastAsia="Cambria" w:hAnsi="Times New Roman" w:cs="Times New Roman"/>
        </w:rPr>
        <w:t>Rather than a dissolving security issue, interlocutors in Romania suggested that illegal caviar trade and sturgeon poaching is an evolving threat to national and regional security, due to the</w:t>
      </w:r>
      <w:r>
        <w:rPr>
          <w:rFonts w:ascii="Times New Roman" w:eastAsia="Cambria" w:hAnsi="Times New Roman" w:cs="Times New Roman"/>
        </w:rPr>
        <w:t xml:space="preserve"> apparent transnational links between illegal caviar trade and </w:t>
      </w:r>
      <w:r w:rsidRPr="00A16312">
        <w:rPr>
          <w:rFonts w:ascii="Times New Roman" w:eastAsia="Cambria" w:hAnsi="Times New Roman" w:cs="Times New Roman"/>
        </w:rPr>
        <w:t>organ</w:t>
      </w:r>
      <w:r w:rsidR="00763447">
        <w:rPr>
          <w:rFonts w:ascii="Times New Roman" w:eastAsia="Cambria" w:hAnsi="Times New Roman" w:cs="Times New Roman"/>
        </w:rPr>
        <w:t>is</w:t>
      </w:r>
      <w:r w:rsidR="00810981">
        <w:rPr>
          <w:rFonts w:ascii="Times New Roman" w:eastAsia="Cambria" w:hAnsi="Times New Roman" w:cs="Times New Roman"/>
        </w:rPr>
        <w:t>ed crime. C</w:t>
      </w:r>
      <w:r>
        <w:rPr>
          <w:rFonts w:ascii="Times New Roman" w:eastAsia="Cambria" w:hAnsi="Times New Roman" w:cs="Times New Roman"/>
        </w:rPr>
        <w:t>oncerns about threats to national and regional security have produced security-oriented responses designed to dismantle sturgeon crimes in the country and neighbouring countries. I argue that the security framings and related responses that materialise in Romania</w:t>
      </w:r>
      <w:r w:rsidR="00810981">
        <w:rPr>
          <w:rFonts w:ascii="Times New Roman" w:eastAsia="Cambria" w:hAnsi="Times New Roman" w:cs="Times New Roman"/>
        </w:rPr>
        <w:t>,</w:t>
      </w:r>
      <w:r>
        <w:rPr>
          <w:rFonts w:ascii="Times New Roman" w:eastAsia="Cambria" w:hAnsi="Times New Roman" w:cs="Times New Roman"/>
        </w:rPr>
        <w:t xml:space="preserve"> point to the fact that </w:t>
      </w:r>
      <w:r w:rsidRPr="000E7B43">
        <w:rPr>
          <w:rFonts w:ascii="Times New Roman" w:eastAsia="Cambria" w:hAnsi="Times New Roman" w:cs="Times New Roman"/>
        </w:rPr>
        <w:t>the caviar trade regulations have produced shifting se</w:t>
      </w:r>
      <w:r w:rsidR="00810981">
        <w:rPr>
          <w:rFonts w:ascii="Times New Roman" w:eastAsia="Cambria" w:hAnsi="Times New Roman" w:cs="Times New Roman"/>
        </w:rPr>
        <w:t>curity configurations in the EU</w:t>
      </w:r>
      <w:r w:rsidRPr="000E7B43">
        <w:rPr>
          <w:rFonts w:ascii="Times New Roman" w:eastAsia="Cambria" w:hAnsi="Times New Roman" w:cs="Times New Roman"/>
        </w:rPr>
        <w:t xml:space="preserve"> rather than eradicating the security threats </w:t>
      </w:r>
      <w:r w:rsidR="00E92687">
        <w:rPr>
          <w:rFonts w:ascii="Times New Roman" w:eastAsia="Cambria" w:hAnsi="Times New Roman" w:cs="Times New Roman"/>
        </w:rPr>
        <w:t xml:space="preserve">historically </w:t>
      </w:r>
      <w:r w:rsidRPr="000E7B43">
        <w:rPr>
          <w:rFonts w:ascii="Times New Roman" w:eastAsia="Cambria" w:hAnsi="Times New Roman" w:cs="Times New Roman"/>
        </w:rPr>
        <w:t>associ</w:t>
      </w:r>
      <w:r>
        <w:rPr>
          <w:rFonts w:ascii="Times New Roman" w:eastAsia="Cambria" w:hAnsi="Times New Roman" w:cs="Times New Roman"/>
        </w:rPr>
        <w:t>ated with illegal caviar trade.</w:t>
      </w:r>
      <w:r w:rsidR="00763447">
        <w:rPr>
          <w:rFonts w:ascii="Times New Roman" w:eastAsia="Cambria" w:hAnsi="Times New Roman" w:cs="Times New Roman"/>
        </w:rPr>
        <w:t xml:space="preserve"> T</w:t>
      </w:r>
      <w:r w:rsidRPr="000E7B43">
        <w:rPr>
          <w:rFonts w:ascii="Times New Roman" w:eastAsia="Cambria" w:hAnsi="Times New Roman" w:cs="Times New Roman"/>
        </w:rPr>
        <w:t xml:space="preserve">he </w:t>
      </w:r>
      <w:r w:rsidR="00763447">
        <w:rPr>
          <w:rFonts w:ascii="Times New Roman" w:eastAsia="Cambria" w:hAnsi="Times New Roman" w:cs="Times New Roman"/>
        </w:rPr>
        <w:t xml:space="preserve">securitized </w:t>
      </w:r>
      <w:r w:rsidR="00E92687">
        <w:rPr>
          <w:rFonts w:ascii="Times New Roman" w:eastAsia="Cambria" w:hAnsi="Times New Roman" w:cs="Times New Roman"/>
        </w:rPr>
        <w:t xml:space="preserve">responses in this regional </w:t>
      </w:r>
      <w:r w:rsidRPr="000E7B43">
        <w:rPr>
          <w:rFonts w:ascii="Times New Roman" w:eastAsia="Cambria" w:hAnsi="Times New Roman" w:cs="Times New Roman"/>
        </w:rPr>
        <w:t>context, are more banal or mundane than the spectacular militarised or security-oriented respon</w:t>
      </w:r>
      <w:r w:rsidR="00763447">
        <w:rPr>
          <w:rFonts w:ascii="Times New Roman" w:eastAsia="Cambria" w:hAnsi="Times New Roman" w:cs="Times New Roman"/>
        </w:rPr>
        <w:t>ses witnessed in other global contexts</w:t>
      </w:r>
      <w:r w:rsidRPr="000E7B43">
        <w:rPr>
          <w:rFonts w:ascii="Times New Roman" w:eastAsia="Cambria" w:hAnsi="Times New Roman" w:cs="Times New Roman"/>
        </w:rPr>
        <w:t xml:space="preserve"> where illegal wildlife trade takes place.</w:t>
      </w:r>
      <w:r>
        <w:rPr>
          <w:rFonts w:ascii="Times New Roman" w:eastAsia="Cambria" w:hAnsi="Times New Roman" w:cs="Times New Roman"/>
        </w:rPr>
        <w:t xml:space="preserve"> Nevertheless, I demonstrate how these responses are </w:t>
      </w:r>
      <w:r w:rsidR="00810981">
        <w:rPr>
          <w:rFonts w:ascii="Times New Roman" w:eastAsia="Cambria" w:hAnsi="Times New Roman" w:cs="Times New Roman"/>
        </w:rPr>
        <w:t xml:space="preserve">a) </w:t>
      </w:r>
      <w:r>
        <w:rPr>
          <w:rFonts w:ascii="Times New Roman" w:eastAsia="Cambria" w:hAnsi="Times New Roman" w:cs="Times New Roman"/>
        </w:rPr>
        <w:t xml:space="preserve">shaped by evolving </w:t>
      </w:r>
      <w:r w:rsidRPr="00F748F1">
        <w:rPr>
          <w:rFonts w:ascii="Times New Roman" w:eastAsia="Cambria" w:hAnsi="Times New Roman" w:cs="Times New Roman"/>
        </w:rPr>
        <w:t>security framings</w:t>
      </w:r>
      <w:r w:rsidR="00810981">
        <w:rPr>
          <w:rFonts w:ascii="Times New Roman" w:eastAsia="Cambria" w:hAnsi="Times New Roman" w:cs="Times New Roman"/>
        </w:rPr>
        <w:t>;</w:t>
      </w:r>
      <w:r w:rsidR="00256B62">
        <w:rPr>
          <w:rFonts w:ascii="Times New Roman" w:eastAsia="Cambria" w:hAnsi="Times New Roman" w:cs="Times New Roman"/>
        </w:rPr>
        <w:t xml:space="preserve"> and</w:t>
      </w:r>
      <w:r w:rsidR="00810981">
        <w:rPr>
          <w:rFonts w:ascii="Times New Roman" w:eastAsia="Cambria" w:hAnsi="Times New Roman" w:cs="Times New Roman"/>
        </w:rPr>
        <w:t xml:space="preserve"> b)</w:t>
      </w:r>
      <w:r w:rsidR="00256B62">
        <w:rPr>
          <w:rFonts w:ascii="Times New Roman" w:eastAsia="Cambria" w:hAnsi="Times New Roman" w:cs="Times New Roman"/>
        </w:rPr>
        <w:t xml:space="preserve"> draw upon logics of surveillance which are more commonly associated with policing or security sectors, but are becoming increasingly </w:t>
      </w:r>
      <w:r w:rsidR="00256B62">
        <w:rPr>
          <w:rFonts w:ascii="Times New Roman" w:eastAsia="Cambria" w:hAnsi="Times New Roman" w:cs="Times New Roman"/>
        </w:rPr>
        <w:lastRenderedPageBreak/>
        <w:t>integrated into the repetoire of wildlife crime interventions pursued by NGOs. This discussion is therefore useful in</w:t>
      </w:r>
      <w:r w:rsidRPr="00F748F1">
        <w:rPr>
          <w:rFonts w:ascii="Times New Roman" w:eastAsia="Cambria" w:hAnsi="Times New Roman" w:cs="Times New Roman"/>
        </w:rPr>
        <w:t xml:space="preserve"> illuminating the means by which a </w:t>
      </w:r>
      <w:r w:rsidR="00256B62">
        <w:rPr>
          <w:rFonts w:ascii="Times New Roman" w:eastAsia="Cambria" w:hAnsi="Times New Roman" w:cs="Times New Roman"/>
        </w:rPr>
        <w:t xml:space="preserve">broad </w:t>
      </w:r>
      <w:r w:rsidRPr="00F748F1">
        <w:rPr>
          <w:rFonts w:ascii="Times New Roman" w:eastAsia="Cambria" w:hAnsi="Times New Roman" w:cs="Times New Roman"/>
        </w:rPr>
        <w:t xml:space="preserve">range of actors engage in modes of conservation that place ‘security’ front and centre. </w:t>
      </w:r>
    </w:p>
    <w:p w14:paraId="2A580D17" w14:textId="2ABA57A0" w:rsidR="00F90322" w:rsidRDefault="00F90322" w:rsidP="00FC70E0">
      <w:pPr>
        <w:pStyle w:val="normal0"/>
        <w:spacing w:after="160" w:line="360" w:lineRule="auto"/>
        <w:ind w:firstLine="720"/>
        <w:jc w:val="both"/>
        <w:rPr>
          <w:rFonts w:ascii="Times New Roman" w:eastAsia="Cambria" w:hAnsi="Times New Roman" w:cs="Times New Roman"/>
        </w:rPr>
      </w:pPr>
      <w:r w:rsidRPr="00F748F1">
        <w:rPr>
          <w:rFonts w:ascii="Times New Roman" w:eastAsia="Cambria" w:hAnsi="Times New Roman" w:cs="Times New Roman"/>
        </w:rPr>
        <w:t>The EU-funded LIFE</w:t>
      </w:r>
      <w:r w:rsidR="00280EB6">
        <w:rPr>
          <w:rStyle w:val="FootnoteReference"/>
          <w:rFonts w:ascii="Times New Roman" w:eastAsia="Cambria" w:hAnsi="Times New Roman" w:cs="Times New Roman"/>
        </w:rPr>
        <w:footnoteReference w:id="222"/>
      </w:r>
      <w:r w:rsidRPr="00F748F1">
        <w:rPr>
          <w:rFonts w:ascii="Times New Roman" w:eastAsia="Cambria" w:hAnsi="Times New Roman" w:cs="Times New Roman"/>
        </w:rPr>
        <w:t xml:space="preserve"> project </w:t>
      </w:r>
      <w:r>
        <w:rPr>
          <w:rFonts w:ascii="Times New Roman" w:eastAsia="Cambria" w:hAnsi="Times New Roman" w:cs="Times New Roman"/>
        </w:rPr>
        <w:t>en</w:t>
      </w:r>
      <w:r w:rsidRPr="00F748F1">
        <w:rPr>
          <w:rFonts w:ascii="Times New Roman" w:eastAsia="Cambria" w:hAnsi="Times New Roman" w:cs="Times New Roman"/>
        </w:rPr>
        <w:t xml:space="preserve">titled: </w:t>
      </w:r>
      <w:r>
        <w:rPr>
          <w:rFonts w:ascii="Times New Roman" w:eastAsia="Cambria" w:hAnsi="Times New Roman" w:cs="Times New Roman"/>
        </w:rPr>
        <w:t>‘</w:t>
      </w:r>
      <w:r w:rsidRPr="00F748F1">
        <w:rPr>
          <w:rFonts w:ascii="Times New Roman" w:eastAsia="Cambria" w:hAnsi="Times New Roman" w:cs="Times New Roman"/>
          <w:i/>
        </w:rPr>
        <w:t>Sustainable protection of lower Danube sturgeons by preventing and counteracting poaching and illegal wildlife trade</w:t>
      </w:r>
      <w:r>
        <w:rPr>
          <w:rFonts w:ascii="Times New Roman" w:eastAsia="Cambria" w:hAnsi="Times New Roman" w:cs="Times New Roman"/>
        </w:rPr>
        <w:t>’-</w:t>
      </w:r>
      <w:r w:rsidRPr="00F748F1">
        <w:rPr>
          <w:rFonts w:ascii="Times New Roman" w:eastAsia="Cambria" w:hAnsi="Times New Roman" w:cs="Times New Roman"/>
        </w:rPr>
        <w:t xml:space="preserve"> more commonly referred to </w:t>
      </w:r>
      <w:r>
        <w:rPr>
          <w:rFonts w:ascii="Times New Roman" w:eastAsia="Cambria" w:hAnsi="Times New Roman" w:cs="Times New Roman"/>
        </w:rPr>
        <w:t>as ‘LIFE For Danube Sturgeons’ – is the pre-eminent sturgeon conservation project in Europe. Coordinated by WWF Austria, the 1.85 million euro</w:t>
      </w:r>
      <w:r w:rsidRPr="005B292F">
        <w:rPr>
          <w:rStyle w:val="FootnoteReference"/>
        </w:rPr>
        <w:footnoteReference w:id="223"/>
      </w:r>
      <w:r>
        <w:rPr>
          <w:rFonts w:ascii="Times New Roman" w:eastAsia="Cambria" w:hAnsi="Times New Roman" w:cs="Times New Roman"/>
        </w:rPr>
        <w:t xml:space="preserve"> project began in October 2016 and runs to December 2020. The project engages in activities designed to prevent sturgeon poachi</w:t>
      </w:r>
      <w:r w:rsidR="00810981">
        <w:rPr>
          <w:rFonts w:ascii="Times New Roman" w:eastAsia="Cambria" w:hAnsi="Times New Roman" w:cs="Times New Roman"/>
        </w:rPr>
        <w:t>ng and illegal caviar trade in six</w:t>
      </w:r>
      <w:r>
        <w:rPr>
          <w:rFonts w:ascii="Times New Roman" w:eastAsia="Cambria" w:hAnsi="Times New Roman" w:cs="Times New Roman"/>
        </w:rPr>
        <w:t xml:space="preserve"> countries: Austria, Germany, Bulgaria, Romania, Ukraine</w:t>
      </w:r>
      <w:r w:rsidR="00256B62">
        <w:rPr>
          <w:rFonts w:ascii="Times New Roman" w:eastAsia="Cambria" w:hAnsi="Times New Roman" w:cs="Times New Roman"/>
        </w:rPr>
        <w:t>,</w:t>
      </w:r>
      <w:r>
        <w:rPr>
          <w:rFonts w:ascii="Times New Roman" w:eastAsia="Cambria" w:hAnsi="Times New Roman" w:cs="Times New Roman"/>
        </w:rPr>
        <w:t xml:space="preserve"> and Serbia. Whilst international in scope, the project involves specific in-country activities, which are managed by directors from each of the relevant WWF offices, along with support from additonal partners such as the Danube Delta Biosphere Reserve Authority (DDBRA) in Romania. </w:t>
      </w:r>
    </w:p>
    <w:p w14:paraId="0EFAFA7C" w14:textId="5E44C899" w:rsidR="00F90322" w:rsidRDefault="00F90322" w:rsidP="00FC70E0">
      <w:pPr>
        <w:pStyle w:val="normal0"/>
        <w:spacing w:after="160" w:line="360" w:lineRule="auto"/>
        <w:ind w:firstLine="720"/>
        <w:jc w:val="both"/>
        <w:rPr>
          <w:rFonts w:ascii="Times New Roman" w:eastAsia="Cambria" w:hAnsi="Times New Roman" w:cs="Times New Roman"/>
        </w:rPr>
      </w:pPr>
      <w:r>
        <w:rPr>
          <w:rFonts w:ascii="Times New Roman" w:eastAsia="Cambria" w:hAnsi="Times New Roman" w:cs="Times New Roman"/>
        </w:rPr>
        <w:t xml:space="preserve">The project has proven to be a powerful ‘flagship’ programme designed to protect a ‘flagship species’ of Europe. In particular the project has developed a strong agenda setting role: by directing resources and energy to particular locations where poaching hotspots exist; and promoting </w:t>
      </w:r>
      <w:r w:rsidR="00256B62">
        <w:rPr>
          <w:rFonts w:ascii="Times New Roman" w:eastAsia="Cambria" w:hAnsi="Times New Roman" w:cs="Times New Roman"/>
        </w:rPr>
        <w:t xml:space="preserve">specific interventions </w:t>
      </w:r>
      <w:r>
        <w:rPr>
          <w:rFonts w:ascii="Times New Roman" w:eastAsia="Cambria" w:hAnsi="Times New Roman" w:cs="Times New Roman"/>
        </w:rPr>
        <w:t xml:space="preserve">designed to reduce, counter, and bring attention to the ongoing issue of sturgeon crimes in Europe. The project has simultaneously shaped how illegal caviar trade is understood to function and present itself as a security issue in the EU. </w:t>
      </w:r>
    </w:p>
    <w:p w14:paraId="2CBA64C5" w14:textId="54B778AD" w:rsidR="00F90322" w:rsidRPr="00FA0470" w:rsidRDefault="00F90322" w:rsidP="00FC70E0">
      <w:pPr>
        <w:pStyle w:val="normal0"/>
        <w:spacing w:after="160" w:line="360" w:lineRule="auto"/>
        <w:ind w:firstLine="720"/>
        <w:jc w:val="both"/>
        <w:rPr>
          <w:rFonts w:ascii="Times New Roman" w:eastAsia="Cambria" w:hAnsi="Times New Roman" w:cs="Times New Roman"/>
        </w:rPr>
      </w:pPr>
      <w:r>
        <w:rPr>
          <w:rFonts w:ascii="Times New Roman" w:eastAsia="Cambria" w:hAnsi="Times New Roman" w:cs="Times New Roman"/>
        </w:rPr>
        <w:t xml:space="preserve">The LIFE project has a focus on </w:t>
      </w:r>
      <w:r w:rsidR="00E12ED4">
        <w:rPr>
          <w:rFonts w:ascii="Times New Roman" w:eastAsia="Cambria" w:hAnsi="Times New Roman" w:cs="Times New Roman"/>
        </w:rPr>
        <w:t>‘governance’, recognising that “</w:t>
      </w:r>
      <w:r>
        <w:rPr>
          <w:rFonts w:ascii="Times New Roman" w:eastAsia="Cambria" w:hAnsi="Times New Roman" w:cs="Times New Roman"/>
        </w:rPr>
        <w:t>in many countries we work in... governance structures are weak. The legal system is not working as well as it is in Western European states</w:t>
      </w:r>
      <w:r w:rsidR="00E12ED4">
        <w:rPr>
          <w:rFonts w:ascii="Times New Roman" w:eastAsia="Cambria" w:hAnsi="Times New Roman" w:cs="Times New Roman"/>
        </w:rPr>
        <w:t>”</w:t>
      </w:r>
      <w:r w:rsidRPr="005B292F">
        <w:rPr>
          <w:rStyle w:val="FootnoteReference"/>
        </w:rPr>
        <w:footnoteReference w:id="224"/>
      </w:r>
      <w:r>
        <w:rPr>
          <w:rFonts w:ascii="Times New Roman" w:eastAsia="Cambria" w:hAnsi="Times New Roman" w:cs="Times New Roman"/>
        </w:rPr>
        <w:t>. The project therefore aims to improve gaps in governance by strengthening the awareness and capacity of law enforcement bodies to respond to sturgeon crimes</w:t>
      </w:r>
      <w:r w:rsidR="00280EB6">
        <w:rPr>
          <w:rFonts w:ascii="Times New Roman" w:eastAsia="Cambria" w:hAnsi="Times New Roman" w:cs="Times New Roman"/>
        </w:rPr>
        <w:t xml:space="preserve"> and enforce legislation</w:t>
      </w:r>
      <w:r>
        <w:rPr>
          <w:rFonts w:ascii="Times New Roman" w:eastAsia="Cambria" w:hAnsi="Times New Roman" w:cs="Times New Roman"/>
        </w:rPr>
        <w:t>. Weak governance in sturgeon range states w</w:t>
      </w:r>
      <w:r w:rsidR="00280EB6">
        <w:rPr>
          <w:rFonts w:ascii="Times New Roman" w:eastAsia="Cambria" w:hAnsi="Times New Roman" w:cs="Times New Roman"/>
        </w:rPr>
        <w:t xml:space="preserve">as identified as a significant factor facilitating </w:t>
      </w:r>
      <w:r>
        <w:rPr>
          <w:rFonts w:ascii="Times New Roman" w:eastAsia="Cambria" w:hAnsi="Times New Roman" w:cs="Times New Roman"/>
        </w:rPr>
        <w:t>illegal caviar trade</w:t>
      </w:r>
      <w:r w:rsidR="00E12ED4">
        <w:rPr>
          <w:rFonts w:ascii="Times New Roman" w:eastAsia="Cambria" w:hAnsi="Times New Roman" w:cs="Times New Roman"/>
        </w:rPr>
        <w:t xml:space="preserve">. Organised crime networks have </w:t>
      </w:r>
      <w:r>
        <w:rPr>
          <w:rFonts w:ascii="Times New Roman" w:eastAsia="Cambria" w:hAnsi="Times New Roman" w:cs="Times New Roman"/>
        </w:rPr>
        <w:t>respond</w:t>
      </w:r>
      <w:r w:rsidR="00E12ED4">
        <w:rPr>
          <w:rFonts w:ascii="Times New Roman" w:eastAsia="Cambria" w:hAnsi="Times New Roman" w:cs="Times New Roman"/>
        </w:rPr>
        <w:t>ed</w:t>
      </w:r>
      <w:r>
        <w:rPr>
          <w:rFonts w:ascii="Times New Roman" w:eastAsia="Cambria" w:hAnsi="Times New Roman" w:cs="Times New Roman"/>
        </w:rPr>
        <w:t xml:space="preserve"> t</w:t>
      </w:r>
      <w:r w:rsidR="00E12ED4">
        <w:rPr>
          <w:rFonts w:ascii="Times New Roman" w:eastAsia="Cambria" w:hAnsi="Times New Roman" w:cs="Times New Roman"/>
        </w:rPr>
        <w:t xml:space="preserve">o the caviar trade regulations by </w:t>
      </w:r>
      <w:r>
        <w:rPr>
          <w:rFonts w:ascii="Times New Roman" w:eastAsia="Cambria" w:hAnsi="Times New Roman" w:cs="Times New Roman"/>
        </w:rPr>
        <w:t xml:space="preserve">finding </w:t>
      </w:r>
      <w:r w:rsidR="00280EB6">
        <w:rPr>
          <w:rFonts w:ascii="Times New Roman" w:eastAsia="Cambria" w:hAnsi="Times New Roman" w:cs="Times New Roman"/>
        </w:rPr>
        <w:t>weaknesses</w:t>
      </w:r>
      <w:r>
        <w:rPr>
          <w:rFonts w:ascii="Times New Roman" w:eastAsia="Cambria" w:hAnsi="Times New Roman" w:cs="Times New Roman"/>
        </w:rPr>
        <w:t xml:space="preserve"> in these </w:t>
      </w:r>
      <w:r w:rsidR="00E12ED4">
        <w:rPr>
          <w:rFonts w:ascii="Times New Roman" w:eastAsia="Cambria" w:hAnsi="Times New Roman" w:cs="Times New Roman"/>
        </w:rPr>
        <w:t xml:space="preserve">regulations, </w:t>
      </w:r>
      <w:r>
        <w:rPr>
          <w:rFonts w:ascii="Times New Roman" w:eastAsia="Cambria" w:hAnsi="Times New Roman" w:cs="Times New Roman"/>
        </w:rPr>
        <w:t>in order to continue with caviar trafficking; and weak governance</w:t>
      </w:r>
      <w:r w:rsidR="00E12ED4">
        <w:rPr>
          <w:rFonts w:ascii="Times New Roman" w:eastAsia="Cambria" w:hAnsi="Times New Roman" w:cs="Times New Roman"/>
        </w:rPr>
        <w:t xml:space="preserve"> and enforcement of the regulations is</w:t>
      </w:r>
      <w:r>
        <w:rPr>
          <w:rFonts w:ascii="Times New Roman" w:eastAsia="Cambria" w:hAnsi="Times New Roman" w:cs="Times New Roman"/>
        </w:rPr>
        <w:t xml:space="preserve"> </w:t>
      </w:r>
      <w:r w:rsidR="00E12ED4">
        <w:rPr>
          <w:rFonts w:ascii="Times New Roman" w:eastAsia="Cambria" w:hAnsi="Times New Roman" w:cs="Times New Roman"/>
        </w:rPr>
        <w:t xml:space="preserve">one such gap. </w:t>
      </w:r>
      <w:r>
        <w:rPr>
          <w:rFonts w:ascii="Times New Roman" w:eastAsia="Cambria" w:hAnsi="Times New Roman" w:cs="Times New Roman"/>
        </w:rPr>
        <w:t>The criminal networks are said to have become increasingly impenetrable, and due to weak governance it is becoming very difficult to obtain information about the dynamics and structure of the networks involve</w:t>
      </w:r>
      <w:r w:rsidR="00E12ED4">
        <w:rPr>
          <w:rFonts w:ascii="Times New Roman" w:eastAsia="Cambria" w:hAnsi="Times New Roman" w:cs="Times New Roman"/>
        </w:rPr>
        <w:t>d</w:t>
      </w:r>
      <w:r>
        <w:rPr>
          <w:rFonts w:ascii="Times New Roman" w:eastAsia="Cambria" w:hAnsi="Times New Roman" w:cs="Times New Roman"/>
        </w:rPr>
        <w:t xml:space="preserve">. NGO representative Irini explained her certainty </w:t>
      </w:r>
      <w:r w:rsidR="00E12ED4">
        <w:rPr>
          <w:rFonts w:ascii="Times New Roman" w:eastAsia="Cambria" w:hAnsi="Times New Roman" w:cs="Times New Roman"/>
        </w:rPr>
        <w:t>that there are organis</w:t>
      </w:r>
      <w:r>
        <w:rPr>
          <w:rFonts w:ascii="Times New Roman" w:eastAsia="Cambria" w:hAnsi="Times New Roman" w:cs="Times New Roman"/>
        </w:rPr>
        <w:t xml:space="preserve">ed criminal networks involved in caviar trafficking in Romania: </w:t>
      </w:r>
    </w:p>
    <w:p w14:paraId="1305AA39" w14:textId="6E084564" w:rsidR="003B354F" w:rsidRPr="003B354F" w:rsidRDefault="00E12ED4" w:rsidP="003B354F">
      <w:pPr>
        <w:pStyle w:val="Quote"/>
        <w:spacing w:after="300"/>
      </w:pPr>
      <w:r>
        <w:lastRenderedPageBreak/>
        <w:t>They are organised. And they became more organis</w:t>
      </w:r>
      <w:r w:rsidR="00F90322" w:rsidRPr="00FA0470">
        <w:t>ed after the big controls. Because they understood that they are easy to catch if they have everything on the table… It’s not easy [to infiltrate the networks] because you have to know the people… On the first market survey our person that was working with us managed to obtain this kind of [illegal] product and these people. But now we’ve tried 3 times, and it’s not easy. It’s hard to know who is behind it, because usually they have power. So nobody will tell you anything. Just stories.</w:t>
      </w:r>
      <w:r w:rsidR="00F90322" w:rsidRPr="005B292F">
        <w:rPr>
          <w:rStyle w:val="FootnoteReference"/>
        </w:rPr>
        <w:footnoteReference w:id="225"/>
      </w:r>
    </w:p>
    <w:p w14:paraId="715DD5CD" w14:textId="43517D0D" w:rsidR="009C104B" w:rsidRDefault="00E12ED4" w:rsidP="00FC70E0">
      <w:pPr>
        <w:pStyle w:val="normal0"/>
        <w:spacing w:after="160" w:line="360" w:lineRule="auto"/>
        <w:jc w:val="both"/>
        <w:rPr>
          <w:rFonts w:ascii="Times New Roman" w:eastAsia="Cambria" w:hAnsi="Times New Roman" w:cs="Times New Roman"/>
        </w:rPr>
      </w:pPr>
      <w:r>
        <w:rPr>
          <w:rFonts w:ascii="Times New Roman" w:eastAsia="Cambria" w:hAnsi="Times New Roman" w:cs="Times New Roman"/>
        </w:rPr>
        <w:tab/>
        <w:t>The narrative that organis</w:t>
      </w:r>
      <w:r w:rsidR="00F90322">
        <w:rPr>
          <w:rFonts w:ascii="Times New Roman" w:eastAsia="Cambria" w:hAnsi="Times New Roman" w:cs="Times New Roman"/>
        </w:rPr>
        <w:t xml:space="preserve">ed crime plays a significant role in orchestrating sturgeon poaching and illegal caviar trade in the Lower Danube and North-West Black Sea, has served to be a powerful securitizing narrative amongst NGOs. This narrative runs throughout the LIFE project, the wider WWF-network, and beyond. </w:t>
      </w:r>
      <w:r w:rsidR="00F90322" w:rsidRPr="00FA0470">
        <w:rPr>
          <w:rFonts w:ascii="Times New Roman" w:eastAsia="Cambria" w:hAnsi="Times New Roman" w:cs="Times New Roman"/>
        </w:rPr>
        <w:t>Moving beyond the regional focus of the Lower Danube, a wider WWF-Network ‘Sturgeon Strategy’</w:t>
      </w:r>
      <w:r w:rsidR="00F90322" w:rsidRPr="005B292F">
        <w:rPr>
          <w:rStyle w:val="FootnoteReference"/>
        </w:rPr>
        <w:footnoteReference w:id="226"/>
      </w:r>
      <w:r w:rsidR="00F90322" w:rsidRPr="00FA0470">
        <w:rPr>
          <w:rFonts w:ascii="Times New Roman" w:eastAsia="Cambria" w:hAnsi="Times New Roman" w:cs="Times New Roman"/>
        </w:rPr>
        <w:t xml:space="preserve"> was launched in 2017 to ‘foster synergies and cooperation’ amongst WWF offices and programmes with a common interest in sturgeon conservation and crime. The Sturgeon St</w:t>
      </w:r>
      <w:r>
        <w:rPr>
          <w:rFonts w:ascii="Times New Roman" w:eastAsia="Cambria" w:hAnsi="Times New Roman" w:cs="Times New Roman"/>
        </w:rPr>
        <w:t>rategy document situates organis</w:t>
      </w:r>
      <w:r w:rsidR="00F90322" w:rsidRPr="00FA0470">
        <w:rPr>
          <w:rFonts w:ascii="Times New Roman" w:eastAsia="Cambria" w:hAnsi="Times New Roman" w:cs="Times New Roman"/>
        </w:rPr>
        <w:t>ed crime as a central target of actions. Specifically, Objective 4 of the ‘Strategy to: Raise public awareness and political will to support implementation of the strategy’</w:t>
      </w:r>
      <w:r w:rsidR="00F90322">
        <w:rPr>
          <w:rFonts w:ascii="Times New Roman" w:eastAsia="Cambria" w:hAnsi="Times New Roman" w:cs="Times New Roman"/>
        </w:rPr>
        <w:t>, outlines the aim that:</w:t>
      </w:r>
    </w:p>
    <w:p w14:paraId="28372C59" w14:textId="67AD16E4" w:rsidR="009C104B" w:rsidRPr="009C104B" w:rsidRDefault="00F90322" w:rsidP="00FC70E0">
      <w:pPr>
        <w:pStyle w:val="Quote"/>
      </w:pPr>
      <w:r w:rsidRPr="00891A96">
        <w:t xml:space="preserve">By 2020, legislative and enforcement authorities are </w:t>
      </w:r>
      <w:r w:rsidRPr="00E12ED4">
        <w:rPr>
          <w:b/>
        </w:rPr>
        <w:t>aware of the social, environmental and economic impacts, the links with organized crime</w:t>
      </w:r>
      <w:r w:rsidR="00280EB6">
        <w:t xml:space="preserve"> </w:t>
      </w:r>
      <w:r w:rsidR="00280EB6">
        <w:fldChar w:fldCharType="begin" w:fldLock="1"/>
      </w:r>
      <w:r w:rsidR="00C14A28">
        <w:instrText>ADDIN CSL_CITATION {"citationItems":[{"id":"ITEM-1","itemData":{"author":[{"dropping-particle":"","family":"WWF","given":"","non-dropping-particle":"","parse-names":false,"suffix":""}],"id":"ITEM-1","issued":{"date-parts":[["2017"]]},"title":"WWF Network Sturgeon Strategy","type":"report"},"uris":["http://www.mendeley.com/documents/?uuid=b4e3cd79-9abc-30b0-8db7-7a5f24817eb7"]}],"mendeley":{"formattedCitation":"(WWF, 2017)","manualFormatting":"(WWF, 2017:4 emphasis added)","plainTextFormattedCitation":"(WWF, 2017)","previouslyFormattedCitation":"(WWF, 2017)"},"properties":{"noteIndex":0},"schema":"https://github.com/citation-style-language/schema/raw/master/csl-citation.json"}</w:instrText>
      </w:r>
      <w:r w:rsidR="00280EB6">
        <w:fldChar w:fldCharType="separate"/>
      </w:r>
      <w:r w:rsidR="00280EB6" w:rsidRPr="00280EB6">
        <w:rPr>
          <w:noProof/>
        </w:rPr>
        <w:t>(WWF, 2017</w:t>
      </w:r>
      <w:r w:rsidR="00280EB6">
        <w:rPr>
          <w:noProof/>
        </w:rPr>
        <w:t>:4 emphasis added</w:t>
      </w:r>
      <w:r w:rsidR="00280EB6" w:rsidRPr="00280EB6">
        <w:rPr>
          <w:noProof/>
        </w:rPr>
        <w:t>)</w:t>
      </w:r>
      <w:r w:rsidR="00280EB6">
        <w:fldChar w:fldCharType="end"/>
      </w:r>
      <w:r w:rsidR="00280EB6">
        <w:t xml:space="preserve"> </w:t>
      </w:r>
    </w:p>
    <w:p w14:paraId="60F1D40A" w14:textId="60D47040" w:rsidR="00F90322" w:rsidRPr="00FA0470" w:rsidRDefault="00F90322" w:rsidP="00FC70E0">
      <w:pPr>
        <w:pStyle w:val="normal0"/>
        <w:spacing w:after="160" w:line="360" w:lineRule="auto"/>
        <w:jc w:val="both"/>
        <w:rPr>
          <w:rFonts w:ascii="Times New Roman" w:eastAsia="Cambria" w:hAnsi="Times New Roman" w:cs="Times New Roman"/>
        </w:rPr>
      </w:pPr>
      <w:r w:rsidRPr="00FA0470">
        <w:rPr>
          <w:rFonts w:ascii="Times New Roman" w:eastAsia="Cambria" w:hAnsi="Times New Roman" w:cs="Times New Roman"/>
        </w:rPr>
        <w:t>Following this, the Sturgeon Strategy also calls upon authorities to implement relevant international conve</w:t>
      </w:r>
      <w:r w:rsidR="00E12ED4">
        <w:rPr>
          <w:rFonts w:ascii="Times New Roman" w:eastAsia="Cambria" w:hAnsi="Times New Roman" w:cs="Times New Roman"/>
        </w:rPr>
        <w:t>ntions that pertain to tackling</w:t>
      </w:r>
      <w:r w:rsidR="00785A34">
        <w:rPr>
          <w:rFonts w:ascii="Times New Roman" w:eastAsia="Cambria" w:hAnsi="Times New Roman" w:cs="Times New Roman"/>
        </w:rPr>
        <w:t xml:space="preserve"> serious</w:t>
      </w:r>
      <w:r>
        <w:rPr>
          <w:rFonts w:ascii="Times New Roman" w:eastAsia="Cambria" w:hAnsi="Times New Roman" w:cs="Times New Roman"/>
        </w:rPr>
        <w:t xml:space="preserve"> </w:t>
      </w:r>
      <w:r w:rsidR="00E12ED4">
        <w:rPr>
          <w:rFonts w:ascii="Times New Roman" w:eastAsia="Cambria" w:hAnsi="Times New Roman" w:cs="Times New Roman"/>
        </w:rPr>
        <w:t>organis</w:t>
      </w:r>
      <w:r w:rsidRPr="00FA0470">
        <w:rPr>
          <w:rFonts w:ascii="Times New Roman" w:eastAsia="Cambria" w:hAnsi="Times New Roman" w:cs="Times New Roman"/>
        </w:rPr>
        <w:t>ed crime, such as the UN Con</w:t>
      </w:r>
      <w:r w:rsidR="00785A34">
        <w:rPr>
          <w:rFonts w:ascii="Times New Roman" w:eastAsia="Cambria" w:hAnsi="Times New Roman" w:cs="Times New Roman"/>
        </w:rPr>
        <w:t>vention on Transnational Organis</w:t>
      </w:r>
      <w:r w:rsidRPr="00FA0470">
        <w:rPr>
          <w:rFonts w:ascii="Times New Roman" w:eastAsia="Cambria" w:hAnsi="Times New Roman" w:cs="Times New Roman"/>
        </w:rPr>
        <w:t xml:space="preserve">ed Crime (UNTOC) and the UN Convention Against Corruption (UNCAC). As such, the destabilising </w:t>
      </w:r>
      <w:r>
        <w:rPr>
          <w:rFonts w:ascii="Times New Roman" w:eastAsia="Cambria" w:hAnsi="Times New Roman" w:cs="Times New Roman"/>
        </w:rPr>
        <w:t>security implications</w:t>
      </w:r>
      <w:r w:rsidRPr="00FA0470">
        <w:rPr>
          <w:rFonts w:ascii="Times New Roman" w:eastAsia="Cambria" w:hAnsi="Times New Roman" w:cs="Times New Roman"/>
        </w:rPr>
        <w:t xml:space="preserve"> of sturgeon crime are framed in terms of social, environmental and economic impacts. In particular, the Sturgeon Strategy dwells on</w:t>
      </w:r>
      <w:r w:rsidR="000F67AF">
        <w:rPr>
          <w:rFonts w:ascii="Times New Roman" w:eastAsia="Cambria" w:hAnsi="Times New Roman" w:cs="Times New Roman"/>
        </w:rPr>
        <w:t xml:space="preserve"> the convergence between organis</w:t>
      </w:r>
      <w:r w:rsidRPr="00FA0470">
        <w:rPr>
          <w:rFonts w:ascii="Times New Roman" w:eastAsia="Cambria" w:hAnsi="Times New Roman" w:cs="Times New Roman"/>
        </w:rPr>
        <w:t>ed crime and financial crime, pointing to the need to apply criminal law</w:t>
      </w:r>
      <w:r w:rsidR="005B2425">
        <w:rPr>
          <w:rFonts w:ascii="Times New Roman" w:eastAsia="Cambria" w:hAnsi="Times New Roman" w:cs="Times New Roman"/>
        </w:rPr>
        <w:t>s “</w:t>
      </w:r>
      <w:r w:rsidRPr="00FA0470">
        <w:rPr>
          <w:rFonts w:ascii="Times New Roman" w:eastAsia="Cambria" w:hAnsi="Times New Roman" w:cs="Times New Roman"/>
        </w:rPr>
        <w:t>concerning fraud, money laundering, tax evasion</w:t>
      </w:r>
      <w:r w:rsidR="005B2425">
        <w:rPr>
          <w:rFonts w:ascii="Times New Roman" w:eastAsia="Cambria" w:hAnsi="Times New Roman" w:cs="Times New Roman"/>
        </w:rPr>
        <w:t>,</w:t>
      </w:r>
      <w:r w:rsidRPr="00FA0470">
        <w:rPr>
          <w:rFonts w:ascii="Times New Roman" w:eastAsia="Cambria" w:hAnsi="Times New Roman" w:cs="Times New Roman"/>
        </w:rPr>
        <w:t xml:space="preserve"> and environmental and trade laws for fisheries crimes involving sturgeon</w:t>
      </w:r>
      <w:r w:rsidR="005B2425">
        <w:rPr>
          <w:rFonts w:ascii="Times New Roman" w:eastAsia="Cambria" w:hAnsi="Times New Roman" w:cs="Times New Roman"/>
        </w:rPr>
        <w:t xml:space="preserve">” </w:t>
      </w:r>
      <w:r w:rsidR="005B2425">
        <w:rPr>
          <w:rFonts w:ascii="Times New Roman" w:eastAsia="Cambria" w:hAnsi="Times New Roman" w:cs="Times New Roman"/>
        </w:rPr>
        <w:fldChar w:fldCharType="begin" w:fldLock="1"/>
      </w:r>
      <w:r w:rsidR="00D00953">
        <w:rPr>
          <w:rFonts w:ascii="Times New Roman" w:eastAsia="Cambria" w:hAnsi="Times New Roman" w:cs="Times New Roman"/>
        </w:rPr>
        <w:instrText>ADDIN CSL_CITATION {"citationItems":[{"id":"ITEM-1","itemData":{"author":[{"dropping-particle":"","family":"WWF","given":"","non-dropping-particle":"","parse-names":false,"suffix":""}],"id":"ITEM-1","issued":{"date-parts":[["2017"]]},"title":"WWF Network Sturgeon Strategy","type":"report"},"uris":["http://www.mendeley.com/documents/?uuid=b4e3cd79-9abc-30b0-8db7-7a5f24817eb7"]}],"mendeley":{"formattedCitation":"(WWF, 2017)","manualFormatting":"(WWF, 2017: 18)","plainTextFormattedCitation":"(WWF, 2017)","previouslyFormattedCitation":"(WWF, 2017)"},"properties":{"noteIndex":0},"schema":"https://github.com/citation-style-language/schema/raw/master/csl-citation.json"}</w:instrText>
      </w:r>
      <w:r w:rsidR="005B2425">
        <w:rPr>
          <w:rFonts w:ascii="Times New Roman" w:eastAsia="Cambria" w:hAnsi="Times New Roman" w:cs="Times New Roman"/>
        </w:rPr>
        <w:fldChar w:fldCharType="separate"/>
      </w:r>
      <w:r w:rsidR="005B2425" w:rsidRPr="005B2425">
        <w:rPr>
          <w:rFonts w:ascii="Times New Roman" w:eastAsia="Cambria" w:hAnsi="Times New Roman" w:cs="Times New Roman"/>
          <w:noProof/>
        </w:rPr>
        <w:t>(WWF, 2017</w:t>
      </w:r>
      <w:r w:rsidR="005B2425">
        <w:rPr>
          <w:rFonts w:ascii="Times New Roman" w:eastAsia="Cambria" w:hAnsi="Times New Roman" w:cs="Times New Roman"/>
          <w:noProof/>
        </w:rPr>
        <w:t>: 18</w:t>
      </w:r>
      <w:r w:rsidR="005B2425" w:rsidRPr="005B2425">
        <w:rPr>
          <w:rFonts w:ascii="Times New Roman" w:eastAsia="Cambria" w:hAnsi="Times New Roman" w:cs="Times New Roman"/>
          <w:noProof/>
        </w:rPr>
        <w:t>)</w:t>
      </w:r>
      <w:r w:rsidR="005B2425">
        <w:rPr>
          <w:rFonts w:ascii="Times New Roman" w:eastAsia="Cambria" w:hAnsi="Times New Roman" w:cs="Times New Roman"/>
        </w:rPr>
        <w:fldChar w:fldCharType="end"/>
      </w:r>
      <w:r>
        <w:rPr>
          <w:rFonts w:ascii="Times New Roman" w:eastAsia="Cambria" w:hAnsi="Times New Roman" w:cs="Times New Roman"/>
        </w:rPr>
        <w:t xml:space="preserve">. Thus, the Sturgeon strategy </w:t>
      </w:r>
      <w:r w:rsidR="005B2425">
        <w:rPr>
          <w:rFonts w:ascii="Times New Roman" w:eastAsia="Cambria" w:hAnsi="Times New Roman" w:cs="Times New Roman"/>
        </w:rPr>
        <w:t xml:space="preserve">directly </w:t>
      </w:r>
      <w:r>
        <w:rPr>
          <w:rFonts w:ascii="Times New Roman" w:eastAsia="Cambria" w:hAnsi="Times New Roman" w:cs="Times New Roman"/>
        </w:rPr>
        <w:t xml:space="preserve">links </w:t>
      </w:r>
      <w:r w:rsidR="005B2425">
        <w:rPr>
          <w:rFonts w:ascii="Times New Roman" w:eastAsia="Cambria" w:hAnsi="Times New Roman" w:cs="Times New Roman"/>
        </w:rPr>
        <w:t>organis</w:t>
      </w:r>
      <w:r w:rsidRPr="00FA0470">
        <w:rPr>
          <w:rFonts w:ascii="Times New Roman" w:eastAsia="Cambria" w:hAnsi="Times New Roman" w:cs="Times New Roman"/>
        </w:rPr>
        <w:t>ed crime</w:t>
      </w:r>
      <w:r>
        <w:rPr>
          <w:rFonts w:ascii="Times New Roman" w:eastAsia="Cambria" w:hAnsi="Times New Roman" w:cs="Times New Roman"/>
        </w:rPr>
        <w:t xml:space="preserve"> to illegal cavia</w:t>
      </w:r>
      <w:r w:rsidR="005B2425">
        <w:rPr>
          <w:rFonts w:ascii="Times New Roman" w:eastAsia="Cambria" w:hAnsi="Times New Roman" w:cs="Times New Roman"/>
        </w:rPr>
        <w:t>r trade, suggesting that organis</w:t>
      </w:r>
      <w:r>
        <w:rPr>
          <w:rFonts w:ascii="Times New Roman" w:eastAsia="Cambria" w:hAnsi="Times New Roman" w:cs="Times New Roman"/>
        </w:rPr>
        <w:t xml:space="preserve">ed crime has myriad threat-multiplying effects on different aspects of national and regional security. </w:t>
      </w:r>
    </w:p>
    <w:p w14:paraId="38607081" w14:textId="117B1FE8" w:rsidR="00F90322" w:rsidRDefault="00F90322" w:rsidP="00FC70E0">
      <w:pPr>
        <w:pStyle w:val="normal0"/>
        <w:spacing w:after="160" w:line="360" w:lineRule="auto"/>
        <w:jc w:val="both"/>
        <w:rPr>
          <w:rFonts w:ascii="Times New Roman" w:eastAsia="Cambria" w:hAnsi="Times New Roman" w:cs="Times New Roman"/>
        </w:rPr>
      </w:pPr>
      <w:r w:rsidRPr="00FF0C7D">
        <w:rPr>
          <w:rFonts w:ascii="Cambria" w:eastAsia="Cambria" w:hAnsi="Cambria" w:cs="Cambria"/>
        </w:rPr>
        <w:tab/>
      </w:r>
      <w:r w:rsidRPr="00121B2D">
        <w:rPr>
          <w:rFonts w:ascii="Times New Roman" w:eastAsia="Cambria" w:hAnsi="Times New Roman" w:cs="Times New Roman"/>
        </w:rPr>
        <w:t>The framing of stur</w:t>
      </w:r>
      <w:r w:rsidR="005B2425">
        <w:rPr>
          <w:rFonts w:ascii="Times New Roman" w:eastAsia="Cambria" w:hAnsi="Times New Roman" w:cs="Times New Roman"/>
        </w:rPr>
        <w:t>geon crimes as a form of organis</w:t>
      </w:r>
      <w:r w:rsidRPr="00121B2D">
        <w:rPr>
          <w:rFonts w:ascii="Times New Roman" w:eastAsia="Cambria" w:hAnsi="Times New Roman" w:cs="Times New Roman"/>
        </w:rPr>
        <w:t>ed crime with security implications, has been taken up by other actors external to the LIFE project or wider WWF-network.</w:t>
      </w:r>
      <w:r>
        <w:rPr>
          <w:rFonts w:ascii="Times New Roman" w:eastAsia="Cambria" w:hAnsi="Times New Roman" w:cs="Times New Roman"/>
        </w:rPr>
        <w:t xml:space="preserve"> </w:t>
      </w:r>
      <w:r w:rsidRPr="00121B2D">
        <w:rPr>
          <w:rFonts w:ascii="Times New Roman" w:eastAsia="Cambria" w:hAnsi="Times New Roman" w:cs="Times New Roman"/>
        </w:rPr>
        <w:t>The Danube Sturgeon Task Force (DSTF)</w:t>
      </w:r>
      <w:r w:rsidRPr="005B292F">
        <w:rPr>
          <w:rStyle w:val="FootnoteReference"/>
        </w:rPr>
        <w:footnoteReference w:id="227"/>
      </w:r>
      <w:r w:rsidRPr="00121B2D">
        <w:rPr>
          <w:rFonts w:ascii="Times New Roman" w:eastAsia="Cambria" w:hAnsi="Times New Roman" w:cs="Times New Roman"/>
        </w:rPr>
        <w:t xml:space="preserve"> was established in 2012 to support the EU Strategy for the Danube Region (EUSDR)</w:t>
      </w:r>
      <w:r w:rsidR="005B2425" w:rsidRPr="005B292F">
        <w:rPr>
          <w:rStyle w:val="FootnoteReference"/>
        </w:rPr>
        <w:footnoteReference w:id="228"/>
      </w:r>
      <w:r w:rsidR="005B2425">
        <w:rPr>
          <w:rFonts w:ascii="Times New Roman" w:eastAsia="Cambria" w:hAnsi="Times New Roman" w:cs="Times New Roman"/>
        </w:rPr>
        <w:t xml:space="preserve">, and in particular the </w:t>
      </w:r>
      <w:r>
        <w:rPr>
          <w:rFonts w:ascii="Times New Roman" w:eastAsia="Cambria" w:hAnsi="Times New Roman" w:cs="Times New Roman"/>
        </w:rPr>
        <w:t>target</w:t>
      </w:r>
      <w:r w:rsidRPr="00121B2D">
        <w:rPr>
          <w:rFonts w:ascii="Times New Roman" w:eastAsia="Cambria" w:hAnsi="Times New Roman" w:cs="Times New Roman"/>
        </w:rPr>
        <w:t xml:space="preserve"> ‘to ensure viable wild populations of sturgeon and </w:t>
      </w:r>
      <w:r w:rsidRPr="00121B2D">
        <w:rPr>
          <w:rFonts w:ascii="Times New Roman" w:eastAsia="Cambria" w:hAnsi="Times New Roman" w:cs="Times New Roman"/>
        </w:rPr>
        <w:lastRenderedPageBreak/>
        <w:t>other indigenous fish species by 2020’</w:t>
      </w:r>
      <w:r w:rsidRPr="005B292F">
        <w:rPr>
          <w:rStyle w:val="FootnoteReference"/>
        </w:rPr>
        <w:footnoteReference w:id="229"/>
      </w:r>
      <w:r w:rsidRPr="00121B2D">
        <w:rPr>
          <w:rFonts w:ascii="Times New Roman" w:eastAsia="Cambria" w:hAnsi="Times New Roman" w:cs="Times New Roman"/>
        </w:rPr>
        <w:t xml:space="preserve">. </w:t>
      </w:r>
      <w:r w:rsidR="00280EB6">
        <w:rPr>
          <w:rFonts w:ascii="Times New Roman" w:eastAsia="Cambria" w:hAnsi="Times New Roman" w:cs="Times New Roman"/>
        </w:rPr>
        <w:t>EUSDR via DSTF</w:t>
      </w:r>
      <w:r>
        <w:rPr>
          <w:rFonts w:ascii="Times New Roman" w:eastAsia="Cambria" w:hAnsi="Times New Roman" w:cs="Times New Roman"/>
        </w:rPr>
        <w:t xml:space="preserve"> launched the</w:t>
      </w:r>
      <w:r w:rsidRPr="00121B2D">
        <w:rPr>
          <w:rFonts w:ascii="Times New Roman" w:eastAsia="Cambria" w:hAnsi="Times New Roman" w:cs="Times New Roman"/>
        </w:rPr>
        <w:t xml:space="preserve"> ‘Sturgeon 2020 Action Plan’, outlining a strategy for sturgeon revival in the Danube. In a sim</w:t>
      </w:r>
      <w:r>
        <w:rPr>
          <w:rFonts w:ascii="Times New Roman" w:eastAsia="Cambria" w:hAnsi="Times New Roman" w:cs="Times New Roman"/>
        </w:rPr>
        <w:t xml:space="preserve">ilar vein to the aims of the </w:t>
      </w:r>
      <w:r w:rsidRPr="00121B2D">
        <w:rPr>
          <w:rFonts w:ascii="Times New Roman" w:eastAsia="Cambria" w:hAnsi="Times New Roman" w:cs="Times New Roman"/>
        </w:rPr>
        <w:t>L</w:t>
      </w:r>
      <w:r w:rsidR="00280EB6">
        <w:rPr>
          <w:rFonts w:ascii="Times New Roman" w:eastAsia="Cambria" w:hAnsi="Times New Roman" w:cs="Times New Roman"/>
        </w:rPr>
        <w:t>IFE project, the Sturgeon 2020 Action P</w:t>
      </w:r>
      <w:r w:rsidRPr="00121B2D">
        <w:rPr>
          <w:rFonts w:ascii="Times New Roman" w:eastAsia="Cambria" w:hAnsi="Times New Roman" w:cs="Times New Roman"/>
        </w:rPr>
        <w:t>lan reinforces the need to improve coordination and capacity of law enforcement bodies in the lower Danube. The Sturgeon 2020 Action P</w:t>
      </w:r>
      <w:r>
        <w:rPr>
          <w:rFonts w:ascii="Times New Roman" w:eastAsia="Cambria" w:hAnsi="Times New Roman" w:cs="Times New Roman"/>
        </w:rPr>
        <w:t>lan suggests that measures to improve enforcement against sturgeon crimes,</w:t>
      </w:r>
      <w:r w:rsidRPr="00121B2D">
        <w:rPr>
          <w:rFonts w:ascii="Times New Roman" w:eastAsia="Cambria" w:hAnsi="Times New Roman" w:cs="Times New Roman"/>
        </w:rPr>
        <w:t xml:space="preserve"> would align with and contribute directly to the EUSDR’s wider regional objectives, in particular priority are</w:t>
      </w:r>
      <w:r>
        <w:rPr>
          <w:rFonts w:ascii="Times New Roman" w:eastAsia="Cambria" w:hAnsi="Times New Roman" w:cs="Times New Roman"/>
        </w:rPr>
        <w:t>a</w:t>
      </w:r>
      <w:r w:rsidRPr="00121B2D">
        <w:rPr>
          <w:rFonts w:ascii="Times New Roman" w:eastAsia="Cambria" w:hAnsi="Times New Roman" w:cs="Times New Roman"/>
        </w:rPr>
        <w:t xml:space="preserve"> 11 on ‘security’. This priority area promotes activities organised around an aim to improve security</w:t>
      </w:r>
      <w:r w:rsidR="006366E6">
        <w:rPr>
          <w:rFonts w:ascii="Times New Roman" w:eastAsia="Cambria" w:hAnsi="Times New Roman" w:cs="Times New Roman"/>
        </w:rPr>
        <w:t>, and tackle serious and organis</w:t>
      </w:r>
      <w:r w:rsidRPr="00121B2D">
        <w:rPr>
          <w:rFonts w:ascii="Times New Roman" w:eastAsia="Cambria" w:hAnsi="Times New Roman" w:cs="Times New Roman"/>
        </w:rPr>
        <w:t xml:space="preserve">ed crime and corruption in EUSDR countries. As such, </w:t>
      </w:r>
      <w:r w:rsidR="00280EB6">
        <w:rPr>
          <w:rFonts w:ascii="Times New Roman" w:eastAsia="Cambria" w:hAnsi="Times New Roman" w:cs="Times New Roman"/>
        </w:rPr>
        <w:t xml:space="preserve">NGOs and advocacy groups mobilise narratives that highlight a nexus between sturgeon crimes and organised crime, as a starting point for action. This serves </w:t>
      </w:r>
      <w:r w:rsidRPr="00121B2D">
        <w:rPr>
          <w:rFonts w:ascii="Times New Roman" w:eastAsia="Cambria" w:hAnsi="Times New Roman" w:cs="Times New Roman"/>
        </w:rPr>
        <w:t xml:space="preserve">to firmly cement sturgeon crimes as a perceived security threat </w:t>
      </w:r>
      <w:r>
        <w:rPr>
          <w:rFonts w:ascii="Times New Roman" w:eastAsia="Cambria" w:hAnsi="Times New Roman" w:cs="Times New Roman"/>
        </w:rPr>
        <w:t>in the Lower Danube and North-West Black Sea region</w:t>
      </w:r>
      <w:r w:rsidRPr="00121B2D">
        <w:rPr>
          <w:rFonts w:ascii="Times New Roman" w:eastAsia="Cambria" w:hAnsi="Times New Roman" w:cs="Times New Roman"/>
        </w:rPr>
        <w:t xml:space="preserve">. </w:t>
      </w:r>
    </w:p>
    <w:p w14:paraId="533D6D71" w14:textId="3B83C459" w:rsidR="00987A5F" w:rsidRPr="006366E6" w:rsidRDefault="00F90322" w:rsidP="00FC70E0">
      <w:pPr>
        <w:pStyle w:val="normal0"/>
        <w:spacing w:after="160" w:line="360" w:lineRule="auto"/>
        <w:ind w:firstLine="720"/>
        <w:jc w:val="both"/>
        <w:rPr>
          <w:rFonts w:ascii="Times New Roman" w:eastAsia="Cambria" w:hAnsi="Times New Roman" w:cs="Times New Roman"/>
        </w:rPr>
      </w:pPr>
      <w:r w:rsidRPr="00D54AAD">
        <w:rPr>
          <w:rFonts w:ascii="Times New Roman" w:eastAsia="Cambria" w:hAnsi="Times New Roman" w:cs="Times New Roman"/>
        </w:rPr>
        <w:t>Moreover, those involved in the caviar industry in Romania also framed the nexus</w:t>
      </w:r>
      <w:r w:rsidR="006366E6">
        <w:rPr>
          <w:rFonts w:ascii="Times New Roman" w:eastAsia="Cambria" w:hAnsi="Times New Roman" w:cs="Times New Roman"/>
        </w:rPr>
        <w:t xml:space="preserve"> between organis</w:t>
      </w:r>
      <w:r>
        <w:rPr>
          <w:rFonts w:ascii="Times New Roman" w:eastAsia="Cambria" w:hAnsi="Times New Roman" w:cs="Times New Roman"/>
        </w:rPr>
        <w:t xml:space="preserve">ed crime and illegal caviar trade as a security threat. </w:t>
      </w:r>
      <w:r w:rsidRPr="00D54AAD">
        <w:rPr>
          <w:rFonts w:ascii="Times New Roman" w:eastAsia="Cambria" w:hAnsi="Times New Roman" w:cs="Times New Roman"/>
        </w:rPr>
        <w:t xml:space="preserve">In describing the </w:t>
      </w:r>
      <w:r>
        <w:rPr>
          <w:rFonts w:ascii="Times New Roman" w:eastAsia="Cambria" w:hAnsi="Times New Roman" w:cs="Times New Roman"/>
        </w:rPr>
        <w:t xml:space="preserve">structure of the </w:t>
      </w:r>
      <w:r w:rsidR="006366E6">
        <w:rPr>
          <w:rFonts w:ascii="Times New Roman" w:eastAsia="Cambria" w:hAnsi="Times New Roman" w:cs="Times New Roman"/>
        </w:rPr>
        <w:t>organis</w:t>
      </w:r>
      <w:r w:rsidRPr="00D54AAD">
        <w:rPr>
          <w:rFonts w:ascii="Times New Roman" w:eastAsia="Cambria" w:hAnsi="Times New Roman" w:cs="Times New Roman"/>
        </w:rPr>
        <w:t>ed criminal netw</w:t>
      </w:r>
      <w:r>
        <w:rPr>
          <w:rFonts w:ascii="Times New Roman" w:eastAsia="Cambria" w:hAnsi="Times New Roman" w:cs="Times New Roman"/>
        </w:rPr>
        <w:t>orks, caviar produce</w:t>
      </w:r>
      <w:r w:rsidR="006366E6">
        <w:rPr>
          <w:rFonts w:ascii="Times New Roman" w:eastAsia="Cambria" w:hAnsi="Times New Roman" w:cs="Times New Roman"/>
        </w:rPr>
        <w:t>r Danut suggested they operate “like a drug cartel”</w:t>
      </w:r>
      <w:r w:rsidR="006366E6" w:rsidRPr="005B292F">
        <w:rPr>
          <w:rStyle w:val="FootnoteReference"/>
        </w:rPr>
        <w:footnoteReference w:id="230"/>
      </w:r>
      <w:r>
        <w:rPr>
          <w:rFonts w:ascii="Times New Roman" w:eastAsia="Cambria" w:hAnsi="Times New Roman" w:cs="Times New Roman"/>
        </w:rPr>
        <w:t>. He explain</w:t>
      </w:r>
      <w:r w:rsidR="006366E6">
        <w:rPr>
          <w:rFonts w:ascii="Times New Roman" w:eastAsia="Cambria" w:hAnsi="Times New Roman" w:cs="Times New Roman"/>
        </w:rPr>
        <w:t>ed</w:t>
      </w:r>
      <w:r>
        <w:rPr>
          <w:rFonts w:ascii="Times New Roman" w:eastAsia="Cambria" w:hAnsi="Times New Roman" w:cs="Times New Roman"/>
        </w:rPr>
        <w:t xml:space="preserve"> that 90</w:t>
      </w:r>
      <w:r w:rsidRPr="00D54AAD">
        <w:rPr>
          <w:rFonts w:ascii="Times New Roman" w:eastAsia="Cambria" w:hAnsi="Times New Roman" w:cs="Times New Roman"/>
        </w:rPr>
        <w:t xml:space="preserve">% of those involved are said to be poor fishermen, </w:t>
      </w:r>
      <w:r w:rsidR="006366E6">
        <w:rPr>
          <w:rFonts w:ascii="Times New Roman" w:eastAsia="Cambria" w:hAnsi="Times New Roman" w:cs="Times New Roman"/>
        </w:rPr>
        <w:t>however:</w:t>
      </w:r>
    </w:p>
    <w:p w14:paraId="769C5B4B" w14:textId="4E5B0A89" w:rsidR="00987A5F" w:rsidRPr="003B354F" w:rsidRDefault="006366E6" w:rsidP="003B354F">
      <w:pPr>
        <w:pStyle w:val="Quote"/>
        <w:spacing w:after="300"/>
        <w:rPr>
          <w:i/>
        </w:rPr>
      </w:pPr>
      <w:r>
        <w:t>T</w:t>
      </w:r>
      <w:r w:rsidR="00F90322" w:rsidRPr="00D54AAD">
        <w:t>he other 10%, they are those who organise the selling and the cover up if police are intervening and catchin</w:t>
      </w:r>
      <w:r>
        <w:t>g the fishermen. So it’s organis</w:t>
      </w:r>
      <w:r w:rsidR="00F90322" w:rsidRPr="00D54AAD">
        <w:t xml:space="preserve">ed… It’s such a shame. Like with drugs. If someone goes </w:t>
      </w:r>
      <w:r w:rsidR="00F90322">
        <w:t>to the police, [the] next day he is</w:t>
      </w:r>
      <w:r w:rsidR="00F90322" w:rsidRPr="00D54AAD">
        <w:t xml:space="preserve"> dead on the street</w:t>
      </w:r>
      <w:r w:rsidR="00F90322" w:rsidRPr="005B292F">
        <w:rPr>
          <w:rStyle w:val="FootnoteReference"/>
        </w:rPr>
        <w:footnoteReference w:id="231"/>
      </w:r>
      <w:r w:rsidR="00F90322" w:rsidRPr="00D54AAD">
        <w:t>.</w:t>
      </w:r>
      <w:r w:rsidR="00F90322" w:rsidRPr="00D54AAD">
        <w:rPr>
          <w:i/>
        </w:rPr>
        <w:t xml:space="preserve"> </w:t>
      </w:r>
    </w:p>
    <w:p w14:paraId="66C8DBC7" w14:textId="70AF844F" w:rsidR="00F90322" w:rsidRDefault="00F90322" w:rsidP="00FC70E0">
      <w:pPr>
        <w:pStyle w:val="normal0"/>
        <w:spacing w:after="160" w:line="360" w:lineRule="auto"/>
        <w:jc w:val="both"/>
        <w:rPr>
          <w:rFonts w:ascii="Times New Roman" w:eastAsia="Cambria" w:hAnsi="Times New Roman" w:cs="Times New Roman"/>
        </w:rPr>
      </w:pPr>
      <w:r w:rsidRPr="00D54AAD">
        <w:rPr>
          <w:rFonts w:ascii="Times New Roman" w:eastAsia="Cambria" w:hAnsi="Times New Roman" w:cs="Times New Roman"/>
        </w:rPr>
        <w:t>The comparisons to drug cartels and ot</w:t>
      </w:r>
      <w:r w:rsidR="00280EB6">
        <w:rPr>
          <w:rFonts w:ascii="Times New Roman" w:eastAsia="Cambria" w:hAnsi="Times New Roman" w:cs="Times New Roman"/>
        </w:rPr>
        <w:t>her forms of serious and organis</w:t>
      </w:r>
      <w:r w:rsidRPr="00D54AAD">
        <w:rPr>
          <w:rFonts w:ascii="Times New Roman" w:eastAsia="Cambria" w:hAnsi="Times New Roman" w:cs="Times New Roman"/>
        </w:rPr>
        <w:t>ed crime, brought into stark relief the potential human costs</w:t>
      </w:r>
      <w:r>
        <w:rPr>
          <w:rFonts w:ascii="Times New Roman" w:eastAsia="Cambria" w:hAnsi="Times New Roman" w:cs="Times New Roman"/>
        </w:rPr>
        <w:t xml:space="preserve"> and collateral damage</w:t>
      </w:r>
      <w:r w:rsidRPr="00D54AAD">
        <w:rPr>
          <w:rFonts w:ascii="Times New Roman" w:eastAsia="Cambria" w:hAnsi="Times New Roman" w:cs="Times New Roman"/>
        </w:rPr>
        <w:t xml:space="preserve"> associated with sturgeon crime</w:t>
      </w:r>
      <w:r w:rsidR="00280EB6">
        <w:rPr>
          <w:rFonts w:ascii="Times New Roman" w:eastAsia="Cambria" w:hAnsi="Times New Roman" w:cs="Times New Roman"/>
        </w:rPr>
        <w:t xml:space="preserve"> in the EU</w:t>
      </w:r>
      <w:r w:rsidRPr="00D54AAD">
        <w:rPr>
          <w:rFonts w:ascii="Times New Roman" w:eastAsia="Cambria" w:hAnsi="Times New Roman" w:cs="Times New Roman"/>
        </w:rPr>
        <w:t xml:space="preserve">. </w:t>
      </w:r>
      <w:r>
        <w:rPr>
          <w:rFonts w:ascii="Times New Roman" w:eastAsia="Cambria" w:hAnsi="Times New Roman" w:cs="Times New Roman"/>
        </w:rPr>
        <w:t>Yvar, a researcher who has worked in sturgeon poaching hotspots stressed the overlooked human security implicat</w:t>
      </w:r>
      <w:r w:rsidR="00D00953">
        <w:rPr>
          <w:rFonts w:ascii="Times New Roman" w:eastAsia="Cambria" w:hAnsi="Times New Roman" w:cs="Times New Roman"/>
        </w:rPr>
        <w:t>ions of the evolution of organis</w:t>
      </w:r>
      <w:r>
        <w:rPr>
          <w:rFonts w:ascii="Times New Roman" w:eastAsia="Cambria" w:hAnsi="Times New Roman" w:cs="Times New Roman"/>
        </w:rPr>
        <w:t>ed crime in these locations. He explained tha</w:t>
      </w:r>
      <w:r w:rsidR="00D00953">
        <w:rPr>
          <w:rFonts w:ascii="Times New Roman" w:eastAsia="Cambria" w:hAnsi="Times New Roman" w:cs="Times New Roman"/>
        </w:rPr>
        <w:t>t “the emergence of more organis</w:t>
      </w:r>
      <w:r>
        <w:rPr>
          <w:rFonts w:ascii="Times New Roman" w:eastAsia="Cambria" w:hAnsi="Times New Roman" w:cs="Times New Roman"/>
        </w:rPr>
        <w:t>ed crime groups in this level also has a negative effect on the local people. Because the criminals use mines, they bomb rivers, so the local people cannot fish for other species anymore and so on. So the consequences in that context are complicated, for the local setting</w:t>
      </w:r>
      <w:r w:rsidR="00D00953">
        <w:rPr>
          <w:rFonts w:ascii="Times New Roman" w:eastAsia="Cambria" w:hAnsi="Times New Roman" w:cs="Times New Roman"/>
        </w:rPr>
        <w:t>”</w:t>
      </w:r>
      <w:r w:rsidRPr="005B292F">
        <w:rPr>
          <w:rStyle w:val="FootnoteReference"/>
        </w:rPr>
        <w:footnoteReference w:id="232"/>
      </w:r>
      <w:r>
        <w:rPr>
          <w:rFonts w:ascii="Times New Roman" w:eastAsia="Cambria" w:hAnsi="Times New Roman" w:cs="Times New Roman"/>
        </w:rPr>
        <w:t>. Thus, v</w:t>
      </w:r>
      <w:r w:rsidRPr="00D54AAD">
        <w:rPr>
          <w:rFonts w:ascii="Times New Roman" w:eastAsia="Cambria" w:hAnsi="Times New Roman" w:cs="Times New Roman"/>
        </w:rPr>
        <w:t>iolence, threat</w:t>
      </w:r>
      <w:r w:rsidR="00D00953">
        <w:rPr>
          <w:rFonts w:ascii="Times New Roman" w:eastAsia="Cambria" w:hAnsi="Times New Roman" w:cs="Times New Roman"/>
        </w:rPr>
        <w:t xml:space="preserve">ening behaviour, and even death, </w:t>
      </w:r>
      <w:r w:rsidRPr="00D54AAD">
        <w:rPr>
          <w:rFonts w:ascii="Times New Roman" w:eastAsia="Cambria" w:hAnsi="Times New Roman" w:cs="Times New Roman"/>
        </w:rPr>
        <w:t xml:space="preserve">were not uncommon themes when participants were asked about the security implications of the trade. </w:t>
      </w:r>
      <w:r>
        <w:rPr>
          <w:rFonts w:ascii="Times New Roman" w:eastAsia="Cambria" w:hAnsi="Times New Roman" w:cs="Times New Roman"/>
        </w:rPr>
        <w:tab/>
      </w:r>
    </w:p>
    <w:p w14:paraId="1DB3234C" w14:textId="20845100" w:rsidR="001B3267" w:rsidRPr="00D00953" w:rsidRDefault="00F90322" w:rsidP="003B354F">
      <w:pPr>
        <w:pStyle w:val="normal0"/>
        <w:spacing w:after="160" w:line="360" w:lineRule="auto"/>
        <w:ind w:firstLine="720"/>
        <w:jc w:val="both"/>
        <w:rPr>
          <w:rFonts w:ascii="Times New Roman" w:eastAsia="Cambria" w:hAnsi="Times New Roman" w:cs="Times New Roman"/>
        </w:rPr>
      </w:pPr>
      <w:r>
        <w:rPr>
          <w:rFonts w:ascii="Times New Roman" w:eastAsia="Cambria" w:hAnsi="Times New Roman" w:cs="Times New Roman"/>
        </w:rPr>
        <w:t>The nexus be</w:t>
      </w:r>
      <w:r w:rsidR="00D00953">
        <w:rPr>
          <w:rFonts w:ascii="Times New Roman" w:eastAsia="Cambria" w:hAnsi="Times New Roman" w:cs="Times New Roman"/>
        </w:rPr>
        <w:t>tween sturgeon crime and organis</w:t>
      </w:r>
      <w:r>
        <w:rPr>
          <w:rFonts w:ascii="Times New Roman" w:eastAsia="Cambria" w:hAnsi="Times New Roman" w:cs="Times New Roman"/>
        </w:rPr>
        <w:t xml:space="preserve">ed crime is variably positioned as an evolving threat to national and regional security by actors in Romania and the Lower Danube and North-West </w:t>
      </w:r>
      <w:r>
        <w:rPr>
          <w:rFonts w:ascii="Times New Roman" w:eastAsia="Cambria" w:hAnsi="Times New Roman" w:cs="Times New Roman"/>
        </w:rPr>
        <w:lastRenderedPageBreak/>
        <w:t>Black Sea region. Overall, NGOs such as WWF have suggested that illegal c</w:t>
      </w:r>
      <w:r w:rsidR="00D00953">
        <w:rPr>
          <w:rFonts w:ascii="Times New Roman" w:eastAsia="Cambria" w:hAnsi="Times New Roman" w:cs="Times New Roman"/>
        </w:rPr>
        <w:t>aviar trade “</w:t>
      </w:r>
      <w:r>
        <w:rPr>
          <w:rFonts w:ascii="Times New Roman" w:eastAsia="Cambria" w:hAnsi="Times New Roman" w:cs="Times New Roman"/>
        </w:rPr>
        <w:t>by organized crime in Europe poses a direct threat to the well-being, businesses, national institutions and local economies of European citizens</w:t>
      </w:r>
      <w:r w:rsidR="00D00953">
        <w:rPr>
          <w:rFonts w:ascii="Times New Roman" w:eastAsia="Cambria" w:hAnsi="Times New Roman" w:cs="Times New Roman"/>
        </w:rPr>
        <w:t>”</w:t>
      </w:r>
      <w:r w:rsidRPr="005B292F">
        <w:rPr>
          <w:rStyle w:val="FootnoteReference"/>
        </w:rPr>
        <w:footnoteReference w:id="233"/>
      </w:r>
      <w:r>
        <w:rPr>
          <w:rFonts w:ascii="Times New Roman" w:eastAsia="Cambria" w:hAnsi="Times New Roman" w:cs="Times New Roman"/>
        </w:rPr>
        <w:t xml:space="preserve">. These framings present a counter securitizing narrative that challenges the dissolving of illegal caviar trade as a security issue at the EU level. As a result, there have been a number of responses promulgated to deal with sturgeon crimes in the region, which are imbued with and informed by security logics.  </w:t>
      </w:r>
    </w:p>
    <w:p w14:paraId="43D1FD35" w14:textId="2BF258C6" w:rsidR="00F90322" w:rsidRPr="00F90322" w:rsidRDefault="00F90322" w:rsidP="00F90322">
      <w:pPr>
        <w:pStyle w:val="Heading3"/>
      </w:pPr>
      <w:bookmarkStart w:id="91" w:name="_Toc453224248"/>
      <w:r w:rsidRPr="00F90322">
        <w:t>7.2.2 Evolving security responses: Org</w:t>
      </w:r>
      <w:r w:rsidR="00D00953">
        <w:t>anis</w:t>
      </w:r>
      <w:r w:rsidRPr="00F90322">
        <w:t>ed crime</w:t>
      </w:r>
      <w:bookmarkEnd w:id="91"/>
    </w:p>
    <w:p w14:paraId="69EBBC42" w14:textId="34FF54AF" w:rsidR="00F90322" w:rsidRDefault="00F90322" w:rsidP="003B354F">
      <w:pPr>
        <w:pStyle w:val="normal0"/>
        <w:spacing w:after="160" w:line="360" w:lineRule="auto"/>
        <w:jc w:val="both"/>
        <w:rPr>
          <w:rFonts w:ascii="Times New Roman" w:eastAsia="Cambria" w:hAnsi="Times New Roman" w:cs="Times New Roman"/>
        </w:rPr>
      </w:pPr>
      <w:r w:rsidRPr="00291671">
        <w:rPr>
          <w:rFonts w:ascii="Times New Roman" w:eastAsia="Cambria" w:hAnsi="Times New Roman" w:cs="Times New Roman"/>
        </w:rPr>
        <w:t>The increasing permeation of spectacular security oriented responses to conservation crises is well documented</w:t>
      </w:r>
      <w:r>
        <w:rPr>
          <w:rFonts w:ascii="Times New Roman" w:eastAsia="Cambria" w:hAnsi="Times New Roman" w:cs="Times New Roman"/>
        </w:rPr>
        <w:t xml:space="preserve"> in critical social science. Securitized conservation practices have variably been called ‘green security’</w:t>
      </w:r>
      <w:r w:rsidR="00D00953">
        <w:rPr>
          <w:rFonts w:ascii="Times New Roman" w:eastAsia="Cambria" w:hAnsi="Times New Roman" w:cs="Times New Roman"/>
        </w:rPr>
        <w:t xml:space="preserve"> </w:t>
      </w:r>
      <w:r w:rsidR="00D00953">
        <w:rPr>
          <w:rFonts w:ascii="Times New Roman" w:eastAsia="Cambria" w:hAnsi="Times New Roman" w:cs="Times New Roman"/>
        </w:rPr>
        <w:fldChar w:fldCharType="begin" w:fldLock="1"/>
      </w:r>
      <w:r w:rsidR="00D00953">
        <w:rPr>
          <w:rFonts w:ascii="Times New Roman" w:eastAsia="Cambria" w:hAnsi="Times New Roman" w:cs="Times New Roman"/>
        </w:rPr>
        <w:instrText>ADDIN CSL_CITATION {"citationItems":[{"id":"ITEM-1","itemData":{"DOI":"10.1016/j.geoforum.2015.09.013","ISSN":"00167185","abstract":"This introduction to the themed issue discusses the articulation of protected areas, conservation, and security in issue contributions. Protected areas are presented as localized sites to address global crises, such as anthropogenic climate change and the \"war on terror.\" When they are sites for securitization and militarization, protected areas articulate state and subject formations through violence. As threat discourses have amplified in recent years, communities once deemed putative eco-destroyers have been interpellated as potential threats in wars on drugs and/or terror. The themed issue reveals that reframing environmental crime as organized crime has significant implications for expanding claims of what counts as legitimate use of force in protected areas policing, as well as potential prosecutions. It is apparent that security for one group may hinge on the insecurity of another group at different historical and political moments. In this special issue we challenge conservation actors as well as those critical of conservation to ask: for whom does conservation provide security, under what circumstances, and at what cost?","author":[{"dropping-particle":"","family":"Kelly","given":"Alice B.","non-dropping-particle":"","parse-names":false,"suffix":""},{"dropping-particle":"","family":"Ybarra","given":"Megan","non-dropping-particle":"","parse-names":false,"suffix":""}],"container-title":"Geoforum","id":"ITEM-1","issued":{"date-parts":[["2016"]]},"page":"171-175","title":"Introduction to themed issue: \"Green security in protected areas\"","type":"article-journal","volume":"69"},"uris":["http://www.mendeley.com/documents/?uuid=dfc5766a-1936-440a-bd7d-20ee21f11afc"]}],"mendeley":{"formattedCitation":"(Kelly and Ybarra, 2016)","plainTextFormattedCitation":"(Kelly and Ybarra, 2016)","previouslyFormattedCitation":"(Kelly and Ybarra, 2016)"},"properties":{"noteIndex":0},"schema":"https://github.com/citation-style-language/schema/raw/master/csl-citation.json"}</w:instrText>
      </w:r>
      <w:r w:rsidR="00D00953">
        <w:rPr>
          <w:rFonts w:ascii="Times New Roman" w:eastAsia="Cambria" w:hAnsi="Times New Roman" w:cs="Times New Roman"/>
        </w:rPr>
        <w:fldChar w:fldCharType="separate"/>
      </w:r>
      <w:r w:rsidR="00D00953" w:rsidRPr="00D00953">
        <w:rPr>
          <w:rFonts w:ascii="Times New Roman" w:eastAsia="Cambria" w:hAnsi="Times New Roman" w:cs="Times New Roman"/>
          <w:noProof/>
        </w:rPr>
        <w:t>(Kelly and Ybarra, 2016)</w:t>
      </w:r>
      <w:r w:rsidR="00D00953">
        <w:rPr>
          <w:rFonts w:ascii="Times New Roman" w:eastAsia="Cambria" w:hAnsi="Times New Roman" w:cs="Times New Roman"/>
        </w:rPr>
        <w:fldChar w:fldCharType="end"/>
      </w:r>
      <w:r>
        <w:rPr>
          <w:rFonts w:ascii="Times New Roman" w:eastAsia="Cambria" w:hAnsi="Times New Roman" w:cs="Times New Roman"/>
        </w:rPr>
        <w:t xml:space="preserve"> and ‘green militarization’</w:t>
      </w:r>
      <w:r w:rsidR="00D00953">
        <w:rPr>
          <w:rFonts w:ascii="Times New Roman" w:eastAsia="Cambria" w:hAnsi="Times New Roman" w:cs="Times New Roman"/>
        </w:rPr>
        <w:t xml:space="preserve"> </w:t>
      </w:r>
      <w:r w:rsidR="00D00953">
        <w:rPr>
          <w:rFonts w:ascii="Times New Roman" w:eastAsia="Cambria" w:hAnsi="Times New Roman" w:cs="Times New Roman"/>
        </w:rPr>
        <w:fldChar w:fldCharType="begin" w:fldLock="1"/>
      </w:r>
      <w:r w:rsidR="00D00953">
        <w:rPr>
          <w:rFonts w:ascii="Times New Roman" w:eastAsia="Cambria" w:hAnsi="Times New Roman" w:cs="Times New Roman"/>
        </w:rPr>
        <w:instrText>ADDIN CSL_CITATION {"citationItems":[{"id":"ITEM-1","itemData":{"DOI":"10.1080/00045608.2014.912545","ISSN":"14678306","abstract":"Building from scholarship charting the complex, often ambivalent, relationship between military activity and the environment, and the more recent critical geographical work on militarization, this article sheds light on a particular meshing of militarization and conservation: green militarization. An intensifying yet surprisingly understudied trend around the world, this is the use of military and paramilitary personnel, training, technologies, and partnerships in the pursuit of conservation efforts. I introduce this concept, first, as a call for more sustained scholarly investigation into the militarization of conservation practice. More modestly, the article offers its own contribution to this end by turning to South Africa's Kruger National Park, the world's most concentrated site of commercial rhino poaching. Focusing on the state's multilayered and increasingly lethal militarized response to what is itself a highly militarized practice, I illustrate how the spatial qualities of protected areas matter immensely for the convergence of conservation and militarization and the concrete forms this convergence takes. For Kruger, these include its status as a national park framed by a semiporous international border and its expansive, often dense terrain. Steering clear of spatial determinism, I equally show how spatial contours authorize militarization only once they articulate with particular assumptions and values; for Kruger these amount to political-ecological values regarding the nation-state, its sovereignty, and its natural heritage. The result is an intensifying interlocking of conservation and militarization that frequently produces unforeseen consequences. © 2014 © 2014 The Author(s). Published with license by Taylor &amp; Francis, LLC.","author":[{"dropping-particle":"","family":"Lunstrum","given":"Elizabeth","non-dropping-particle":"","parse-names":false,"suffix":""}],"container-title":"Annals of the Association of American Geographers","id":"ITEM-1","issue":"4","issued":{"date-parts":[["2014"]]},"page":"816-832","title":"Green Militarization: Anti-Poaching Efforts and the Spatial Contours of Kruger National Park","type":"article-journal","volume":"104"},"uris":["http://www.mendeley.com/documents/?uuid=af6a8c85-4e38-4e52-8695-171d5dd16511"]}],"mendeley":{"formattedCitation":"(Lunstrum, 2014)","plainTextFormattedCitation":"(Lunstrum, 2014)","previouslyFormattedCitation":"(Lunstrum, 2014)"},"properties":{"noteIndex":0},"schema":"https://github.com/citation-style-language/schema/raw/master/csl-citation.json"}</w:instrText>
      </w:r>
      <w:r w:rsidR="00D00953">
        <w:rPr>
          <w:rFonts w:ascii="Times New Roman" w:eastAsia="Cambria" w:hAnsi="Times New Roman" w:cs="Times New Roman"/>
        </w:rPr>
        <w:fldChar w:fldCharType="separate"/>
      </w:r>
      <w:r w:rsidR="00D00953" w:rsidRPr="00D00953">
        <w:rPr>
          <w:rFonts w:ascii="Times New Roman" w:eastAsia="Cambria" w:hAnsi="Times New Roman" w:cs="Times New Roman"/>
          <w:noProof/>
        </w:rPr>
        <w:t>(Lunstrum, 2014)</w:t>
      </w:r>
      <w:r w:rsidR="00D00953">
        <w:rPr>
          <w:rFonts w:ascii="Times New Roman" w:eastAsia="Cambria" w:hAnsi="Times New Roman" w:cs="Times New Roman"/>
        </w:rPr>
        <w:fldChar w:fldCharType="end"/>
      </w:r>
      <w:r>
        <w:rPr>
          <w:rFonts w:ascii="Times New Roman" w:eastAsia="Cambria" w:hAnsi="Times New Roman" w:cs="Times New Roman"/>
        </w:rPr>
        <w:t xml:space="preserve"> referring to the proliferation of conservation methods informed by military-security logics, particularly in protected areas in the Global South</w:t>
      </w:r>
      <w:r w:rsidR="00D00953">
        <w:rPr>
          <w:rFonts w:ascii="Times New Roman" w:eastAsia="Cambria" w:hAnsi="Times New Roman" w:cs="Times New Roman"/>
        </w:rPr>
        <w:t xml:space="preserve"> </w:t>
      </w:r>
      <w:r w:rsidR="00D00953">
        <w:rPr>
          <w:rFonts w:ascii="Times New Roman" w:eastAsia="Cambria" w:hAnsi="Times New Roman" w:cs="Times New Roman"/>
        </w:rPr>
        <w:fldChar w:fldCharType="begin" w:fldLock="1"/>
      </w:r>
      <w:r w:rsidR="00686D7B">
        <w:rPr>
          <w:rFonts w:ascii="Times New Roman" w:eastAsia="Cambria" w:hAnsi="Times New Roman" w:cs="Times New Roman"/>
        </w:rPr>
        <w:instrText>ADDIN CSL_CITATION {"citationItems":[{"id":"ITEM-1","itemData":{"author":[{"dropping-particle":"","family":"Duffy","given":"Rosaleen","non-dropping-particle":"","parse-names":false,"suffix":""}],"container-title":"International Affairs","id":"ITEM-1","issued":{"date-parts":[["2014"]]},"number-of-pages":"819-834","title":"Waging a war to save biodiversity: the rise of militarized conservation","type":"report","volume":"90"},"uris":["http://www.mendeley.com/documents/?uuid=4f38f0dc-5ec2-3278-a2db-b9a221384148"]},{"id":"ITEM-2","itemData":{"DOI":"10.1016/j.geoforum.2015.09.014","ISSN":"00167185","abstract":"In this paper I argue that there has been a critical shift towards war by conservation in which conservation, security and counter insurgency (COIN) are becoming more closely integrated. In this new phase concerns about global security constitute important underlying drivers, while biodiversity conservation is of secondary importance. This is a significant break from earlier phases of fortress conservation and war for biodiversity. In order to develop a better understanding of these shifts, this paper analyzes the existing conceptual approaches, notably environmental security which seeks to understand how resources cause or shape conflict, and political ecology approaches that focus on the struggles over access to and control over resources. However, this paper indicates the limitations of these existing debates for understanding recent shifts, which require a fresh approach. I chart the rise of the narrative I call poachers-as-terrorists, which relies on the invocation of the idea that ivory is the white gold of Jihad, a phrase which is closely associated with an Elephant Action League (EAL) report in 2012 which claimed Al Shabaab used ivory to fund its operations. This narrative is being extended and deepened by a powerful alliance of states, conservation NGOs, Private Military Companies and international organizations, such that it is shaping policies, especially in areas of US geo-strategic interest in Sub-Saharan Africa. As a result conservation is becoming a core element of a global security project, with significant implications for conceptual debates and for conservation practice on the ground.","author":[{"dropping-particle":"","family":"Duffy","given":"Rosaleen","non-dropping-particle":"","parse-names":false,"suffix":""}],"container-title":"Geoforum","id":"ITEM-2","issued":{"date-parts":[["2016"]]},"page":"238-248","title":"War, by Conservation","type":"article-journal","volume":"69"},"uris":["http://www.mendeley.com/documents/?uuid=6f890b89-faea-4e55-bab7-9500f17bbbee"]},{"id":"ITEM-3","itemData":{"DOI":"10.1016/j.geoforum.2016.08.003","ISSN":"00167185","abstract":"In recent years, the militarization of nature conservation has intensified, especially in protected areas located in conflict zones or plagued by ‘poaching crises’. Such ‘green militarization’ is enabled by a range of discursive techniques that allow it to be seen as a ‘normal’ and ‘legitimate’ response. This article analyzes these techniques in relation to the Virunga National Park, located in the war-ridden east of the Democratic Republic of the Congo, where militarized approaches to conservation have a long lineage. It demonstrates that many of the discursive techniques that are currently at play show strong continuities with the past. These include moral boundary-drawing grounded in colonial tropes that accomplish the (racial) Othering of poachers and rebels, and the long-established practice of invoking states of emergency as part of wider mechanisms of securitization. However, the rise of neoliberal conservation, with its emphasis on marketing and marketization, has induced transformations in the employed discursive techniques. Notably, it has intensified the spectacularization of militarized conservation and anchored it in everyday consumer practices, by actively inviting individual supporters to directly fund militarized interventions, thus generating ‘militarization by consumption’. This shows that ‘green militarization’ is not only driven by the growing commodification of nature conservation, but is increasingly subject to commodification itself.","author":[{"dropping-particle":"","family":"Marijnen","given":"Esther","non-dropping-particle":"","parse-names":false,"suffix":""},{"dropping-particle":"","family":"Verweijen","given":"Judith","non-dropping-particle":"","parse-names":false,"suffix":""}],"container-title":"Geoforum","id":"ITEM-3","issued":{"date-parts":[["2016"]]},"page":"274-285","publisher":"Elsevier Ltd","title":"Selling green militarization: The discursive (re)production of militarized conservation in the Virunga National Park, Democratic Republic of the Congo","type":"article-journal","volume":"75"},"uris":["http://www.mendeley.com/documents/?uuid=f2bab9c1-b01e-4487-ac86-b9b61d7458e0"]},{"id":"ITEM-4","itemData":{"ISBN":"9780520968035","abstract":"Global conservation efforts are celebrated for saving Guatemala's Maya Forest. This book reveals that the process of protecting lands has been one of racialized dispossession for the Indigenous peoples who live there. Through careful ethnography and archival research, Megan Ybarra shows how conservation efforts have turned Q'eqchi' Mayas into immigrants on their own land, and how this is part of a larger national effort to make Indigenous peoples into neoliberal citizens. Even as Q'eqchi's participate in conservation, Green Wars amplifies their call for material decolonization by recognizing the relationship between Indigenous peoples and the land itself.","author":[{"dropping-particle":"","family":"Ybarra","given":"Megan","non-dropping-particle":"","parse-names":false,"suffix":""}],"container-title":"Green Wars: Conservation and Decolonization in the Maya Forest","id":"ITEM-4","issued":{"date-parts":[["2018"]]},"number-of-pages":"1-204","title":"Green Wars: Conservation and Decolonization in the Maya Forest","type":"book"},"uris":["http://www.mendeley.com/documents/?uuid=d001ace5-ebb5-38ab-906f-bd77594b654d"]}],"mendeley":{"formattedCitation":"(Duffy, 2014, 2016; Marijnen and Verweijen, 2016; Ybarra, 2018)","plainTextFormattedCitation":"(Duffy, 2014, 2016; Marijnen and Verweijen, 2016; Ybarra, 2018)","previouslyFormattedCitation":"(Duffy, 2014, 2016; Marijnen and Verweijen, 2016; Ybarra, 2018)"},"properties":{"noteIndex":0},"schema":"https://github.com/citation-style-language/schema/raw/master/csl-citation.json"}</w:instrText>
      </w:r>
      <w:r w:rsidR="00D00953">
        <w:rPr>
          <w:rFonts w:ascii="Times New Roman" w:eastAsia="Cambria" w:hAnsi="Times New Roman" w:cs="Times New Roman"/>
        </w:rPr>
        <w:fldChar w:fldCharType="separate"/>
      </w:r>
      <w:r w:rsidR="00D00953" w:rsidRPr="00D00953">
        <w:rPr>
          <w:rFonts w:ascii="Times New Roman" w:eastAsia="Cambria" w:hAnsi="Times New Roman" w:cs="Times New Roman"/>
          <w:noProof/>
        </w:rPr>
        <w:t>(Duffy, 2014, 2016; Marijnen and Verweijen, 2016; Ybarra, 2018)</w:t>
      </w:r>
      <w:r w:rsidR="00D00953">
        <w:rPr>
          <w:rFonts w:ascii="Times New Roman" w:eastAsia="Cambria" w:hAnsi="Times New Roman" w:cs="Times New Roman"/>
        </w:rPr>
        <w:fldChar w:fldCharType="end"/>
      </w:r>
      <w:r w:rsidR="00D00953">
        <w:rPr>
          <w:rFonts w:ascii="Times New Roman" w:eastAsia="Cambria" w:hAnsi="Times New Roman" w:cs="Times New Roman"/>
        </w:rPr>
        <w:t xml:space="preserve">. </w:t>
      </w:r>
    </w:p>
    <w:p w14:paraId="13A2204C" w14:textId="78342B9A" w:rsidR="00F90322" w:rsidRDefault="00F90322" w:rsidP="003B354F">
      <w:pPr>
        <w:pStyle w:val="normal0"/>
        <w:spacing w:after="160" w:line="360" w:lineRule="auto"/>
        <w:ind w:firstLine="720"/>
        <w:jc w:val="both"/>
        <w:rPr>
          <w:rFonts w:ascii="Times New Roman" w:eastAsia="Cambria" w:hAnsi="Times New Roman" w:cs="Times New Roman"/>
        </w:rPr>
      </w:pPr>
      <w:r>
        <w:rPr>
          <w:rFonts w:ascii="Times New Roman" w:eastAsia="Cambria" w:hAnsi="Times New Roman" w:cs="Times New Roman"/>
        </w:rPr>
        <w:t xml:space="preserve">The securitization of conservation in the context of illegal caviar trade in Europe is less spectacular. Nevertheless, the evolving conservation practices are illustrative of how security logics and approaches from the policing and private security sector are increasingly pervading the conservation sphere globally </w:t>
      </w:r>
      <w:r>
        <w:rPr>
          <w:rFonts w:ascii="Times New Roman" w:eastAsia="Cambria" w:hAnsi="Times New Roman" w:cs="Times New Roman"/>
        </w:rPr>
        <w:fldChar w:fldCharType="begin" w:fldLock="1"/>
      </w:r>
      <w:r w:rsidR="00EC7F7E">
        <w:rPr>
          <w:rFonts w:ascii="Times New Roman" w:eastAsia="Cambria" w:hAnsi="Times New Roman" w:cs="Times New Roman"/>
        </w:rPr>
        <w:instrText>ADDIN CSL_CITATION {"citationItems":[{"id":"ITEM-1","itemData":{"DOI":"10.2458/v27i1.23543","ISSN":"10730451","abstract":"The 2018 London Illegal Wildlife Trade (IWT) Conference was the fourth and biggest meeting on IWT convened at the initiative of the UK Government. Using a collaborative event ethnography, we examine the Conference as a site where key actors defined the problem of IWT as one of serious crime that needs to be addressed as such. We ask (a) how was IWT framed as serious crime, (b) how was this framing mobilized to promote particular policy responses, and (c) how did the framing and suggested responses reflect the privileging of elite voices? Answering these questions demonstrates the expanding ways in which thinking related to crime and policing are an increasingly forceful dynamic shaping conservation-related policy at the global level. We argue that the conservation-crime convergence on display at the 2018 London IWT Conference is characteristic of a conservation policy landscape that increasingly promotes and privileges responses to IWT that are based on legal and judicial reform, criminal investigations, intelligence gathering, and law enforcement technologies. Marginalized are those voices that seek to address the underlying drivers of IWT by promoting solutions rooted in sustainable livelihoods in source countries and global demand reduction. We suggest that political ecology of conservation and environmental crime would benefit from greater engagement with critical criminology, a discipline that critically interrogates the uneven power dynamics that shape ideas of crime, criminality, how they are politicized, and how they frame policy decisions. This would add further conceptual rigor to political ecological work that deconstructs conservation and environmental crime.Keywords: illegal wildlife trade, poaching, conservation, crime, event ethnography, criminology","author":[{"dropping-particle":"","family":"Massé","given":"Francis","non-dropping-particle":"","parse-names":false,"suffix":""},{"dropping-particle":"","family":"Dickinson","given":"Hannah","non-dropping-particle":"","parse-names":false,"suffix":""},{"dropping-particle":"","family":"Margulies","given":"Jared","non-dropping-particle":"","parse-names":false,"suffix":""},{"dropping-particle":"","family":"Joanny","given":"Laure","non-dropping-particle":"","parse-names":false,"suffix":""},{"dropping-particle":"","family":"Lappe-Osthege","given":"Teresa","non-dropping-particle":"","parse-names":false,"suffix":""},{"dropping-particle":"","family":"Duffy","given":"Rosaleen","non-dropping-particle":"","parse-names":false,"suffix":""}],"container-title":"Journal of Political Ecology","id":"ITEM-1","issue":"1","issued":{"date-parts":[["2020"]]},"page":"23-42","title":"Conservation and crime convergence? Situating the 2018 London Illegal Wildlife Trade Conference","type":"article-journal","volume":"27"},"uris":["http://www.mendeley.com/documents/?uuid=8baace65-83c4-4c4c-93db-1b6bc6e05589"]}],"mendeley":{"formattedCitation":"(Massé &lt;i&gt;et al.&lt;/i&gt;, 2020)","plainTextFormattedCitation":"(Massé et al., 2020)","previouslyFormattedCitation":"(Massé &lt;i&gt;et al.&lt;/i&gt;, 2020)"},"properties":{"noteIndex":0},"schema":"https://github.com/citation-style-language/schema/raw/master/csl-citation.json"}</w:instrText>
      </w:r>
      <w:r>
        <w:rPr>
          <w:rFonts w:ascii="Times New Roman" w:eastAsia="Cambria" w:hAnsi="Times New Roman" w:cs="Times New Roman"/>
        </w:rPr>
        <w:fldChar w:fldCharType="separate"/>
      </w:r>
      <w:r w:rsidR="00042533" w:rsidRPr="00042533">
        <w:rPr>
          <w:rFonts w:ascii="Times New Roman" w:eastAsia="Cambria" w:hAnsi="Times New Roman" w:cs="Times New Roman"/>
          <w:noProof/>
        </w:rPr>
        <w:t xml:space="preserve">(Massé </w:t>
      </w:r>
      <w:r w:rsidR="00042533" w:rsidRPr="00042533">
        <w:rPr>
          <w:rFonts w:ascii="Times New Roman" w:eastAsia="Cambria" w:hAnsi="Times New Roman" w:cs="Times New Roman"/>
          <w:i/>
          <w:noProof/>
        </w:rPr>
        <w:t>et al.</w:t>
      </w:r>
      <w:r w:rsidR="00042533" w:rsidRPr="00042533">
        <w:rPr>
          <w:rFonts w:ascii="Times New Roman" w:eastAsia="Cambria" w:hAnsi="Times New Roman" w:cs="Times New Roman"/>
          <w:noProof/>
        </w:rPr>
        <w:t>, 2020)</w:t>
      </w:r>
      <w:r>
        <w:rPr>
          <w:rFonts w:ascii="Times New Roman" w:eastAsia="Cambria" w:hAnsi="Times New Roman" w:cs="Times New Roman"/>
        </w:rPr>
        <w:fldChar w:fldCharType="end"/>
      </w:r>
      <w:r>
        <w:rPr>
          <w:rFonts w:ascii="Times New Roman" w:eastAsia="Cambria" w:hAnsi="Times New Roman" w:cs="Times New Roman"/>
        </w:rPr>
        <w:t>. I argue that in line with</w:t>
      </w:r>
      <w:r w:rsidRPr="00291671">
        <w:rPr>
          <w:rFonts w:ascii="Times New Roman" w:eastAsia="Cambria" w:hAnsi="Times New Roman" w:cs="Times New Roman"/>
        </w:rPr>
        <w:t xml:space="preserve"> </w:t>
      </w:r>
      <w:r w:rsidR="003B7EAA">
        <w:rPr>
          <w:rFonts w:ascii="Times New Roman" w:eastAsia="Cambria" w:hAnsi="Times New Roman" w:cs="Times New Roman"/>
        </w:rPr>
        <w:t xml:space="preserve">the </w:t>
      </w:r>
      <w:r w:rsidRPr="00291671">
        <w:rPr>
          <w:rFonts w:ascii="Times New Roman" w:eastAsia="Cambria" w:hAnsi="Times New Roman" w:cs="Times New Roman"/>
        </w:rPr>
        <w:t>concerns about securi</w:t>
      </w:r>
      <w:r w:rsidR="003B7EAA">
        <w:rPr>
          <w:rFonts w:ascii="Times New Roman" w:eastAsia="Cambria" w:hAnsi="Times New Roman" w:cs="Times New Roman"/>
        </w:rPr>
        <w:t xml:space="preserve">ty and organised crime outlined in the previous section, the proposed responses to sturgeon crimes </w:t>
      </w:r>
      <w:r w:rsidRPr="00291671">
        <w:rPr>
          <w:rFonts w:ascii="Times New Roman" w:eastAsia="Cambria" w:hAnsi="Times New Roman" w:cs="Times New Roman"/>
        </w:rPr>
        <w:t xml:space="preserve">are underwritten with a tacit support for techniques more commonly employed in the security and policing sector, such as surveillance and intelligence gathering. </w:t>
      </w:r>
    </w:p>
    <w:p w14:paraId="7C5DCF81" w14:textId="6817D3F7" w:rsidR="001B3267" w:rsidRPr="007A3842" w:rsidRDefault="00F90322" w:rsidP="003B354F">
      <w:pPr>
        <w:pStyle w:val="normal0"/>
        <w:spacing w:after="160" w:line="360" w:lineRule="auto"/>
        <w:jc w:val="both"/>
        <w:rPr>
          <w:rFonts w:ascii="Times New Roman" w:eastAsia="Cambria" w:hAnsi="Times New Roman" w:cs="Times New Roman"/>
        </w:rPr>
      </w:pPr>
      <w:r>
        <w:rPr>
          <w:rFonts w:ascii="Times New Roman" w:eastAsia="Cambria" w:hAnsi="Times New Roman" w:cs="Times New Roman"/>
        </w:rPr>
        <w:tab/>
        <w:t>As stated previously, WWF is positioned as the pre-eminent actor shaping agendas on sturgeon</w:t>
      </w:r>
      <w:r w:rsidR="00302EE0">
        <w:rPr>
          <w:rFonts w:ascii="Times New Roman" w:eastAsia="Cambria" w:hAnsi="Times New Roman" w:cs="Times New Roman"/>
        </w:rPr>
        <w:t xml:space="preserve"> conservation and sturgeon</w:t>
      </w:r>
      <w:r>
        <w:rPr>
          <w:rFonts w:ascii="Times New Roman" w:eastAsia="Cambria" w:hAnsi="Times New Roman" w:cs="Times New Roman"/>
        </w:rPr>
        <w:t xml:space="preserve"> crimes in the Danube region of Europe. Whilst improving enforcement activities is part of WWF’s agenda, they do not possess the legal recourse to engage in enforcement activities themselves. Irini explained: </w:t>
      </w:r>
    </w:p>
    <w:p w14:paraId="03C0A62D" w14:textId="06E54ECC" w:rsidR="00F90322" w:rsidRPr="002E4515" w:rsidRDefault="00F90322" w:rsidP="003B354F">
      <w:pPr>
        <w:pStyle w:val="Quote"/>
      </w:pPr>
      <w:r w:rsidRPr="002E4515">
        <w:t>It’s not on us to stop the poaching. The control bodies should stop it… Anyway, the law does not permit us to do that. We cannot do it, go there and say ‘No. You’ve done something illegal.’ We can’t stop it. We can report to the bodies that are doing the control, and say if we see something suspicious. But until now the important thing is to keep the subject in their agenda. They talk about it. The control bodies know about it and talk about it. Be aware of this problem, and maybe be more responsible in doing things about it.</w:t>
      </w:r>
      <w:r w:rsidRPr="005B292F">
        <w:rPr>
          <w:rStyle w:val="FootnoteReference"/>
        </w:rPr>
        <w:footnoteReference w:id="234"/>
      </w:r>
    </w:p>
    <w:p w14:paraId="10B3B184" w14:textId="77777777" w:rsidR="00F90322" w:rsidRPr="002E4515" w:rsidRDefault="00F90322" w:rsidP="003B354F">
      <w:pPr>
        <w:pStyle w:val="normal0"/>
        <w:spacing w:after="160" w:line="360" w:lineRule="auto"/>
        <w:jc w:val="both"/>
        <w:rPr>
          <w:rFonts w:ascii="Times New Roman" w:eastAsia="Cambria" w:hAnsi="Times New Roman" w:cs="Times New Roman"/>
        </w:rPr>
      </w:pPr>
    </w:p>
    <w:p w14:paraId="58ADCC06" w14:textId="1A69D92F" w:rsidR="00F90322" w:rsidRDefault="00F90322" w:rsidP="003B354F">
      <w:pPr>
        <w:pStyle w:val="normal0"/>
        <w:spacing w:after="160" w:line="360" w:lineRule="auto"/>
        <w:jc w:val="both"/>
        <w:rPr>
          <w:rFonts w:ascii="Times New Roman" w:eastAsia="Cambria" w:hAnsi="Times New Roman" w:cs="Times New Roman"/>
        </w:rPr>
      </w:pPr>
      <w:r w:rsidRPr="007A3842">
        <w:rPr>
          <w:rFonts w:ascii="Times New Roman" w:eastAsia="Cambria" w:hAnsi="Times New Roman" w:cs="Times New Roman"/>
        </w:rPr>
        <w:t xml:space="preserve">By pushing to keep the issue on the agenda of the enforcement bodies, WWF </w:t>
      </w:r>
      <w:r>
        <w:rPr>
          <w:rFonts w:ascii="Times New Roman" w:eastAsia="Cambria" w:hAnsi="Times New Roman" w:cs="Times New Roman"/>
        </w:rPr>
        <w:t xml:space="preserve">have </w:t>
      </w:r>
      <w:r w:rsidRPr="007A3842">
        <w:rPr>
          <w:rFonts w:ascii="Times New Roman" w:eastAsia="Cambria" w:hAnsi="Times New Roman" w:cs="Times New Roman"/>
        </w:rPr>
        <w:t xml:space="preserve">altered the enforcement landscape around sturgeon poaching and illegal </w:t>
      </w:r>
      <w:r w:rsidR="00B1117E">
        <w:rPr>
          <w:rFonts w:ascii="Times New Roman" w:eastAsia="Cambria" w:hAnsi="Times New Roman" w:cs="Times New Roman"/>
        </w:rPr>
        <w:t xml:space="preserve">caviar </w:t>
      </w:r>
      <w:r w:rsidRPr="007A3842">
        <w:rPr>
          <w:rFonts w:ascii="Times New Roman" w:eastAsia="Cambria" w:hAnsi="Times New Roman" w:cs="Times New Roman"/>
        </w:rPr>
        <w:t>trade</w:t>
      </w:r>
      <w:r>
        <w:rPr>
          <w:rFonts w:ascii="Times New Roman" w:eastAsia="Cambria" w:hAnsi="Times New Roman" w:cs="Times New Roman"/>
        </w:rPr>
        <w:t xml:space="preserve"> in Europe</w:t>
      </w:r>
      <w:r w:rsidRPr="007A3842">
        <w:rPr>
          <w:rFonts w:ascii="Times New Roman" w:eastAsia="Cambria" w:hAnsi="Times New Roman" w:cs="Times New Roman"/>
        </w:rPr>
        <w:t>, shifting it towards mo</w:t>
      </w:r>
      <w:r>
        <w:rPr>
          <w:rFonts w:ascii="Times New Roman" w:eastAsia="Cambria" w:hAnsi="Times New Roman" w:cs="Times New Roman"/>
        </w:rPr>
        <w:t xml:space="preserve">re security oriented responses. </w:t>
      </w:r>
      <w:r w:rsidRPr="007A3842">
        <w:rPr>
          <w:rFonts w:ascii="Times New Roman" w:eastAsia="Cambria" w:hAnsi="Times New Roman" w:cs="Times New Roman"/>
        </w:rPr>
        <w:t>For example, in pushing for ramped up enforcement</w:t>
      </w:r>
      <w:r>
        <w:rPr>
          <w:rFonts w:ascii="Times New Roman" w:eastAsia="Cambria" w:hAnsi="Times New Roman" w:cs="Times New Roman"/>
        </w:rPr>
        <w:t xml:space="preserve"> against sturgeon crimes</w:t>
      </w:r>
      <w:r w:rsidRPr="007A3842">
        <w:rPr>
          <w:rFonts w:ascii="Times New Roman" w:eastAsia="Cambria" w:hAnsi="Times New Roman" w:cs="Times New Roman"/>
        </w:rPr>
        <w:t xml:space="preserve"> in Lower Danube countries, </w:t>
      </w:r>
      <w:r>
        <w:rPr>
          <w:rFonts w:ascii="Times New Roman" w:eastAsia="Cambria" w:hAnsi="Times New Roman" w:cs="Times New Roman"/>
        </w:rPr>
        <w:t>the LIFE project has donated</w:t>
      </w:r>
      <w:r w:rsidRPr="007A3842">
        <w:rPr>
          <w:rFonts w:ascii="Times New Roman" w:eastAsia="Cambria" w:hAnsi="Times New Roman" w:cs="Times New Roman"/>
        </w:rPr>
        <w:t xml:space="preserve"> an IP surveillance c</w:t>
      </w:r>
      <w:r>
        <w:rPr>
          <w:rFonts w:ascii="Times New Roman" w:eastAsia="Cambria" w:hAnsi="Times New Roman" w:cs="Times New Roman"/>
        </w:rPr>
        <w:t xml:space="preserve">amera </w:t>
      </w:r>
      <w:r>
        <w:rPr>
          <w:rFonts w:ascii="Times New Roman" w:eastAsia="Cambria" w:hAnsi="Times New Roman" w:cs="Times New Roman"/>
        </w:rPr>
        <w:lastRenderedPageBreak/>
        <w:t>to Ukrainian Border Force. The camera is a stationary device that can rotate 360 degrees and move vertically, and transmits video footage in full HD format. Border guards manage the device through a smartphone or the internet, and the camera has been installed at a well-known poaching hotspot close to the Ukrainian-Romanian border</w:t>
      </w:r>
      <w:r w:rsidRPr="005B292F">
        <w:rPr>
          <w:rStyle w:val="FootnoteReference"/>
        </w:rPr>
        <w:footnoteReference w:id="235"/>
      </w:r>
      <w:r w:rsidRPr="007A3842">
        <w:rPr>
          <w:rFonts w:ascii="Times New Roman" w:eastAsia="Cambria" w:hAnsi="Times New Roman" w:cs="Times New Roman"/>
        </w:rPr>
        <w:t>.</w:t>
      </w:r>
      <w:r>
        <w:rPr>
          <w:rFonts w:ascii="Times New Roman" w:eastAsia="Cambria" w:hAnsi="Times New Roman" w:cs="Times New Roman"/>
        </w:rPr>
        <w:t xml:space="preserve"> The camera set-up has been</w:t>
      </w:r>
      <w:r w:rsidRPr="007A3842">
        <w:rPr>
          <w:rFonts w:ascii="Times New Roman" w:eastAsia="Cambria" w:hAnsi="Times New Roman" w:cs="Times New Roman"/>
        </w:rPr>
        <w:t xml:space="preserve"> modelled on a</w:t>
      </w:r>
      <w:r w:rsidR="00B1117E">
        <w:rPr>
          <w:rFonts w:ascii="Times New Roman" w:eastAsia="Cambria" w:hAnsi="Times New Roman" w:cs="Times New Roman"/>
        </w:rPr>
        <w:t>n extensive surveillance</w:t>
      </w:r>
      <w:r w:rsidRPr="007A3842">
        <w:rPr>
          <w:rFonts w:ascii="Times New Roman" w:eastAsia="Cambria" w:hAnsi="Times New Roman" w:cs="Times New Roman"/>
        </w:rPr>
        <w:t xml:space="preserve"> initiative in Romania, where there is a whole system </w:t>
      </w:r>
      <w:r>
        <w:rPr>
          <w:rFonts w:ascii="Times New Roman" w:eastAsia="Cambria" w:hAnsi="Times New Roman" w:cs="Times New Roman"/>
        </w:rPr>
        <w:t>of video surveillance installed</w:t>
      </w:r>
      <w:r w:rsidR="00C20FDB">
        <w:rPr>
          <w:rFonts w:ascii="Times New Roman" w:eastAsia="Cambria" w:hAnsi="Times New Roman" w:cs="Times New Roman"/>
        </w:rPr>
        <w:t xml:space="preserve"> along the Black Sea coast</w:t>
      </w:r>
      <w:r w:rsidR="00B1117E" w:rsidRPr="005B292F">
        <w:rPr>
          <w:rStyle w:val="FootnoteReference"/>
        </w:rPr>
        <w:footnoteReference w:id="236"/>
      </w:r>
      <w:r>
        <w:rPr>
          <w:rFonts w:ascii="Times New Roman" w:eastAsia="Cambria" w:hAnsi="Times New Roman" w:cs="Times New Roman"/>
        </w:rPr>
        <w:t xml:space="preserve">. </w:t>
      </w:r>
      <w:r w:rsidR="00595DFE">
        <w:rPr>
          <w:rFonts w:ascii="Times New Roman" w:eastAsia="Cambria" w:hAnsi="Times New Roman" w:cs="Times New Roman"/>
        </w:rPr>
        <w:t xml:space="preserve">NGO representative </w:t>
      </w:r>
      <w:r w:rsidR="00C20FDB">
        <w:rPr>
          <w:rFonts w:ascii="Times New Roman" w:eastAsia="Cambria" w:hAnsi="Times New Roman" w:cs="Times New Roman"/>
        </w:rPr>
        <w:t xml:space="preserve">Melanie explained </w:t>
      </w:r>
      <w:r>
        <w:rPr>
          <w:rFonts w:ascii="Times New Roman" w:eastAsia="Cambria" w:hAnsi="Times New Roman" w:cs="Times New Roman"/>
        </w:rPr>
        <w:t xml:space="preserve">that </w:t>
      </w:r>
      <w:r w:rsidR="00595DFE">
        <w:rPr>
          <w:rFonts w:ascii="Times New Roman" w:eastAsia="Cambria" w:hAnsi="Times New Roman" w:cs="Times New Roman"/>
        </w:rPr>
        <w:t>the Romanian system has</w:t>
      </w:r>
      <w:r>
        <w:rPr>
          <w:rFonts w:ascii="Times New Roman" w:eastAsia="Cambria" w:hAnsi="Times New Roman" w:cs="Times New Roman"/>
        </w:rPr>
        <w:t xml:space="preserve"> cameras </w:t>
      </w:r>
      <w:r w:rsidR="00595DFE">
        <w:rPr>
          <w:rFonts w:ascii="Times New Roman" w:eastAsia="Cambria" w:hAnsi="Times New Roman" w:cs="Times New Roman"/>
        </w:rPr>
        <w:t>installed every 5-6km, which</w:t>
      </w:r>
      <w:r>
        <w:rPr>
          <w:rFonts w:ascii="Times New Roman" w:eastAsia="Cambria" w:hAnsi="Times New Roman" w:cs="Times New Roman"/>
        </w:rPr>
        <w:t xml:space="preserve"> </w:t>
      </w:r>
      <w:r w:rsidRPr="007A3842">
        <w:rPr>
          <w:rFonts w:ascii="Times New Roman" w:eastAsia="Cambria" w:hAnsi="Times New Roman" w:cs="Times New Roman"/>
        </w:rPr>
        <w:t xml:space="preserve">capture and disclose </w:t>
      </w:r>
      <w:r w:rsidR="00C20FDB">
        <w:rPr>
          <w:rFonts w:ascii="Times New Roman" w:eastAsia="Cambria" w:hAnsi="Times New Roman" w:cs="Times New Roman"/>
        </w:rPr>
        <w:t xml:space="preserve">instances of </w:t>
      </w:r>
      <w:r w:rsidRPr="007A3842">
        <w:rPr>
          <w:rFonts w:ascii="Times New Roman" w:eastAsia="Cambria" w:hAnsi="Times New Roman" w:cs="Times New Roman"/>
        </w:rPr>
        <w:t>sturgeon fishing violation</w:t>
      </w:r>
      <w:r>
        <w:rPr>
          <w:rFonts w:ascii="Times New Roman" w:eastAsia="Cambria" w:hAnsi="Times New Roman" w:cs="Times New Roman"/>
        </w:rPr>
        <w:t>s</w:t>
      </w:r>
      <w:r w:rsidR="00C20FDB">
        <w:rPr>
          <w:rFonts w:ascii="Times New Roman" w:eastAsia="Cambria" w:hAnsi="Times New Roman" w:cs="Times New Roman"/>
        </w:rPr>
        <w:t xml:space="preserve"> amongst other crimes including illegal immigration and drug trafficking</w:t>
      </w:r>
      <w:r>
        <w:rPr>
          <w:rFonts w:ascii="Times New Roman" w:eastAsia="Cambria" w:hAnsi="Times New Roman" w:cs="Times New Roman"/>
        </w:rPr>
        <w:t xml:space="preserve">. </w:t>
      </w:r>
    </w:p>
    <w:p w14:paraId="1E78EF6D" w14:textId="7EE633F0" w:rsidR="00F90322" w:rsidRDefault="00F90322" w:rsidP="003B354F">
      <w:pPr>
        <w:pStyle w:val="normal0"/>
        <w:spacing w:after="160" w:line="360" w:lineRule="auto"/>
        <w:ind w:firstLine="720"/>
        <w:jc w:val="both"/>
        <w:rPr>
          <w:rFonts w:ascii="Times New Roman" w:eastAsia="Cambria" w:hAnsi="Times New Roman" w:cs="Times New Roman"/>
        </w:rPr>
      </w:pPr>
      <w:r>
        <w:rPr>
          <w:rFonts w:ascii="Times New Roman" w:eastAsia="Cambria" w:hAnsi="Times New Roman" w:cs="Times New Roman"/>
        </w:rPr>
        <w:t>The roll-out of these cameras represents an explicit example of ‘conservation surveillance’</w:t>
      </w:r>
      <w:r>
        <w:rPr>
          <w:rFonts w:ascii="Times New Roman" w:eastAsia="Cambria" w:hAnsi="Times New Roman" w:cs="Times New Roman"/>
        </w:rPr>
        <w:fldChar w:fldCharType="begin" w:fldLock="1"/>
      </w:r>
      <w:r>
        <w:rPr>
          <w:rFonts w:ascii="Times New Roman" w:eastAsia="Cambria" w:hAnsi="Times New Roman" w:cs="Times New Roman"/>
        </w:rPr>
        <w:instrText>ADDIN CSL_CITATION {"citationItems":[{"id":"ITEM-1","itemData":{"DOI":"10.4103/cs.cs","ISBN":"9780816530441","ISSN":"09753133","author":[{"dropping-particle":"","family":"Sandbrook, Chris; Rogelio, Luqe-Lora; Adams","given":"William M.","non-dropping-particle":"","parse-names":false,"suffix":""}],"container-title":"Conservation and Society","id":"ITEM-1","issue":"4","issued":{"date-parts":[["2018"]]},"page":"493-504","title":"Human Bycatch: Conservation Surveillance and the Social Implications of Camera Traps","type":"article-journal","volume":"16"},"uris":["http://www.mendeley.com/documents/?uuid=d1d6986a-92c5-414b-b24b-0dfe13e27c81"]}],"mendeley":{"formattedCitation":"(Sandbrook, Chris; Rogelio, Luqe-Lora; Adams, 2018)","manualFormatting":"(Sandbrook et al., 2018)","plainTextFormattedCitation":"(Sandbrook, Chris; Rogelio, Luqe-Lora; Adams, 2018)","previouslyFormattedCitation":"(Sandbrook, Chris; Rogelio, Luqe-Lora; Adams, 2018)"},"properties":{"noteIndex":0},"schema":"https://github.com/citation-style-language/schema/raw/master/csl-citation.json"}</w:instrText>
      </w:r>
      <w:r>
        <w:rPr>
          <w:rFonts w:ascii="Times New Roman" w:eastAsia="Cambria" w:hAnsi="Times New Roman" w:cs="Times New Roman"/>
        </w:rPr>
        <w:fldChar w:fldCharType="separate"/>
      </w:r>
      <w:r>
        <w:rPr>
          <w:rFonts w:ascii="Times New Roman" w:eastAsia="Cambria" w:hAnsi="Times New Roman" w:cs="Times New Roman"/>
          <w:noProof/>
        </w:rPr>
        <w:t xml:space="preserve">(Sandbrook </w:t>
      </w:r>
      <w:r w:rsidRPr="00AB2204">
        <w:rPr>
          <w:rFonts w:ascii="Times New Roman" w:eastAsia="Cambria" w:hAnsi="Times New Roman" w:cs="Times New Roman"/>
          <w:i/>
          <w:noProof/>
        </w:rPr>
        <w:t>et al</w:t>
      </w:r>
      <w:r>
        <w:rPr>
          <w:rFonts w:ascii="Times New Roman" w:eastAsia="Cambria" w:hAnsi="Times New Roman" w:cs="Times New Roman"/>
          <w:noProof/>
        </w:rPr>
        <w:t>.,</w:t>
      </w:r>
      <w:r w:rsidRPr="00AB2204">
        <w:rPr>
          <w:rFonts w:ascii="Times New Roman" w:eastAsia="Cambria" w:hAnsi="Times New Roman" w:cs="Times New Roman"/>
          <w:noProof/>
        </w:rPr>
        <w:t xml:space="preserve"> 2018)</w:t>
      </w:r>
      <w:r>
        <w:rPr>
          <w:rFonts w:ascii="Times New Roman" w:eastAsia="Cambria" w:hAnsi="Times New Roman" w:cs="Times New Roman"/>
        </w:rPr>
        <w:fldChar w:fldCharType="end"/>
      </w:r>
      <w:r>
        <w:rPr>
          <w:rFonts w:ascii="Times New Roman" w:eastAsia="Cambria" w:hAnsi="Times New Roman" w:cs="Times New Roman"/>
        </w:rPr>
        <w:t xml:space="preserve"> and illustrates that human imaging is developing as part of</w:t>
      </w:r>
      <w:r w:rsidR="00C20FDB">
        <w:rPr>
          <w:rFonts w:ascii="Times New Roman" w:eastAsia="Cambria" w:hAnsi="Times New Roman" w:cs="Times New Roman"/>
        </w:rPr>
        <w:t xml:space="preserve"> standard conservation practice </w:t>
      </w:r>
      <w:r>
        <w:rPr>
          <w:rFonts w:ascii="Times New Roman" w:eastAsia="Cambria" w:hAnsi="Times New Roman" w:cs="Times New Roman"/>
        </w:rPr>
        <w:t>(ibid: 501). Unlike camera traps deployed by researchers and conservation practitioners to collect images of endangered species, which may accidentally capture images of humans (human bycatch); the primar</w:t>
      </w:r>
      <w:r w:rsidR="002A619F">
        <w:rPr>
          <w:rFonts w:ascii="Times New Roman" w:eastAsia="Cambria" w:hAnsi="Times New Roman" w:cs="Times New Roman"/>
        </w:rPr>
        <w:t>y use of surveillance cameras at the Ukrainian-Romanian border,</w:t>
      </w:r>
      <w:r>
        <w:rPr>
          <w:rFonts w:ascii="Times New Roman" w:eastAsia="Cambria" w:hAnsi="Times New Roman" w:cs="Times New Roman"/>
        </w:rPr>
        <w:t xml:space="preserve"> is catching instances of illegal sturgeon poaching. This is emphasised in the title of an online article celebrating </w:t>
      </w:r>
      <w:r w:rsidR="002A619F">
        <w:rPr>
          <w:rFonts w:ascii="Times New Roman" w:eastAsia="Cambria" w:hAnsi="Times New Roman" w:cs="Times New Roman"/>
        </w:rPr>
        <w:t>the donation of the IP camera: “</w:t>
      </w:r>
      <w:r>
        <w:rPr>
          <w:rFonts w:ascii="Times New Roman" w:eastAsia="Cambria" w:hAnsi="Times New Roman" w:cs="Times New Roman"/>
        </w:rPr>
        <w:t>photo-shooting season on illegal sturgeon fishing is open</w:t>
      </w:r>
      <w:r w:rsidR="002A619F">
        <w:rPr>
          <w:rFonts w:ascii="Times New Roman" w:eastAsia="Cambria" w:hAnsi="Times New Roman" w:cs="Times New Roman"/>
        </w:rPr>
        <w:t>”</w:t>
      </w:r>
      <w:r w:rsidRPr="005B292F">
        <w:rPr>
          <w:rStyle w:val="FootnoteReference"/>
        </w:rPr>
        <w:footnoteReference w:id="237"/>
      </w:r>
      <w:r>
        <w:rPr>
          <w:rFonts w:ascii="Times New Roman" w:eastAsia="Cambria" w:hAnsi="Times New Roman" w:cs="Times New Roman"/>
        </w:rPr>
        <w:t xml:space="preserve">. Moreover, </w:t>
      </w:r>
      <w:r w:rsidR="00595DFE">
        <w:rPr>
          <w:rFonts w:ascii="Times New Roman" w:eastAsia="Cambria" w:hAnsi="Times New Roman" w:cs="Times New Roman"/>
        </w:rPr>
        <w:t xml:space="preserve">NGO representaitve </w:t>
      </w:r>
      <w:r w:rsidR="002A619F">
        <w:rPr>
          <w:rFonts w:ascii="Times New Roman" w:eastAsia="Cambria" w:hAnsi="Times New Roman" w:cs="Times New Roman"/>
        </w:rPr>
        <w:t>Melanie explained that “</w:t>
      </w:r>
      <w:r>
        <w:rPr>
          <w:rFonts w:ascii="Times New Roman" w:eastAsia="Cambria" w:hAnsi="Times New Roman" w:cs="Times New Roman"/>
        </w:rPr>
        <w:t>we signed a special memorandum with border police. In this document we agreed that this camera is used only for anti-poaching. Because this camera was bought from funds of LIFE project, we can use it only for preventing poaching</w:t>
      </w:r>
      <w:r w:rsidR="002A619F">
        <w:rPr>
          <w:rFonts w:ascii="Times New Roman" w:eastAsia="Cambria" w:hAnsi="Times New Roman" w:cs="Times New Roman"/>
        </w:rPr>
        <w:t>”</w:t>
      </w:r>
      <w:r w:rsidRPr="005B292F">
        <w:rPr>
          <w:rStyle w:val="FootnoteReference"/>
        </w:rPr>
        <w:footnoteReference w:id="238"/>
      </w:r>
      <w:r>
        <w:rPr>
          <w:rFonts w:ascii="Times New Roman" w:eastAsia="Cambria" w:hAnsi="Times New Roman" w:cs="Times New Roman"/>
        </w:rPr>
        <w:t>. In thi</w:t>
      </w:r>
      <w:r w:rsidR="00595DFE">
        <w:rPr>
          <w:rFonts w:ascii="Times New Roman" w:eastAsia="Cambria" w:hAnsi="Times New Roman" w:cs="Times New Roman"/>
        </w:rPr>
        <w:t xml:space="preserve">s regard, the operation of this camera </w:t>
      </w:r>
      <w:r>
        <w:rPr>
          <w:rFonts w:ascii="Times New Roman" w:eastAsia="Cambria" w:hAnsi="Times New Roman" w:cs="Times New Roman"/>
        </w:rPr>
        <w:t>is specifically centred around collecting images of ‘poachers’.</w:t>
      </w:r>
    </w:p>
    <w:p w14:paraId="2085FBFF" w14:textId="3966C795" w:rsidR="00F90322" w:rsidRDefault="00F90322" w:rsidP="003B354F">
      <w:pPr>
        <w:pStyle w:val="normal0"/>
        <w:spacing w:after="160" w:line="360" w:lineRule="auto"/>
        <w:jc w:val="both"/>
        <w:rPr>
          <w:rFonts w:ascii="Times New Roman" w:eastAsia="Cambria" w:hAnsi="Times New Roman" w:cs="Times New Roman"/>
        </w:rPr>
      </w:pPr>
      <w:r>
        <w:rPr>
          <w:rFonts w:ascii="Times New Roman" w:eastAsia="Cambria" w:hAnsi="Times New Roman" w:cs="Times New Roman"/>
        </w:rPr>
        <w:tab/>
        <w:t xml:space="preserve">Sandbrook </w:t>
      </w:r>
      <w:r w:rsidRPr="00C6158D">
        <w:rPr>
          <w:rFonts w:ascii="Times New Roman" w:eastAsia="Cambria" w:hAnsi="Times New Roman" w:cs="Times New Roman"/>
          <w:i/>
        </w:rPr>
        <w:t>et al</w:t>
      </w:r>
      <w:r>
        <w:rPr>
          <w:rFonts w:ascii="Times New Roman" w:eastAsia="Cambria" w:hAnsi="Times New Roman" w:cs="Times New Roman"/>
        </w:rPr>
        <w:t>. (2018) stress that practices of conservation surveillance carry social and political implications that need to be interrogated. In the case of the LIFE for Danube Sturgeons project, the WWF agencies involved are unable to conduct enforcement activities themselves. However through donations of cameras they are able to equip border force guards and other enforcement bodies with the high-tech and modern means to conduct their anti-poaching operations via a more security-oriented framework. Sandbro</w:t>
      </w:r>
      <w:r w:rsidR="002A619F">
        <w:rPr>
          <w:rFonts w:ascii="Times New Roman" w:eastAsia="Cambria" w:hAnsi="Times New Roman" w:cs="Times New Roman"/>
        </w:rPr>
        <w:t xml:space="preserve">ok </w:t>
      </w:r>
      <w:r w:rsidR="002A619F" w:rsidRPr="00C6158D">
        <w:rPr>
          <w:rFonts w:ascii="Times New Roman" w:eastAsia="Cambria" w:hAnsi="Times New Roman" w:cs="Times New Roman"/>
          <w:i/>
        </w:rPr>
        <w:t>et al</w:t>
      </w:r>
      <w:r w:rsidR="00C6158D">
        <w:rPr>
          <w:rFonts w:ascii="Times New Roman" w:eastAsia="Cambria" w:hAnsi="Times New Roman" w:cs="Times New Roman"/>
          <w:i/>
        </w:rPr>
        <w:t>.</w:t>
      </w:r>
      <w:r w:rsidR="002A619F">
        <w:rPr>
          <w:rFonts w:ascii="Times New Roman" w:eastAsia="Cambria" w:hAnsi="Times New Roman" w:cs="Times New Roman"/>
        </w:rPr>
        <w:t xml:space="preserve"> (2018) note that when “</w:t>
      </w:r>
      <w:r>
        <w:rPr>
          <w:rFonts w:ascii="Times New Roman" w:eastAsia="Cambria" w:hAnsi="Times New Roman" w:cs="Times New Roman"/>
        </w:rPr>
        <w:t xml:space="preserve">cameras are deployed by non-state actors (such as researchers or NGOs) they extend the authority in </w:t>
      </w:r>
      <w:r>
        <w:rPr>
          <w:rFonts w:ascii="Times New Roman" w:eastAsia="Cambria" w:hAnsi="Times New Roman" w:cs="Times New Roman"/>
        </w:rPr>
        <w:lastRenderedPageBreak/>
        <w:t>environmen</w:t>
      </w:r>
      <w:r w:rsidR="002A619F">
        <w:rPr>
          <w:rFonts w:ascii="Times New Roman" w:eastAsia="Cambria" w:hAnsi="Times New Roman" w:cs="Times New Roman"/>
        </w:rPr>
        <w:t>tal governance beyond the state”</w:t>
      </w:r>
      <w:r>
        <w:rPr>
          <w:rFonts w:ascii="Times New Roman" w:eastAsia="Cambria" w:hAnsi="Times New Roman" w:cs="Times New Roman"/>
        </w:rPr>
        <w:t xml:space="preserve"> (ibid: 501); and in this case WWF express authority to shape environmental governance in securitized ways. </w:t>
      </w:r>
    </w:p>
    <w:p w14:paraId="76AC7EF2" w14:textId="3A0D8D1B" w:rsidR="009C104B" w:rsidRDefault="00F90322" w:rsidP="003B354F">
      <w:pPr>
        <w:pStyle w:val="normal0"/>
        <w:spacing w:after="160" w:line="360" w:lineRule="auto"/>
        <w:ind w:firstLine="720"/>
        <w:jc w:val="both"/>
        <w:rPr>
          <w:rFonts w:ascii="Times New Roman" w:eastAsia="Cambria" w:hAnsi="Times New Roman" w:cs="Times New Roman"/>
        </w:rPr>
      </w:pPr>
      <w:r>
        <w:rPr>
          <w:rFonts w:ascii="Times New Roman" w:eastAsia="Cambria" w:hAnsi="Times New Roman" w:cs="Times New Roman"/>
        </w:rPr>
        <w:t>Moreover, in providing the camera to border force, the partners of the LIFE project gain access to the footage that is produced – it is not solely restricted to the state enforcement authorities. This could be a posit</w:t>
      </w:r>
      <w:r w:rsidR="002A619F">
        <w:rPr>
          <w:rFonts w:ascii="Times New Roman" w:eastAsia="Cambria" w:hAnsi="Times New Roman" w:cs="Times New Roman"/>
        </w:rPr>
        <w:t>ive development, as “</w:t>
      </w:r>
      <w:r>
        <w:rPr>
          <w:rFonts w:ascii="Times New Roman" w:eastAsia="Cambria" w:hAnsi="Times New Roman" w:cs="Times New Roman"/>
        </w:rPr>
        <w:t xml:space="preserve">in circumstances where governance systems of justice are weak or arbitrary, it is problematic to assume that images of people apparently breaking the law witll </w:t>
      </w:r>
      <w:r w:rsidR="002A619F">
        <w:rPr>
          <w:rFonts w:ascii="Times New Roman" w:eastAsia="Cambria" w:hAnsi="Times New Roman" w:cs="Times New Roman"/>
        </w:rPr>
        <w:t>be used wisely and fairly”</w:t>
      </w:r>
      <w:r>
        <w:rPr>
          <w:rFonts w:ascii="Times New Roman" w:eastAsia="Cambria" w:hAnsi="Times New Roman" w:cs="Times New Roman"/>
        </w:rPr>
        <w:t xml:space="preserve"> (Sandbrook </w:t>
      </w:r>
      <w:r w:rsidRPr="00FB2AC5">
        <w:rPr>
          <w:rFonts w:ascii="Times New Roman" w:eastAsia="Cambria" w:hAnsi="Times New Roman" w:cs="Times New Roman"/>
          <w:i/>
        </w:rPr>
        <w:t>et al.,</w:t>
      </w:r>
      <w:r>
        <w:rPr>
          <w:rFonts w:ascii="Times New Roman" w:eastAsia="Cambria" w:hAnsi="Times New Roman" w:cs="Times New Roman"/>
        </w:rPr>
        <w:t xml:space="preserve"> 2018: 500); and so the oversight of an international NGO may better guide how state enforcement agencies use the images. However, discussions with representatives of the LIFE project raised mo</w:t>
      </w:r>
      <w:r w:rsidR="002A619F">
        <w:rPr>
          <w:rFonts w:ascii="Times New Roman" w:eastAsia="Cambria" w:hAnsi="Times New Roman" w:cs="Times New Roman"/>
        </w:rPr>
        <w:t>re ethical questions about the “</w:t>
      </w:r>
      <w:r>
        <w:rPr>
          <w:rFonts w:ascii="Times New Roman" w:eastAsia="Cambria" w:hAnsi="Times New Roman" w:cs="Times New Roman"/>
        </w:rPr>
        <w:t>standards for using, shari</w:t>
      </w:r>
      <w:r w:rsidR="002A619F">
        <w:rPr>
          <w:rFonts w:ascii="Times New Roman" w:eastAsia="Cambria" w:hAnsi="Times New Roman" w:cs="Times New Roman"/>
        </w:rPr>
        <w:t>ng and storing images of people”</w:t>
      </w:r>
      <w:r>
        <w:rPr>
          <w:rFonts w:ascii="Times New Roman" w:eastAsia="Cambria" w:hAnsi="Times New Roman" w:cs="Times New Roman"/>
        </w:rPr>
        <w:t xml:space="preserve"> </w:t>
      </w:r>
      <w:r>
        <w:rPr>
          <w:rFonts w:ascii="Times New Roman" w:eastAsia="Cambria" w:hAnsi="Times New Roman" w:cs="Times New Roman"/>
        </w:rPr>
        <w:fldChar w:fldCharType="begin" w:fldLock="1"/>
      </w:r>
      <w:r>
        <w:rPr>
          <w:rFonts w:ascii="Times New Roman" w:eastAsia="Cambria" w:hAnsi="Times New Roman" w:cs="Times New Roman"/>
        </w:rPr>
        <w:instrText>ADDIN CSL_CITATION {"citationItems":[{"id":"ITEM-1","itemData":{"DOI":"10.4103/cs.cs","ISBN":"9780816530441","ISSN":"09753133","author":[{"dropping-particle":"","family":"Sandbrook, Chris; Rogelio, Luqe-Lora; Adams","given":"William M.","non-dropping-particle":"","parse-names":false,"suffix":""}],"container-title":"Conservation and Society","id":"ITEM-1","issue":"4","issued":{"date-parts":[["2018"]]},"page":"493-504","title":"Human Bycatch: Conservation Surveillance and the Social Implications of Camera Traps","type":"article-journal","volume":"16"},"uris":["http://www.mendeley.com/documents/?uuid=d1d6986a-92c5-414b-b24b-0dfe13e27c81"]}],"mendeley":{"formattedCitation":"(Sandbrook, Chris; Rogelio, Luqe-Lora; Adams, 2018)","manualFormatting":"(Sandbrook et al., 2018: 502)","plainTextFormattedCitation":"(Sandbrook, Chris; Rogelio, Luqe-Lora; Adams, 2018)","previouslyFormattedCitation":"(Sandbrook, Chris; Rogelio, Luqe-Lora; Adams, 2018)"},"properties":{"noteIndex":0},"schema":"https://github.com/citation-style-language/schema/raw/master/csl-citation.json"}</w:instrText>
      </w:r>
      <w:r>
        <w:rPr>
          <w:rFonts w:ascii="Times New Roman" w:eastAsia="Cambria" w:hAnsi="Times New Roman" w:cs="Times New Roman"/>
        </w:rPr>
        <w:fldChar w:fldCharType="separate"/>
      </w:r>
      <w:r>
        <w:rPr>
          <w:rFonts w:ascii="Times New Roman" w:eastAsia="Cambria" w:hAnsi="Times New Roman" w:cs="Times New Roman"/>
          <w:noProof/>
        </w:rPr>
        <w:t xml:space="preserve">(Sandbrook </w:t>
      </w:r>
      <w:r w:rsidRPr="002F4C03">
        <w:rPr>
          <w:rFonts w:ascii="Times New Roman" w:eastAsia="Cambria" w:hAnsi="Times New Roman" w:cs="Times New Roman"/>
          <w:i/>
          <w:noProof/>
        </w:rPr>
        <w:t>et al.</w:t>
      </w:r>
      <w:r>
        <w:rPr>
          <w:rFonts w:ascii="Times New Roman" w:eastAsia="Cambria" w:hAnsi="Times New Roman" w:cs="Times New Roman"/>
          <w:noProof/>
        </w:rPr>
        <w:t xml:space="preserve">, </w:t>
      </w:r>
      <w:r w:rsidRPr="002F4C03">
        <w:rPr>
          <w:rFonts w:ascii="Times New Roman" w:eastAsia="Cambria" w:hAnsi="Times New Roman" w:cs="Times New Roman"/>
          <w:noProof/>
        </w:rPr>
        <w:t>2018</w:t>
      </w:r>
      <w:r>
        <w:rPr>
          <w:rFonts w:ascii="Times New Roman" w:eastAsia="Cambria" w:hAnsi="Times New Roman" w:cs="Times New Roman"/>
          <w:noProof/>
        </w:rPr>
        <w:t>: 502</w:t>
      </w:r>
      <w:r w:rsidRPr="002F4C03">
        <w:rPr>
          <w:rFonts w:ascii="Times New Roman" w:eastAsia="Cambria" w:hAnsi="Times New Roman" w:cs="Times New Roman"/>
          <w:noProof/>
        </w:rPr>
        <w:t>)</w:t>
      </w:r>
      <w:r>
        <w:rPr>
          <w:rFonts w:ascii="Times New Roman" w:eastAsia="Cambria" w:hAnsi="Times New Roman" w:cs="Times New Roman"/>
        </w:rPr>
        <w:fldChar w:fldCharType="end"/>
      </w:r>
      <w:r>
        <w:rPr>
          <w:rFonts w:ascii="Times New Roman" w:eastAsia="Cambria" w:hAnsi="Times New Roman" w:cs="Times New Roman"/>
        </w:rPr>
        <w:t>. It is acknowledged that the primary aim of the cameras is to discourage poaching and provide vide</w:t>
      </w:r>
      <w:r w:rsidR="00595DFE">
        <w:rPr>
          <w:rFonts w:ascii="Times New Roman" w:eastAsia="Cambria" w:hAnsi="Times New Roman" w:cs="Times New Roman"/>
        </w:rPr>
        <w:t>o material to be used in court. B</w:t>
      </w:r>
      <w:r>
        <w:rPr>
          <w:rFonts w:ascii="Times New Roman" w:eastAsia="Cambria" w:hAnsi="Times New Roman" w:cs="Times New Roman"/>
        </w:rPr>
        <w:t>ut</w:t>
      </w:r>
      <w:r w:rsidR="00595DFE">
        <w:rPr>
          <w:rFonts w:ascii="Times New Roman" w:eastAsia="Cambria" w:hAnsi="Times New Roman" w:cs="Times New Roman"/>
        </w:rPr>
        <w:t>,</w:t>
      </w:r>
      <w:r w:rsidR="002A619F">
        <w:rPr>
          <w:rFonts w:ascii="Times New Roman" w:eastAsia="Cambria" w:hAnsi="Times New Roman" w:cs="Times New Roman"/>
        </w:rPr>
        <w:t xml:space="preserve"> Melanie</w:t>
      </w:r>
      <w:r>
        <w:rPr>
          <w:rFonts w:ascii="Times New Roman" w:eastAsia="Cambria" w:hAnsi="Times New Roman" w:cs="Times New Roman"/>
        </w:rPr>
        <w:t xml:space="preserve"> re</w:t>
      </w:r>
      <w:r w:rsidR="002A619F">
        <w:rPr>
          <w:rFonts w:ascii="Times New Roman" w:eastAsia="Cambria" w:hAnsi="Times New Roman" w:cs="Times New Roman"/>
        </w:rPr>
        <w:t xml:space="preserve">counted discussions between all parties in the </w:t>
      </w:r>
      <w:r>
        <w:rPr>
          <w:rFonts w:ascii="Times New Roman" w:eastAsia="Cambria" w:hAnsi="Times New Roman" w:cs="Times New Roman"/>
        </w:rPr>
        <w:t>LIFE p</w:t>
      </w:r>
      <w:r w:rsidR="002A619F">
        <w:rPr>
          <w:rFonts w:ascii="Times New Roman" w:eastAsia="Cambria" w:hAnsi="Times New Roman" w:cs="Times New Roman"/>
        </w:rPr>
        <w:t>roject,</w:t>
      </w:r>
      <w:r>
        <w:rPr>
          <w:rFonts w:ascii="Times New Roman" w:eastAsia="Cambria" w:hAnsi="Times New Roman" w:cs="Times New Roman"/>
        </w:rPr>
        <w:t xml:space="preserve"> about other ways in which the footage could be used:  </w:t>
      </w:r>
    </w:p>
    <w:p w14:paraId="515FD659" w14:textId="34EB10B6" w:rsidR="00F90322" w:rsidRPr="003B354F" w:rsidRDefault="00F90322" w:rsidP="003B354F">
      <w:pPr>
        <w:pStyle w:val="Quote"/>
        <w:spacing w:after="300"/>
      </w:pPr>
      <w:r w:rsidRPr="00882E4B">
        <w:t>There was a big discuss</w:t>
      </w:r>
      <w:r>
        <w:t xml:space="preserve">ion between us: </w:t>
      </w:r>
      <w:r w:rsidRPr="00882E4B">
        <w:t>border force, project team, and also Danube Delta Biosphere Reserve Authority in th</w:t>
      </w:r>
      <w:r w:rsidR="002A619F">
        <w:t>e Danube Delta, Romania. We had</w:t>
      </w:r>
      <w:r w:rsidRPr="00882E4B">
        <w:t xml:space="preserve"> a big discussion, and there was an idea about a Live Stream from this camera to some big place</w:t>
      </w:r>
      <w:r>
        <w:t xml:space="preserve"> in [name of town]</w:t>
      </w:r>
      <w:r w:rsidRPr="00882E4B">
        <w:t>… Then everyone will see what’s happening on the river. Who is catching sturgeon</w:t>
      </w:r>
      <w:r w:rsidRPr="005B292F">
        <w:rPr>
          <w:rStyle w:val="FootnoteReference"/>
        </w:rPr>
        <w:footnoteReference w:id="239"/>
      </w:r>
    </w:p>
    <w:p w14:paraId="64AF0266" w14:textId="55DF41C9" w:rsidR="00F90322" w:rsidRDefault="00F90322" w:rsidP="003B354F">
      <w:pPr>
        <w:pStyle w:val="normal0"/>
        <w:spacing w:after="160" w:line="360" w:lineRule="auto"/>
        <w:jc w:val="both"/>
        <w:rPr>
          <w:rFonts w:ascii="Times New Roman" w:eastAsia="Cambria" w:hAnsi="Times New Roman" w:cs="Times New Roman"/>
        </w:rPr>
      </w:pPr>
      <w:r w:rsidRPr="00C30C6E">
        <w:rPr>
          <w:rFonts w:ascii="Times New Roman" w:eastAsia="Cambria" w:hAnsi="Times New Roman" w:cs="Times New Roman"/>
        </w:rPr>
        <w:t xml:space="preserve">To date, a ‘Live Stream’ has not been implemented, </w:t>
      </w:r>
      <w:r>
        <w:rPr>
          <w:rFonts w:ascii="Times New Roman" w:eastAsia="Cambria" w:hAnsi="Times New Roman" w:cs="Times New Roman"/>
        </w:rPr>
        <w:t xml:space="preserve">as the team do not have the technological </w:t>
      </w:r>
      <w:r w:rsidR="002A619F">
        <w:rPr>
          <w:rFonts w:ascii="Times New Roman" w:eastAsia="Cambria" w:hAnsi="Times New Roman" w:cs="Times New Roman"/>
        </w:rPr>
        <w:t>capacity to do so. Nevertheless</w:t>
      </w:r>
      <w:r>
        <w:rPr>
          <w:rFonts w:ascii="Times New Roman" w:eastAsia="Cambria" w:hAnsi="Times New Roman" w:cs="Times New Roman"/>
        </w:rPr>
        <w:t>, the nature of the discussion illustrates the evolving securitized responses to sturgeon poaching in the region, which promote the uncritical – and perhaps unethical – adoption and expansion of conservation surveillance techniques. These approaches are catalysed by concerns about protecting the state (broadly understood as businesses, national institutions, local economies and wellbeing of European citizens</w:t>
      </w:r>
      <w:r w:rsidRPr="005B292F">
        <w:rPr>
          <w:rStyle w:val="FootnoteReference"/>
        </w:rPr>
        <w:footnoteReference w:id="240"/>
      </w:r>
      <w:r>
        <w:rPr>
          <w:rFonts w:ascii="Times New Roman" w:eastAsia="Cambria" w:hAnsi="Times New Roman" w:cs="Times New Roman"/>
        </w:rPr>
        <w:t xml:space="preserve">) from the </w:t>
      </w:r>
      <w:r w:rsidR="002A619F">
        <w:rPr>
          <w:rFonts w:ascii="Times New Roman" w:eastAsia="Cambria" w:hAnsi="Times New Roman" w:cs="Times New Roman"/>
        </w:rPr>
        <w:t>security implications of organis</w:t>
      </w:r>
      <w:r>
        <w:rPr>
          <w:rFonts w:ascii="Times New Roman" w:eastAsia="Cambria" w:hAnsi="Times New Roman" w:cs="Times New Roman"/>
        </w:rPr>
        <w:t xml:space="preserve">ed crime. </w:t>
      </w:r>
    </w:p>
    <w:p w14:paraId="28FBFCBD" w14:textId="777439F8" w:rsidR="00F90322" w:rsidRDefault="00C75AEA" w:rsidP="003B354F">
      <w:pPr>
        <w:pStyle w:val="normal0"/>
        <w:spacing w:after="160" w:line="360" w:lineRule="auto"/>
        <w:ind w:firstLine="720"/>
        <w:jc w:val="both"/>
        <w:rPr>
          <w:rFonts w:ascii="Times New Roman" w:eastAsia="Cambria" w:hAnsi="Times New Roman" w:cs="Times New Roman"/>
        </w:rPr>
      </w:pPr>
      <w:r>
        <w:rPr>
          <w:rFonts w:ascii="Times New Roman" w:eastAsia="Cambria" w:hAnsi="Times New Roman" w:cs="Times New Roman"/>
        </w:rPr>
        <w:t>D</w:t>
      </w:r>
      <w:r w:rsidR="00F90322">
        <w:rPr>
          <w:rFonts w:ascii="Times New Roman" w:eastAsia="Cambria" w:hAnsi="Times New Roman" w:cs="Times New Roman"/>
        </w:rPr>
        <w:t xml:space="preserve">eploying conservation surveillance in aid of achieving the abstract notion of national or regional security, </w:t>
      </w:r>
      <w:r>
        <w:rPr>
          <w:rFonts w:ascii="Times New Roman" w:eastAsia="Cambria" w:hAnsi="Times New Roman" w:cs="Times New Roman"/>
        </w:rPr>
        <w:t xml:space="preserve">often </w:t>
      </w:r>
      <w:r w:rsidR="00F90322">
        <w:rPr>
          <w:rFonts w:ascii="Times New Roman" w:eastAsia="Cambria" w:hAnsi="Times New Roman" w:cs="Times New Roman"/>
        </w:rPr>
        <w:t xml:space="preserve">hinges on the insecurity of other groups </w:t>
      </w:r>
      <w:r w:rsidR="00F90322" w:rsidRPr="00C75AEA">
        <w:rPr>
          <w:rFonts w:ascii="Times New Roman" w:eastAsia="Cambria" w:hAnsi="Times New Roman" w:cs="Times New Roman"/>
        </w:rPr>
        <w:t>(Kelly &amp; Ybarra, 2016).</w:t>
      </w:r>
      <w:r w:rsidR="00F90322">
        <w:rPr>
          <w:rFonts w:ascii="Times New Roman" w:eastAsia="Cambria" w:hAnsi="Times New Roman" w:cs="Times New Roman"/>
        </w:rPr>
        <w:t xml:space="preserve"> I</w:t>
      </w:r>
      <w:r w:rsidR="00F90322" w:rsidRPr="00C30C6E">
        <w:rPr>
          <w:rFonts w:ascii="Times New Roman" w:eastAsia="Cambria" w:hAnsi="Times New Roman" w:cs="Times New Roman"/>
        </w:rPr>
        <w:t xml:space="preserve">f the ‘Live Stream’ </w:t>
      </w:r>
      <w:r>
        <w:rPr>
          <w:rFonts w:ascii="Times New Roman" w:eastAsia="Cambria" w:hAnsi="Times New Roman" w:cs="Times New Roman"/>
        </w:rPr>
        <w:t>is</w:t>
      </w:r>
      <w:r w:rsidR="00F90322" w:rsidRPr="00C30C6E">
        <w:rPr>
          <w:rFonts w:ascii="Times New Roman" w:eastAsia="Cambria" w:hAnsi="Times New Roman" w:cs="Times New Roman"/>
        </w:rPr>
        <w:t xml:space="preserve"> implemented as outlined above, the identity of </w:t>
      </w:r>
      <w:r w:rsidR="00F90322">
        <w:rPr>
          <w:rFonts w:ascii="Times New Roman" w:eastAsia="Cambria" w:hAnsi="Times New Roman" w:cs="Times New Roman"/>
        </w:rPr>
        <w:t xml:space="preserve">any individual recorded catching sturgeon, would be reduced to poacher and criminal. </w:t>
      </w:r>
      <w:r w:rsidR="00F90322" w:rsidRPr="00C30C6E">
        <w:rPr>
          <w:rFonts w:ascii="Times New Roman" w:eastAsia="Cambria" w:hAnsi="Times New Roman" w:cs="Times New Roman"/>
        </w:rPr>
        <w:t>The camera footage would remove any context to the situation,</w:t>
      </w:r>
      <w:r w:rsidR="00F90322">
        <w:rPr>
          <w:rFonts w:ascii="Times New Roman" w:eastAsia="Cambria" w:hAnsi="Times New Roman" w:cs="Times New Roman"/>
        </w:rPr>
        <w:t xml:space="preserve"> or possibility of explanation. For example, </w:t>
      </w:r>
      <w:r>
        <w:rPr>
          <w:rFonts w:ascii="Times New Roman" w:eastAsia="Cambria" w:hAnsi="Times New Roman" w:cs="Times New Roman"/>
        </w:rPr>
        <w:t xml:space="preserve">Melanie </w:t>
      </w:r>
      <w:r w:rsidR="00F90322">
        <w:rPr>
          <w:rFonts w:ascii="Times New Roman" w:eastAsia="Cambria" w:hAnsi="Times New Roman" w:cs="Times New Roman"/>
        </w:rPr>
        <w:t xml:space="preserve">differentiated </w:t>
      </w:r>
      <w:r>
        <w:rPr>
          <w:rFonts w:ascii="Times New Roman" w:eastAsia="Cambria" w:hAnsi="Times New Roman" w:cs="Times New Roman"/>
        </w:rPr>
        <w:t>between accidental poaching conducted by, “</w:t>
      </w:r>
      <w:r w:rsidR="00F90322">
        <w:rPr>
          <w:rFonts w:ascii="Times New Roman" w:eastAsia="Cambria" w:hAnsi="Times New Roman" w:cs="Times New Roman"/>
        </w:rPr>
        <w:t>very poor people who catch the sturgeon during the herring pass upstream, from the sea to Danube. Bycatch’</w:t>
      </w:r>
      <w:r>
        <w:rPr>
          <w:rFonts w:ascii="Times New Roman" w:eastAsia="Cambria" w:hAnsi="Times New Roman" w:cs="Times New Roman"/>
        </w:rPr>
        <w:t>; and on the other hand, “</w:t>
      </w:r>
      <w:r w:rsidR="00F90322">
        <w:rPr>
          <w:rFonts w:ascii="Times New Roman" w:eastAsia="Cambria" w:hAnsi="Times New Roman" w:cs="Times New Roman"/>
        </w:rPr>
        <w:t>special poachers, who are poaching especially only for sturgeons, with specific nets, specific other equipments</w:t>
      </w:r>
      <w:r>
        <w:rPr>
          <w:rFonts w:ascii="Times New Roman" w:eastAsia="Cambria" w:hAnsi="Times New Roman" w:cs="Times New Roman"/>
        </w:rPr>
        <w:t>”</w:t>
      </w:r>
      <w:r w:rsidR="00F90322" w:rsidRPr="005B292F">
        <w:rPr>
          <w:rStyle w:val="FootnoteReference"/>
        </w:rPr>
        <w:footnoteReference w:id="241"/>
      </w:r>
      <w:r w:rsidR="00F90322">
        <w:rPr>
          <w:rFonts w:ascii="Times New Roman" w:eastAsia="Cambria" w:hAnsi="Times New Roman" w:cs="Times New Roman"/>
        </w:rPr>
        <w:t xml:space="preserve">. However the surveillance footage does not </w:t>
      </w:r>
      <w:r>
        <w:rPr>
          <w:rFonts w:ascii="Times New Roman" w:eastAsia="Cambria" w:hAnsi="Times New Roman" w:cs="Times New Roman"/>
        </w:rPr>
        <w:t xml:space="preserve">automatically </w:t>
      </w:r>
      <w:r w:rsidR="00F90322">
        <w:rPr>
          <w:rFonts w:ascii="Times New Roman" w:eastAsia="Cambria" w:hAnsi="Times New Roman" w:cs="Times New Roman"/>
        </w:rPr>
        <w:t xml:space="preserve">distinguish between these groups and fishing motivations. </w:t>
      </w:r>
      <w:r>
        <w:rPr>
          <w:rFonts w:ascii="Times New Roman" w:eastAsia="Cambria" w:hAnsi="Times New Roman" w:cs="Times New Roman"/>
        </w:rPr>
        <w:lastRenderedPageBreak/>
        <w:t xml:space="preserve">Thus the implementation of a Live Stream carries with it many negative implications for poor fishermen who may become ‘human bycatch’ caught by the IP surveillance camera. </w:t>
      </w:r>
      <w:r w:rsidR="00F90322">
        <w:rPr>
          <w:rFonts w:ascii="Times New Roman" w:eastAsia="Cambria" w:hAnsi="Times New Roman" w:cs="Times New Roman"/>
        </w:rPr>
        <w:t xml:space="preserve">The presence of cameras can infringe privacy and create fear (Sandbrook </w:t>
      </w:r>
      <w:r w:rsidR="00F90322" w:rsidRPr="00126915">
        <w:rPr>
          <w:rFonts w:ascii="Times New Roman" w:eastAsia="Cambria" w:hAnsi="Times New Roman" w:cs="Times New Roman"/>
          <w:i/>
        </w:rPr>
        <w:t xml:space="preserve">et al., </w:t>
      </w:r>
      <w:r w:rsidR="00F90322">
        <w:rPr>
          <w:rFonts w:ascii="Times New Roman" w:eastAsia="Cambria" w:hAnsi="Times New Roman" w:cs="Times New Roman"/>
        </w:rPr>
        <w:t xml:space="preserve">2018): those engaging in herring fishing may be afraid to do so, for fear of sturgeon bycatch and subsequent punishment from authorities. At the time of writing, I was not aware of any substantive evidence to suggest that the use of surveillance cameras in the Romanian-Ukrainian border has had any measurable impact on </w:t>
      </w:r>
      <w:r>
        <w:rPr>
          <w:rFonts w:ascii="Times New Roman" w:eastAsia="Cambria" w:hAnsi="Times New Roman" w:cs="Times New Roman"/>
        </w:rPr>
        <w:t>organis</w:t>
      </w:r>
      <w:r w:rsidR="00F90322">
        <w:rPr>
          <w:rFonts w:ascii="Times New Roman" w:eastAsia="Cambria" w:hAnsi="Times New Roman" w:cs="Times New Roman"/>
        </w:rPr>
        <w:t>ed crime</w:t>
      </w:r>
      <w:r>
        <w:rPr>
          <w:rFonts w:ascii="Times New Roman" w:eastAsia="Cambria" w:hAnsi="Times New Roman" w:cs="Times New Roman"/>
        </w:rPr>
        <w:t>, sturgeon poaching,</w:t>
      </w:r>
      <w:r w:rsidR="00F90322">
        <w:rPr>
          <w:rFonts w:ascii="Times New Roman" w:eastAsia="Cambria" w:hAnsi="Times New Roman" w:cs="Times New Roman"/>
        </w:rPr>
        <w:t xml:space="preserve"> or alleviated any of the security concerns in the region. On the contrary</w:t>
      </w:r>
      <w:r w:rsidR="00595DFE">
        <w:rPr>
          <w:rFonts w:ascii="Times New Roman" w:eastAsia="Cambria" w:hAnsi="Times New Roman" w:cs="Times New Roman"/>
        </w:rPr>
        <w:t>,</w:t>
      </w:r>
      <w:r w:rsidR="00F90322">
        <w:rPr>
          <w:rFonts w:ascii="Times New Roman" w:eastAsia="Cambria" w:hAnsi="Times New Roman" w:cs="Times New Roman"/>
        </w:rPr>
        <w:t xml:space="preserve"> the surveillance cameras may produce greater insecurity for the well-being of local communities. </w:t>
      </w:r>
    </w:p>
    <w:p w14:paraId="661BB7E6" w14:textId="652334DF" w:rsidR="00F90322" w:rsidRPr="00C30C6E" w:rsidRDefault="00F90322" w:rsidP="003B354F">
      <w:pPr>
        <w:pStyle w:val="normal0"/>
        <w:spacing w:after="160" w:line="360" w:lineRule="auto"/>
        <w:ind w:firstLine="720"/>
        <w:jc w:val="both"/>
        <w:rPr>
          <w:rFonts w:ascii="Times New Roman" w:eastAsia="Cambria" w:hAnsi="Times New Roman" w:cs="Times New Roman"/>
        </w:rPr>
      </w:pPr>
      <w:r>
        <w:rPr>
          <w:rFonts w:ascii="Times New Roman" w:eastAsia="Cambria" w:hAnsi="Times New Roman" w:cs="Times New Roman"/>
        </w:rPr>
        <w:t>Thus</w:t>
      </w:r>
      <w:r w:rsidR="00595DFE">
        <w:rPr>
          <w:rFonts w:ascii="Times New Roman" w:eastAsia="Cambria" w:hAnsi="Times New Roman" w:cs="Times New Roman"/>
        </w:rPr>
        <w:t>,</w:t>
      </w:r>
      <w:r>
        <w:rPr>
          <w:rFonts w:ascii="Times New Roman" w:eastAsia="Cambria" w:hAnsi="Times New Roman" w:cs="Times New Roman"/>
        </w:rPr>
        <w:t xml:space="preserve"> the </w:t>
      </w:r>
      <w:r w:rsidRPr="00C30C6E">
        <w:rPr>
          <w:rFonts w:ascii="Times New Roman" w:eastAsia="Cambria" w:hAnsi="Times New Roman" w:cs="Times New Roman"/>
        </w:rPr>
        <w:t>discussions about implementing a Live Stream of camera footage are enmeshed in a wider troubling tren</w:t>
      </w:r>
      <w:r w:rsidR="00595DFE">
        <w:rPr>
          <w:rFonts w:ascii="Times New Roman" w:eastAsia="Cambria" w:hAnsi="Times New Roman" w:cs="Times New Roman"/>
        </w:rPr>
        <w:t>d and mentality in conservation:</w:t>
      </w:r>
      <w:r w:rsidRPr="00C30C6E">
        <w:rPr>
          <w:rFonts w:ascii="Times New Roman" w:eastAsia="Cambria" w:hAnsi="Times New Roman" w:cs="Times New Roman"/>
        </w:rPr>
        <w:t xml:space="preserve"> one which pursues</w:t>
      </w:r>
      <w:r>
        <w:rPr>
          <w:rFonts w:ascii="Times New Roman" w:eastAsia="Cambria" w:hAnsi="Times New Roman" w:cs="Times New Roman"/>
        </w:rPr>
        <w:t xml:space="preserve"> actions that serve to dehumaniz</w:t>
      </w:r>
      <w:r w:rsidRPr="00C30C6E">
        <w:rPr>
          <w:rFonts w:ascii="Times New Roman" w:eastAsia="Cambria" w:hAnsi="Times New Roman" w:cs="Times New Roman"/>
        </w:rPr>
        <w:t xml:space="preserve">e suspected poachers and remove their actions from any socio-economic context or explanatory factors. </w:t>
      </w:r>
      <w:r w:rsidR="008E0B39">
        <w:rPr>
          <w:rFonts w:ascii="Times New Roman" w:eastAsia="Cambria" w:hAnsi="Times New Roman" w:cs="Times New Roman"/>
        </w:rPr>
        <w:t xml:space="preserve">Moreover, intervention seems </w:t>
      </w:r>
      <w:r w:rsidRPr="00C30C6E">
        <w:rPr>
          <w:rFonts w:ascii="Times New Roman" w:eastAsia="Cambria" w:hAnsi="Times New Roman" w:cs="Times New Roman"/>
        </w:rPr>
        <w:t xml:space="preserve">at odds with some of the </w:t>
      </w:r>
      <w:r>
        <w:rPr>
          <w:rFonts w:ascii="Times New Roman" w:eastAsia="Cambria" w:hAnsi="Times New Roman" w:cs="Times New Roman"/>
        </w:rPr>
        <w:t xml:space="preserve">other prominent goals of the </w:t>
      </w:r>
      <w:r w:rsidR="008E0B39">
        <w:rPr>
          <w:rFonts w:ascii="Times New Roman" w:eastAsia="Cambria" w:hAnsi="Times New Roman" w:cs="Times New Roman"/>
        </w:rPr>
        <w:t>LIFE project:</w:t>
      </w:r>
      <w:r w:rsidRPr="00C30C6E">
        <w:rPr>
          <w:rFonts w:ascii="Times New Roman" w:eastAsia="Cambria" w:hAnsi="Times New Roman" w:cs="Times New Roman"/>
        </w:rPr>
        <w:t xml:space="preserve"> namely</w:t>
      </w:r>
      <w:r w:rsidR="008E0B39">
        <w:rPr>
          <w:rFonts w:ascii="Times New Roman" w:eastAsia="Cambria" w:hAnsi="Times New Roman" w:cs="Times New Roman"/>
        </w:rPr>
        <w:t>,</w:t>
      </w:r>
      <w:r w:rsidRPr="00C30C6E">
        <w:rPr>
          <w:rFonts w:ascii="Times New Roman" w:eastAsia="Cambria" w:hAnsi="Times New Roman" w:cs="Times New Roman"/>
        </w:rPr>
        <w:t xml:space="preserve"> to invest energy and resources in building trust and relationships with fishing communities. WWF </w:t>
      </w:r>
      <w:r w:rsidR="00E25260">
        <w:rPr>
          <w:rFonts w:ascii="Times New Roman" w:eastAsia="Cambria" w:hAnsi="Times New Roman" w:cs="Times New Roman"/>
        </w:rPr>
        <w:t>“</w:t>
      </w:r>
      <w:r w:rsidRPr="007E522C">
        <w:rPr>
          <w:rFonts w:ascii="Times New Roman" w:eastAsia="Cambria" w:hAnsi="Times New Roman" w:cs="Times New Roman"/>
        </w:rPr>
        <w:t>are working with them and helping them feel heard and listened to</w:t>
      </w:r>
      <w:r w:rsidR="00E25260">
        <w:rPr>
          <w:rFonts w:ascii="Times New Roman" w:eastAsia="Cambria" w:hAnsi="Times New Roman" w:cs="Times New Roman"/>
        </w:rPr>
        <w:t>”</w:t>
      </w:r>
      <w:r w:rsidRPr="005B292F">
        <w:rPr>
          <w:rStyle w:val="FootnoteReference"/>
        </w:rPr>
        <w:footnoteReference w:id="242"/>
      </w:r>
      <w:r w:rsidR="008E0B39">
        <w:rPr>
          <w:rFonts w:ascii="Times New Roman" w:eastAsia="Cambria" w:hAnsi="Times New Roman" w:cs="Times New Roman"/>
        </w:rPr>
        <w:t>;</w:t>
      </w:r>
      <w:r>
        <w:rPr>
          <w:rFonts w:ascii="Times New Roman" w:eastAsia="Cambria" w:hAnsi="Times New Roman" w:cs="Times New Roman"/>
        </w:rPr>
        <w:t xml:space="preserve"> but </w:t>
      </w:r>
      <w:r w:rsidRPr="00C30C6E">
        <w:rPr>
          <w:rFonts w:ascii="Times New Roman" w:eastAsia="Cambria" w:hAnsi="Times New Roman" w:cs="Times New Roman"/>
        </w:rPr>
        <w:t>also watching them remotely via surveillance cameras. Whilst the cameras may prove to be effective in</w:t>
      </w:r>
      <w:r>
        <w:rPr>
          <w:rFonts w:ascii="Times New Roman" w:eastAsia="Cambria" w:hAnsi="Times New Roman" w:cs="Times New Roman"/>
        </w:rPr>
        <w:t xml:space="preserve"> discouraging poaching in</w:t>
      </w:r>
      <w:r w:rsidRPr="00C30C6E">
        <w:rPr>
          <w:rFonts w:ascii="Times New Roman" w:eastAsia="Cambria" w:hAnsi="Times New Roman" w:cs="Times New Roman"/>
        </w:rPr>
        <w:t xml:space="preserve"> the long-term</w:t>
      </w:r>
      <w:r>
        <w:rPr>
          <w:rFonts w:ascii="Times New Roman" w:eastAsia="Cambria" w:hAnsi="Times New Roman" w:cs="Times New Roman"/>
        </w:rPr>
        <w:t xml:space="preserve">, there is a need to question </w:t>
      </w:r>
      <w:r w:rsidRPr="00C30C6E">
        <w:rPr>
          <w:rFonts w:ascii="Times New Roman" w:eastAsia="Cambria" w:hAnsi="Times New Roman" w:cs="Times New Roman"/>
        </w:rPr>
        <w:t xml:space="preserve">even mundane expressions of security </w:t>
      </w:r>
      <w:r>
        <w:rPr>
          <w:rFonts w:ascii="Times New Roman" w:eastAsia="Cambria" w:hAnsi="Times New Roman" w:cs="Times New Roman"/>
        </w:rPr>
        <w:t>deployed via</w:t>
      </w:r>
      <w:r w:rsidRPr="00C30C6E">
        <w:rPr>
          <w:rFonts w:ascii="Times New Roman" w:eastAsia="Cambria" w:hAnsi="Times New Roman" w:cs="Times New Roman"/>
        </w:rPr>
        <w:t xml:space="preserve"> the medium of surveillance camer</w:t>
      </w:r>
      <w:r>
        <w:rPr>
          <w:rFonts w:ascii="Times New Roman" w:eastAsia="Cambria" w:hAnsi="Times New Roman" w:cs="Times New Roman"/>
        </w:rPr>
        <w:t>as. These cameras could be alienating to the target communities, and ultimately counterproductive to the aims of engaging and convincing these communities of the merits of sturgeon conservation</w:t>
      </w:r>
      <w:r w:rsidR="00E25260" w:rsidRPr="005B292F">
        <w:rPr>
          <w:rStyle w:val="FootnoteReference"/>
        </w:rPr>
        <w:footnoteReference w:id="243"/>
      </w:r>
      <w:r>
        <w:rPr>
          <w:rFonts w:ascii="Times New Roman" w:eastAsia="Cambria" w:hAnsi="Times New Roman" w:cs="Times New Roman"/>
        </w:rPr>
        <w:t xml:space="preserve">. Indeed a respondent in Sandbrook </w:t>
      </w:r>
      <w:r w:rsidRPr="00C6158D">
        <w:rPr>
          <w:rFonts w:ascii="Times New Roman" w:eastAsia="Cambria" w:hAnsi="Times New Roman" w:cs="Times New Roman"/>
          <w:i/>
        </w:rPr>
        <w:t>et al</w:t>
      </w:r>
      <w:r>
        <w:rPr>
          <w:rFonts w:ascii="Times New Roman" w:eastAsia="Cambria" w:hAnsi="Times New Roman" w:cs="Times New Roman"/>
        </w:rPr>
        <w:t>’s</w:t>
      </w:r>
      <w:r w:rsidR="00E25260">
        <w:rPr>
          <w:rFonts w:ascii="Times New Roman" w:eastAsia="Cambria" w:hAnsi="Times New Roman" w:cs="Times New Roman"/>
        </w:rPr>
        <w:t xml:space="preserve"> (2018)</w:t>
      </w:r>
      <w:r>
        <w:rPr>
          <w:rFonts w:ascii="Times New Roman" w:eastAsia="Cambria" w:hAnsi="Times New Roman" w:cs="Times New Roman"/>
        </w:rPr>
        <w:t xml:space="preserve"> study on the social implications of camera traps sums up the alienating potential</w:t>
      </w:r>
      <w:r w:rsidR="00E25260">
        <w:rPr>
          <w:rFonts w:ascii="Times New Roman" w:eastAsia="Cambria" w:hAnsi="Times New Roman" w:cs="Times New Roman"/>
        </w:rPr>
        <w:t xml:space="preserve"> of conservation surveillance: “</w:t>
      </w:r>
      <w:r w:rsidRPr="00EA5419">
        <w:rPr>
          <w:rFonts w:ascii="Times New Roman" w:eastAsia="Cambria" w:hAnsi="Times New Roman" w:cs="Times New Roman"/>
        </w:rPr>
        <w:t>conservation is only successful if local people are on your side - if you place cameras to watch them, they feel that you are against them and will do more to harm wildlife…</w:t>
      </w:r>
      <w:r w:rsidR="00E25260">
        <w:rPr>
          <w:rFonts w:ascii="Times New Roman" w:eastAsia="Cambria" w:hAnsi="Times New Roman" w:cs="Times New Roman"/>
        </w:rPr>
        <w:t xml:space="preserve">just to get back at you” </w:t>
      </w:r>
      <w:r>
        <w:rPr>
          <w:rFonts w:ascii="Times New Roman" w:eastAsia="Cambria" w:hAnsi="Times New Roman" w:cs="Times New Roman"/>
        </w:rPr>
        <w:t xml:space="preserve">(2018: 500). </w:t>
      </w:r>
      <w:r w:rsidR="00E25260">
        <w:rPr>
          <w:rFonts w:ascii="Times New Roman" w:eastAsia="Cambria" w:hAnsi="Times New Roman" w:cs="Times New Roman"/>
        </w:rPr>
        <w:t xml:space="preserve">These potentially harmful dynamics of conservation surveillance need to be fully considered before uncritically adopting a Live stream system.   </w:t>
      </w:r>
    </w:p>
    <w:p w14:paraId="506AD935" w14:textId="77777777" w:rsidR="00F90322" w:rsidRDefault="00F90322" w:rsidP="003B354F">
      <w:pPr>
        <w:pStyle w:val="normal0"/>
        <w:spacing w:after="160" w:line="360" w:lineRule="auto"/>
        <w:jc w:val="both"/>
        <w:rPr>
          <w:rFonts w:ascii="Times New Roman" w:eastAsia="Cambria" w:hAnsi="Times New Roman" w:cs="Times New Roman"/>
        </w:rPr>
      </w:pPr>
      <w:r w:rsidRPr="00FF0C7D">
        <w:rPr>
          <w:rFonts w:ascii="Cambria" w:eastAsia="Cambria" w:hAnsi="Cambria" w:cs="Cambria"/>
        </w:rPr>
        <w:tab/>
      </w:r>
      <w:r>
        <w:rPr>
          <w:rFonts w:ascii="Times New Roman" w:eastAsia="Cambria" w:hAnsi="Times New Roman" w:cs="Times New Roman"/>
        </w:rPr>
        <w:t xml:space="preserve">The partners in the </w:t>
      </w:r>
      <w:r w:rsidRPr="00EA5419">
        <w:rPr>
          <w:rFonts w:ascii="Times New Roman" w:eastAsia="Cambria" w:hAnsi="Times New Roman" w:cs="Times New Roman"/>
        </w:rPr>
        <w:t>LIFE project have also developed other initiatives that may not outwardly appear as security oriented responses to sturgeon poaching and illegal trade, but on closer inspectio</w:t>
      </w:r>
      <w:r>
        <w:rPr>
          <w:rFonts w:ascii="Times New Roman" w:eastAsia="Cambria" w:hAnsi="Times New Roman" w:cs="Times New Roman"/>
        </w:rPr>
        <w:t>n</w:t>
      </w:r>
      <w:r w:rsidRPr="00EA5419">
        <w:rPr>
          <w:rFonts w:ascii="Times New Roman" w:eastAsia="Cambria" w:hAnsi="Times New Roman" w:cs="Times New Roman"/>
        </w:rPr>
        <w:t xml:space="preserve"> appear to be informed by security logics such as surveillance and intelligence gatheri</w:t>
      </w:r>
      <w:r>
        <w:rPr>
          <w:rFonts w:ascii="Times New Roman" w:eastAsia="Cambria" w:hAnsi="Times New Roman" w:cs="Times New Roman"/>
        </w:rPr>
        <w:t>ng. One such enterprise is the Sturgeon Watchers</w:t>
      </w:r>
      <w:r w:rsidRPr="00EA5419">
        <w:rPr>
          <w:rFonts w:ascii="Times New Roman" w:eastAsia="Cambria" w:hAnsi="Times New Roman" w:cs="Times New Roman"/>
        </w:rPr>
        <w:t xml:space="preserve"> scheme, a programme that recruits University students to </w:t>
      </w:r>
      <w:r w:rsidRPr="00EA5419">
        <w:rPr>
          <w:rFonts w:ascii="Times New Roman" w:eastAsia="Cambria" w:hAnsi="Times New Roman" w:cs="Times New Roman"/>
        </w:rPr>
        <w:lastRenderedPageBreak/>
        <w:t>voluntarily engage in a number of activities designed to protect sturgeon during periods of spawning, when poaching is normally</w:t>
      </w:r>
      <w:r>
        <w:rPr>
          <w:rFonts w:ascii="Times New Roman" w:eastAsia="Cambria" w:hAnsi="Times New Roman" w:cs="Times New Roman"/>
        </w:rPr>
        <w:t xml:space="preserve"> most heightened</w:t>
      </w:r>
      <w:r w:rsidRPr="00EA5419">
        <w:rPr>
          <w:rFonts w:ascii="Times New Roman" w:eastAsia="Cambria" w:hAnsi="Times New Roman" w:cs="Times New Roman"/>
        </w:rPr>
        <w:t xml:space="preserve">. The activities </w:t>
      </w:r>
      <w:r>
        <w:rPr>
          <w:rFonts w:ascii="Times New Roman" w:eastAsia="Cambria" w:hAnsi="Times New Roman" w:cs="Times New Roman"/>
        </w:rPr>
        <w:t>include</w:t>
      </w:r>
      <w:r w:rsidRPr="00EA5419">
        <w:rPr>
          <w:rFonts w:ascii="Times New Roman" w:eastAsia="Cambria" w:hAnsi="Times New Roman" w:cs="Times New Roman"/>
        </w:rPr>
        <w:t xml:space="preserve">: studying fish migration; tagging juvenile sturgeon; information exchange and awareness building with fishing communities; educational public engagement events; and enforcement patrols with the relevant authorities. </w:t>
      </w:r>
    </w:p>
    <w:p w14:paraId="111F3E7A" w14:textId="65DAD11D" w:rsidR="009C104B" w:rsidRPr="00B63C71" w:rsidRDefault="00F90322" w:rsidP="003B354F">
      <w:pPr>
        <w:pStyle w:val="normal0"/>
        <w:spacing w:after="160" w:line="360" w:lineRule="auto"/>
        <w:ind w:firstLine="720"/>
        <w:jc w:val="both"/>
        <w:rPr>
          <w:rFonts w:ascii="Times New Roman" w:eastAsia="Cambria" w:hAnsi="Times New Roman" w:cs="Times New Roman"/>
        </w:rPr>
      </w:pPr>
      <w:r w:rsidRPr="00EA5419">
        <w:rPr>
          <w:rFonts w:ascii="Times New Roman" w:eastAsia="Cambria" w:hAnsi="Times New Roman" w:cs="Times New Roman"/>
        </w:rPr>
        <w:t>I suggest that there are also underlying security logics at</w:t>
      </w:r>
      <w:r>
        <w:rPr>
          <w:rFonts w:ascii="Times New Roman" w:eastAsia="Cambria" w:hAnsi="Times New Roman" w:cs="Times New Roman"/>
        </w:rPr>
        <w:t xml:space="preserve"> play, which drive the scheme. Sturgeon Watchers</w:t>
      </w:r>
      <w:r w:rsidRPr="00EA5419">
        <w:rPr>
          <w:rFonts w:ascii="Times New Roman" w:eastAsia="Cambria" w:hAnsi="Times New Roman" w:cs="Times New Roman"/>
        </w:rPr>
        <w:t xml:space="preserve"> is not solely about watching stu</w:t>
      </w:r>
      <w:r>
        <w:rPr>
          <w:rFonts w:ascii="Times New Roman" w:eastAsia="Cambria" w:hAnsi="Times New Roman" w:cs="Times New Roman"/>
        </w:rPr>
        <w:t>rgeon:</w:t>
      </w:r>
      <w:r w:rsidRPr="00EA5419">
        <w:rPr>
          <w:rFonts w:ascii="Times New Roman" w:eastAsia="Cambria" w:hAnsi="Times New Roman" w:cs="Times New Roman"/>
        </w:rPr>
        <w:t xml:space="preserve"> it is also implicitly predicated upon establishing a presence to watch </w:t>
      </w:r>
      <w:r>
        <w:rPr>
          <w:rFonts w:ascii="Times New Roman" w:eastAsia="Cambria" w:hAnsi="Times New Roman" w:cs="Times New Roman"/>
        </w:rPr>
        <w:t xml:space="preserve">fishing communities </w:t>
      </w:r>
      <w:r w:rsidRPr="00EA5419">
        <w:rPr>
          <w:rFonts w:ascii="Times New Roman" w:eastAsia="Cambria" w:hAnsi="Times New Roman" w:cs="Times New Roman"/>
        </w:rPr>
        <w:t>(via patrols and control missions), and simulta</w:t>
      </w:r>
      <w:r w:rsidR="008E0B39">
        <w:rPr>
          <w:rFonts w:ascii="Times New Roman" w:eastAsia="Cambria" w:hAnsi="Times New Roman" w:cs="Times New Roman"/>
        </w:rPr>
        <w:t xml:space="preserve">neously designed to surveil </w:t>
      </w:r>
      <w:r w:rsidRPr="00EA5419">
        <w:rPr>
          <w:rFonts w:ascii="Times New Roman" w:eastAsia="Cambria" w:hAnsi="Times New Roman" w:cs="Times New Roman"/>
        </w:rPr>
        <w:t>border force guards and other enforcement authorities in order to keep them accountable f</w:t>
      </w:r>
      <w:r>
        <w:rPr>
          <w:rFonts w:ascii="Times New Roman" w:eastAsia="Cambria" w:hAnsi="Times New Roman" w:cs="Times New Roman"/>
        </w:rPr>
        <w:t>or their actions. The implicit surveillance</w:t>
      </w:r>
      <w:r w:rsidRPr="00EA5419">
        <w:rPr>
          <w:rFonts w:ascii="Times New Roman" w:eastAsia="Cambria" w:hAnsi="Times New Roman" w:cs="Times New Roman"/>
        </w:rPr>
        <w:t xml:space="preserve"> of </w:t>
      </w:r>
      <w:r>
        <w:rPr>
          <w:rFonts w:ascii="Times New Roman" w:eastAsia="Cambria" w:hAnsi="Times New Roman" w:cs="Times New Roman"/>
        </w:rPr>
        <w:t>enforcement authorities by the Sturgeon Watchers</w:t>
      </w:r>
      <w:r w:rsidRPr="00EA5419">
        <w:rPr>
          <w:rFonts w:ascii="Times New Roman" w:eastAsia="Cambria" w:hAnsi="Times New Roman" w:cs="Times New Roman"/>
        </w:rPr>
        <w:t xml:space="preserve"> is necessitated by a climate where multiple actors suggested that law enforcement officers were known to abuse their positions of power, or were working in com</w:t>
      </w:r>
      <w:r>
        <w:rPr>
          <w:rFonts w:ascii="Times New Roman" w:eastAsia="Cambria" w:hAnsi="Times New Roman" w:cs="Times New Roman"/>
        </w:rPr>
        <w:t xml:space="preserve">plicity with sturgeon poachers and organized criminal networks. For example, NGO </w:t>
      </w:r>
      <w:r w:rsidRPr="00B63C71">
        <w:rPr>
          <w:rFonts w:ascii="Times New Roman" w:eastAsia="Cambria" w:hAnsi="Times New Roman" w:cs="Times New Roman"/>
        </w:rPr>
        <w:t xml:space="preserve">representative Irini described corrupt practices from enforcement authorities: </w:t>
      </w:r>
    </w:p>
    <w:p w14:paraId="6451AC53" w14:textId="16954418" w:rsidR="00F90322" w:rsidRPr="003B354F" w:rsidRDefault="00F90322" w:rsidP="003B354F">
      <w:pPr>
        <w:pStyle w:val="Quote"/>
        <w:spacing w:after="300"/>
      </w:pPr>
      <w:r w:rsidRPr="00B63C71">
        <w:t>If they [border police] find something not quite OK, then they require fish [as a bribe]. Usually they came near the holidays, they came in that time. They came one by one, and they wanted fish for themselves… from the Danube Delta we have stories that they seize the tools and after that they sell it on another place</w:t>
      </w:r>
      <w:r w:rsidRPr="005B292F">
        <w:rPr>
          <w:rStyle w:val="FootnoteReference"/>
        </w:rPr>
        <w:footnoteReference w:id="244"/>
      </w:r>
      <w:r w:rsidRPr="00B63C71">
        <w:t>.</w:t>
      </w:r>
    </w:p>
    <w:p w14:paraId="2C4CEB62" w14:textId="77777777" w:rsidR="00F90322" w:rsidRDefault="00F90322" w:rsidP="003B354F">
      <w:pPr>
        <w:pStyle w:val="normal0"/>
        <w:spacing w:after="160" w:line="360" w:lineRule="auto"/>
        <w:jc w:val="both"/>
        <w:rPr>
          <w:rFonts w:ascii="Times New Roman" w:eastAsia="Cambria" w:hAnsi="Times New Roman" w:cs="Times New Roman"/>
        </w:rPr>
      </w:pPr>
      <w:r w:rsidRPr="00B63C71">
        <w:rPr>
          <w:rFonts w:ascii="Times New Roman" w:eastAsia="Cambria" w:hAnsi="Times New Roman" w:cs="Times New Roman"/>
        </w:rPr>
        <w:t xml:space="preserve">As such, WWF via the LIFE project, find a way of </w:t>
      </w:r>
      <w:r>
        <w:rPr>
          <w:rFonts w:ascii="Times New Roman" w:eastAsia="Cambria" w:hAnsi="Times New Roman" w:cs="Times New Roman"/>
        </w:rPr>
        <w:t xml:space="preserve">overcoming </w:t>
      </w:r>
      <w:r w:rsidRPr="00B63C71">
        <w:rPr>
          <w:rFonts w:ascii="Times New Roman" w:eastAsia="Cambria" w:hAnsi="Times New Roman" w:cs="Times New Roman"/>
        </w:rPr>
        <w:t>the</w:t>
      </w:r>
      <w:r>
        <w:rPr>
          <w:rFonts w:ascii="Times New Roman" w:eastAsia="Cambria" w:hAnsi="Times New Roman" w:cs="Times New Roman"/>
        </w:rPr>
        <w:t xml:space="preserve"> restrictions preventing NGOs engaging in control missions, </w:t>
      </w:r>
      <w:r w:rsidRPr="00B63C71">
        <w:rPr>
          <w:rFonts w:ascii="Times New Roman" w:eastAsia="Cambria" w:hAnsi="Times New Roman" w:cs="Times New Roman"/>
        </w:rPr>
        <w:t>by partnering with the enforcement agencies through the Sturgeon Watchers scheme. In doing s</w:t>
      </w:r>
      <w:r>
        <w:rPr>
          <w:rFonts w:ascii="Times New Roman" w:eastAsia="Cambria" w:hAnsi="Times New Roman" w:cs="Times New Roman"/>
        </w:rPr>
        <w:t xml:space="preserve">o, WWF find a seemingly mundane </w:t>
      </w:r>
      <w:r w:rsidRPr="00B63C71">
        <w:rPr>
          <w:rFonts w:ascii="Times New Roman" w:eastAsia="Cambria" w:hAnsi="Times New Roman" w:cs="Times New Roman"/>
        </w:rPr>
        <w:t xml:space="preserve">way to insert logics of security and surveillance into the responses to sturgeon </w:t>
      </w:r>
      <w:r>
        <w:rPr>
          <w:rFonts w:ascii="Times New Roman" w:eastAsia="Cambria" w:hAnsi="Times New Roman" w:cs="Times New Roman"/>
        </w:rPr>
        <w:t xml:space="preserve">poaching and illegal trade. Sturgeon Watchers are simultaneously </w:t>
      </w:r>
      <w:r w:rsidRPr="00B63C71">
        <w:rPr>
          <w:rFonts w:ascii="Times New Roman" w:eastAsia="Cambria" w:hAnsi="Times New Roman" w:cs="Times New Roman"/>
        </w:rPr>
        <w:t xml:space="preserve">monitoring those designated with the responsibility to monitor poaching. </w:t>
      </w:r>
    </w:p>
    <w:p w14:paraId="1DEED26A" w14:textId="377B9E5E" w:rsidR="00F90322" w:rsidRDefault="00F90322" w:rsidP="003B354F">
      <w:pPr>
        <w:pStyle w:val="normal0"/>
        <w:spacing w:after="160" w:line="360" w:lineRule="auto"/>
        <w:ind w:firstLine="720"/>
        <w:jc w:val="both"/>
        <w:rPr>
          <w:rFonts w:ascii="Times New Roman" w:eastAsia="Cambria" w:hAnsi="Times New Roman" w:cs="Times New Roman"/>
        </w:rPr>
      </w:pPr>
      <w:r w:rsidRPr="00B63C71">
        <w:rPr>
          <w:rFonts w:ascii="Times New Roman" w:eastAsia="Cambria" w:hAnsi="Times New Roman" w:cs="Times New Roman"/>
        </w:rPr>
        <w:t>Whilst such responses might be predicated upon securing stat</w:t>
      </w:r>
      <w:r w:rsidR="001F47AB">
        <w:rPr>
          <w:rFonts w:ascii="Times New Roman" w:eastAsia="Cambria" w:hAnsi="Times New Roman" w:cs="Times New Roman"/>
        </w:rPr>
        <w:t>e resources and reducing organis</w:t>
      </w:r>
      <w:r w:rsidRPr="00B63C71">
        <w:rPr>
          <w:rFonts w:ascii="Times New Roman" w:eastAsia="Cambria" w:hAnsi="Times New Roman" w:cs="Times New Roman"/>
        </w:rPr>
        <w:t>ed crime, it is important to also consider the</w:t>
      </w:r>
      <w:r>
        <w:rPr>
          <w:rFonts w:ascii="Times New Roman" w:eastAsia="Cambria" w:hAnsi="Times New Roman" w:cs="Times New Roman"/>
        </w:rPr>
        <w:t xml:space="preserve"> social implications of this evolving form of conservation surveillance, and the security implications for those recruited to conduct these activities. </w:t>
      </w:r>
      <w:r w:rsidRPr="00B63C71">
        <w:rPr>
          <w:rFonts w:ascii="Times New Roman" w:eastAsia="Cambria" w:hAnsi="Times New Roman" w:cs="Times New Roman"/>
        </w:rPr>
        <w:t xml:space="preserve">In a context where </w:t>
      </w:r>
      <w:r>
        <w:rPr>
          <w:rFonts w:ascii="Times New Roman" w:eastAsia="Cambria" w:hAnsi="Times New Roman" w:cs="Times New Roman"/>
        </w:rPr>
        <w:t>interviewees outlined</w:t>
      </w:r>
      <w:r w:rsidRPr="00B63C71">
        <w:rPr>
          <w:rFonts w:ascii="Times New Roman" w:eastAsia="Cambria" w:hAnsi="Times New Roman" w:cs="Times New Roman"/>
        </w:rPr>
        <w:t xml:space="preserve"> that </w:t>
      </w:r>
      <w:r>
        <w:rPr>
          <w:rFonts w:ascii="Times New Roman" w:eastAsia="Cambria" w:hAnsi="Times New Roman" w:cs="Times New Roman"/>
        </w:rPr>
        <w:t xml:space="preserve">corruption, </w:t>
      </w:r>
      <w:r w:rsidRPr="00B63C71">
        <w:rPr>
          <w:rFonts w:ascii="Times New Roman" w:eastAsia="Cambria" w:hAnsi="Times New Roman" w:cs="Times New Roman"/>
        </w:rPr>
        <w:t>violent crime</w:t>
      </w:r>
      <w:r w:rsidR="001F47AB">
        <w:rPr>
          <w:rFonts w:ascii="Times New Roman" w:eastAsia="Cambria" w:hAnsi="Times New Roman" w:cs="Times New Roman"/>
        </w:rPr>
        <w:t>,</w:t>
      </w:r>
      <w:r w:rsidRPr="00B63C71">
        <w:rPr>
          <w:rFonts w:ascii="Times New Roman" w:eastAsia="Cambria" w:hAnsi="Times New Roman" w:cs="Times New Roman"/>
        </w:rPr>
        <w:t xml:space="preserve"> and even death is inherent to the illicit caviar trade</w:t>
      </w:r>
      <w:r>
        <w:rPr>
          <w:rFonts w:ascii="Times New Roman" w:eastAsia="Cambria" w:hAnsi="Times New Roman" w:cs="Times New Roman"/>
        </w:rPr>
        <w:t xml:space="preserve"> in the Lower Danube and North-West Black Sea region</w:t>
      </w:r>
      <w:r w:rsidRPr="00B63C71">
        <w:rPr>
          <w:rFonts w:ascii="Times New Roman" w:eastAsia="Cambria" w:hAnsi="Times New Roman" w:cs="Times New Roman"/>
        </w:rPr>
        <w:t>, th</w:t>
      </w:r>
      <w:r>
        <w:rPr>
          <w:rFonts w:ascii="Times New Roman" w:eastAsia="Cambria" w:hAnsi="Times New Roman" w:cs="Times New Roman"/>
        </w:rPr>
        <w:t>ere is a need to problematize ostensibly banal projects such as the Sturgeon Watchers</w:t>
      </w:r>
      <w:r w:rsidRPr="00B63C71">
        <w:rPr>
          <w:rFonts w:ascii="Times New Roman" w:eastAsia="Cambria" w:hAnsi="Times New Roman" w:cs="Times New Roman"/>
        </w:rPr>
        <w:t xml:space="preserve"> scheme. It is imperative to question if through their involvement in the project, </w:t>
      </w:r>
      <w:r>
        <w:rPr>
          <w:rFonts w:ascii="Times New Roman" w:eastAsia="Cambria" w:hAnsi="Times New Roman" w:cs="Times New Roman"/>
        </w:rPr>
        <w:t>the Sturgeon W</w:t>
      </w:r>
      <w:r w:rsidRPr="00B63C71">
        <w:rPr>
          <w:rFonts w:ascii="Times New Roman" w:eastAsia="Cambria" w:hAnsi="Times New Roman" w:cs="Times New Roman"/>
        </w:rPr>
        <w:t>a</w:t>
      </w:r>
      <w:r>
        <w:rPr>
          <w:rFonts w:ascii="Times New Roman" w:eastAsia="Cambria" w:hAnsi="Times New Roman" w:cs="Times New Roman"/>
        </w:rPr>
        <w:t>tchers</w:t>
      </w:r>
      <w:r w:rsidRPr="00B63C71">
        <w:rPr>
          <w:rFonts w:ascii="Times New Roman" w:eastAsia="Cambria" w:hAnsi="Times New Roman" w:cs="Times New Roman"/>
        </w:rPr>
        <w:t xml:space="preserve"> are made</w:t>
      </w:r>
      <w:r>
        <w:rPr>
          <w:rFonts w:ascii="Times New Roman" w:eastAsia="Cambria" w:hAnsi="Times New Roman" w:cs="Times New Roman"/>
        </w:rPr>
        <w:t xml:space="preserve"> more insecure. A</w:t>
      </w:r>
      <w:r w:rsidRPr="00B63C71">
        <w:rPr>
          <w:rFonts w:ascii="Times New Roman" w:eastAsia="Cambria" w:hAnsi="Times New Roman" w:cs="Times New Roman"/>
        </w:rPr>
        <w:t>re these volunteers properly equipped to deal with the possible negative consequences they may face if confronted with ev</w:t>
      </w:r>
      <w:r w:rsidR="000F67AF">
        <w:rPr>
          <w:rFonts w:ascii="Times New Roman" w:eastAsia="Cambria" w:hAnsi="Times New Roman" w:cs="Times New Roman"/>
        </w:rPr>
        <w:t>idence of illegal trade, organis</w:t>
      </w:r>
      <w:r w:rsidRPr="00B63C71">
        <w:rPr>
          <w:rFonts w:ascii="Times New Roman" w:eastAsia="Cambria" w:hAnsi="Times New Roman" w:cs="Times New Roman"/>
        </w:rPr>
        <w:t>ed crime, or corruption?</w:t>
      </w:r>
      <w:r>
        <w:rPr>
          <w:rFonts w:ascii="Times New Roman" w:eastAsia="Cambria" w:hAnsi="Times New Roman" w:cs="Times New Roman"/>
        </w:rPr>
        <w:t xml:space="preserve"> A different illegal wildlife trade issue in Romania – illegal logging - points to some of the security risks for those trying to tackle illegal wildlife trade. For example, laypeople have been violently attacked and ostracised in their </w:t>
      </w:r>
      <w:r>
        <w:rPr>
          <w:rFonts w:ascii="Times New Roman" w:eastAsia="Cambria" w:hAnsi="Times New Roman" w:cs="Times New Roman"/>
        </w:rPr>
        <w:lastRenderedPageBreak/>
        <w:t>communities for systematically recording evidence of illegal logging</w:t>
      </w:r>
      <w:r w:rsidRPr="005B292F">
        <w:rPr>
          <w:rStyle w:val="FootnoteReference"/>
        </w:rPr>
        <w:footnoteReference w:id="245"/>
      </w:r>
      <w:r>
        <w:rPr>
          <w:rFonts w:ascii="Times New Roman" w:eastAsia="Cambria" w:hAnsi="Times New Roman" w:cs="Times New Roman"/>
        </w:rPr>
        <w:t>. Although nothing of this kind has been reported about the Sturgeon Watchers scheme, given the socio-political context in the region it is important to highlight the possible negative security implications for those engaging in the surveillance.</w:t>
      </w:r>
    </w:p>
    <w:p w14:paraId="6E0AEEBE" w14:textId="6AA3CD6B" w:rsidR="00F90322" w:rsidRDefault="00F90322" w:rsidP="003B354F">
      <w:pPr>
        <w:pStyle w:val="normal0"/>
        <w:spacing w:after="160" w:line="360" w:lineRule="auto"/>
        <w:jc w:val="both"/>
        <w:rPr>
          <w:rFonts w:ascii="Times New Roman" w:eastAsia="Cambria" w:hAnsi="Times New Roman" w:cs="Times New Roman"/>
        </w:rPr>
      </w:pPr>
      <w:r>
        <w:rPr>
          <w:rFonts w:ascii="Times New Roman" w:eastAsia="Cambria" w:hAnsi="Times New Roman" w:cs="Times New Roman"/>
        </w:rPr>
        <w:tab/>
        <w:t>Thus, the securitized narratives and responses to illegal caviar trade in the Lower Danube region illustrate that the ‘dissolving’ of illegal caviar trade as a security issue by EU institutions, does not go uncontested. Rather NGOs operating in the region – in particular WWF – have positioned il</w:t>
      </w:r>
      <w:r w:rsidR="001F47AB">
        <w:rPr>
          <w:rFonts w:ascii="Times New Roman" w:eastAsia="Cambria" w:hAnsi="Times New Roman" w:cs="Times New Roman"/>
        </w:rPr>
        <w:t>legal caviar trade as an organis</w:t>
      </w:r>
      <w:r>
        <w:rPr>
          <w:rFonts w:ascii="Times New Roman" w:eastAsia="Cambria" w:hAnsi="Times New Roman" w:cs="Times New Roman"/>
        </w:rPr>
        <w:t>ed crime that threatens the wellbeing of European citizens, businesses, national and regional infrastructures, and local economies. As a result, WWF have promulgated securitized responses to illegal caviar trade. These securitized responses are evolving in line with a</w:t>
      </w:r>
      <w:r w:rsidR="001F47AB">
        <w:rPr>
          <w:rFonts w:ascii="Times New Roman" w:eastAsia="Cambria" w:hAnsi="Times New Roman" w:cs="Times New Roman"/>
        </w:rPr>
        <w:t>) the changing nature of organis</w:t>
      </w:r>
      <w:r>
        <w:rPr>
          <w:rFonts w:ascii="Times New Roman" w:eastAsia="Cambria" w:hAnsi="Times New Roman" w:cs="Times New Roman"/>
        </w:rPr>
        <w:t>ed crime in the caviar trade, which is revealed through gaps and grey areas in regulations; and b) wider trends in the global conservation arena that are leading to the proliferation of conservation surveillance methods</w:t>
      </w:r>
      <w:r w:rsidR="00C14A28">
        <w:rPr>
          <w:rFonts w:ascii="Times New Roman" w:eastAsia="Cambria" w:hAnsi="Times New Roman" w:cs="Times New Roman"/>
        </w:rPr>
        <w:t xml:space="preserve"> </w:t>
      </w:r>
      <w:r w:rsidR="00C14A28">
        <w:rPr>
          <w:rFonts w:ascii="Times New Roman" w:eastAsia="Cambria" w:hAnsi="Times New Roman" w:cs="Times New Roman"/>
        </w:rPr>
        <w:fldChar w:fldCharType="begin" w:fldLock="1"/>
      </w:r>
      <w:r w:rsidR="000B0084">
        <w:rPr>
          <w:rFonts w:ascii="Times New Roman" w:eastAsia="Cambria" w:hAnsi="Times New Roman" w:cs="Times New Roman"/>
        </w:rPr>
        <w:instrText>ADDIN CSL_CITATION {"citationItems":[{"id":"ITEM-1","itemData":{"DOI":"10.2458/v27i1.23543","ISSN":"10730451","abstract":"The 2018 London Illegal Wildlife Trade (IWT) Conference was the fourth and biggest meeting on IWT convened at the initiative of the UK Government. Using a collaborative event ethnography, we examine the Conference as a site where key actors defined the problem of IWT as one of serious crime that needs to be addressed as such. We ask (a) how was IWT framed as serious crime, (b) how was this framing mobilized to promote particular policy responses, and (c) how did the framing and suggested responses reflect the privileging of elite voices? Answering these questions demonstrates the expanding ways in which thinking related to crime and policing are an increasingly forceful dynamic shaping conservation-related policy at the global level. We argue that the conservation-crime convergence on display at the 2018 London IWT Conference is characteristic of a conservation policy landscape that increasingly promotes and privileges responses to IWT that are based on legal and judicial reform, criminal investigations, intelligence gathering, and law enforcement technologies. Marginalized are those voices that seek to address the underlying drivers of IWT by promoting solutions rooted in sustainable livelihoods in source countries and global demand reduction. We suggest that political ecology of conservation and environmental crime would benefit from greater engagement with critical criminology, a discipline that critically interrogates the uneven power dynamics that shape ideas of crime, criminality, how they are politicized, and how they frame policy decisions. This would add further conceptual rigor to political ecological work that deconstructs conservation and environmental crime.Keywords: illegal wildlife trade, poaching, conservation, crime, event ethnography, criminology","author":[{"dropping-particle":"","family":"Massé","given":"Francis","non-dropping-particle":"","parse-names":false,"suffix":""},{"dropping-particle":"","family":"Dickinson","given":"Hannah","non-dropping-particle":"","parse-names":false,"suffix":""},{"dropping-particle":"","family":"Margulies","given":"Jared","non-dropping-particle":"","parse-names":false,"suffix":""},{"dropping-particle":"","family":"Joanny","given":"Laure","non-dropping-particle":"","parse-names":false,"suffix":""},{"dropping-particle":"","family":"Lappe-Osthege","given":"Teresa","non-dropping-particle":"","parse-names":false,"suffix":""},{"dropping-particle":"","family":"Duffy","given":"Rosaleen","non-dropping-particle":"","parse-names":false,"suffix":""}],"container-title":"Journal of Political Ecology","id":"ITEM-1","issue":"1","issued":{"date-parts":[["2020"]]},"page":"23-42","title":"Conservation and crime convergence? Situating the 2018 London Illegal Wildlife Trade Conference","type":"article-journal","volume":"27"},"uris":["http://www.mendeley.com/documents/?uuid=8baace65-83c4-4c4c-93db-1b6bc6e05589"]}],"mendeley":{"formattedCitation":"(Massé &lt;i&gt;et al.&lt;/i&gt;, 2020)","plainTextFormattedCitation":"(Massé et al., 2020)","previouslyFormattedCitation":"(Massé &lt;i&gt;et al.&lt;/i&gt;, 2020)"},"properties":{"noteIndex":0},"schema":"https://github.com/citation-style-language/schema/raw/master/csl-citation.json"}</w:instrText>
      </w:r>
      <w:r w:rsidR="00C14A28">
        <w:rPr>
          <w:rFonts w:ascii="Times New Roman" w:eastAsia="Cambria" w:hAnsi="Times New Roman" w:cs="Times New Roman"/>
        </w:rPr>
        <w:fldChar w:fldCharType="separate"/>
      </w:r>
      <w:r w:rsidR="00C14A28" w:rsidRPr="00C14A28">
        <w:rPr>
          <w:rFonts w:ascii="Times New Roman" w:eastAsia="Cambria" w:hAnsi="Times New Roman" w:cs="Times New Roman"/>
          <w:noProof/>
        </w:rPr>
        <w:t xml:space="preserve">(Massé </w:t>
      </w:r>
      <w:r w:rsidR="00C14A28" w:rsidRPr="00C14A28">
        <w:rPr>
          <w:rFonts w:ascii="Times New Roman" w:eastAsia="Cambria" w:hAnsi="Times New Roman" w:cs="Times New Roman"/>
          <w:i/>
          <w:noProof/>
        </w:rPr>
        <w:t>et al.</w:t>
      </w:r>
      <w:r w:rsidR="00C14A28" w:rsidRPr="00C14A28">
        <w:rPr>
          <w:rFonts w:ascii="Times New Roman" w:eastAsia="Cambria" w:hAnsi="Times New Roman" w:cs="Times New Roman"/>
          <w:noProof/>
        </w:rPr>
        <w:t>, 2020)</w:t>
      </w:r>
      <w:r w:rsidR="00C14A28">
        <w:rPr>
          <w:rFonts w:ascii="Times New Roman" w:eastAsia="Cambria" w:hAnsi="Times New Roman" w:cs="Times New Roman"/>
        </w:rPr>
        <w:fldChar w:fldCharType="end"/>
      </w:r>
      <w:r>
        <w:rPr>
          <w:rFonts w:ascii="Times New Roman" w:eastAsia="Cambria" w:hAnsi="Times New Roman" w:cs="Times New Roman"/>
        </w:rPr>
        <w:t>. The centring of surveillance logics in these actions, illustrates how banal expressions of security permeate seemingly apolitical conservation strategies.</w:t>
      </w:r>
    </w:p>
    <w:p w14:paraId="3475DEBE" w14:textId="42F86EC5" w:rsidR="00F90322" w:rsidRDefault="00F90322" w:rsidP="003B354F">
      <w:pPr>
        <w:pStyle w:val="normal0"/>
        <w:spacing w:after="160" w:line="360" w:lineRule="auto"/>
        <w:ind w:firstLine="720"/>
        <w:jc w:val="both"/>
        <w:rPr>
          <w:rFonts w:ascii="Times New Roman" w:eastAsia="Cambria" w:hAnsi="Times New Roman" w:cs="Times New Roman"/>
        </w:rPr>
      </w:pPr>
      <w:r>
        <w:rPr>
          <w:rFonts w:ascii="Times New Roman" w:eastAsia="Cambria" w:hAnsi="Times New Roman" w:cs="Times New Roman"/>
        </w:rPr>
        <w:t>Moreover, t</w:t>
      </w:r>
      <w:r w:rsidRPr="00591C9D">
        <w:rPr>
          <w:rFonts w:ascii="Times New Roman" w:eastAsia="Cambria" w:hAnsi="Times New Roman" w:cs="Times New Roman"/>
        </w:rPr>
        <w:t xml:space="preserve">hese </w:t>
      </w:r>
      <w:r>
        <w:rPr>
          <w:rFonts w:ascii="Times New Roman" w:eastAsia="Cambria" w:hAnsi="Times New Roman" w:cs="Times New Roman"/>
        </w:rPr>
        <w:t xml:space="preserve">securitized </w:t>
      </w:r>
      <w:r w:rsidRPr="00591C9D">
        <w:rPr>
          <w:rFonts w:ascii="Times New Roman" w:eastAsia="Cambria" w:hAnsi="Times New Roman" w:cs="Times New Roman"/>
        </w:rPr>
        <w:t xml:space="preserve">response strategies highlight the issue of </w:t>
      </w:r>
      <w:r>
        <w:rPr>
          <w:rFonts w:ascii="Times New Roman" w:eastAsia="Cambria" w:hAnsi="Times New Roman" w:cs="Times New Roman"/>
        </w:rPr>
        <w:t xml:space="preserve">contested </w:t>
      </w:r>
      <w:r w:rsidRPr="00591C9D">
        <w:rPr>
          <w:rFonts w:ascii="Times New Roman" w:eastAsia="Cambria" w:hAnsi="Times New Roman" w:cs="Times New Roman"/>
        </w:rPr>
        <w:t>power geometries</w:t>
      </w:r>
      <w:r>
        <w:rPr>
          <w:rFonts w:ascii="Times New Roman" w:eastAsia="Cambria" w:hAnsi="Times New Roman" w:cs="Times New Roman"/>
        </w:rPr>
        <w:t xml:space="preserve"> and the unequal impacts</w:t>
      </w:r>
      <w:r w:rsidR="00C14A28">
        <w:rPr>
          <w:rFonts w:ascii="Times New Roman" w:eastAsia="Cambria" w:hAnsi="Times New Roman" w:cs="Times New Roman"/>
        </w:rPr>
        <w:t xml:space="preserve"> that result from </w:t>
      </w:r>
      <w:r w:rsidRPr="00591C9D">
        <w:rPr>
          <w:rFonts w:ascii="Times New Roman" w:eastAsia="Cambria" w:hAnsi="Times New Roman" w:cs="Times New Roman"/>
        </w:rPr>
        <w:t xml:space="preserve">the </w:t>
      </w:r>
      <w:r w:rsidR="001F47AB">
        <w:rPr>
          <w:rFonts w:ascii="Times New Roman" w:eastAsia="Cambria" w:hAnsi="Times New Roman" w:cs="Times New Roman"/>
        </w:rPr>
        <w:t xml:space="preserve">discursive </w:t>
      </w:r>
      <w:r w:rsidRPr="00591C9D">
        <w:rPr>
          <w:rFonts w:ascii="Times New Roman" w:eastAsia="Cambria" w:hAnsi="Times New Roman" w:cs="Times New Roman"/>
        </w:rPr>
        <w:t xml:space="preserve">designation of </w:t>
      </w:r>
      <w:r>
        <w:rPr>
          <w:rFonts w:ascii="Times New Roman" w:eastAsia="Cambria" w:hAnsi="Times New Roman" w:cs="Times New Roman"/>
        </w:rPr>
        <w:t xml:space="preserve">security </w:t>
      </w:r>
      <w:r w:rsidRPr="00591C9D">
        <w:rPr>
          <w:rFonts w:ascii="Times New Roman" w:eastAsia="Cambria" w:hAnsi="Times New Roman" w:cs="Times New Roman"/>
        </w:rPr>
        <w:t>threat</w:t>
      </w:r>
      <w:r>
        <w:rPr>
          <w:rFonts w:ascii="Times New Roman" w:eastAsia="Cambria" w:hAnsi="Times New Roman" w:cs="Times New Roman"/>
        </w:rPr>
        <w:t>s</w:t>
      </w:r>
      <w:r w:rsidRPr="00591C9D">
        <w:rPr>
          <w:rFonts w:ascii="Times New Roman" w:eastAsia="Cambria" w:hAnsi="Times New Roman" w:cs="Times New Roman"/>
        </w:rPr>
        <w:t xml:space="preserve">, and </w:t>
      </w:r>
      <w:r w:rsidR="001F47AB">
        <w:rPr>
          <w:rFonts w:ascii="Times New Roman" w:eastAsia="Cambria" w:hAnsi="Times New Roman" w:cs="Times New Roman"/>
        </w:rPr>
        <w:t xml:space="preserve">the </w:t>
      </w:r>
      <w:r w:rsidRPr="00591C9D">
        <w:rPr>
          <w:rFonts w:ascii="Times New Roman" w:eastAsia="Cambria" w:hAnsi="Times New Roman" w:cs="Times New Roman"/>
        </w:rPr>
        <w:t xml:space="preserve">strategies </w:t>
      </w:r>
      <w:r w:rsidR="001F47AB">
        <w:rPr>
          <w:rFonts w:ascii="Times New Roman" w:eastAsia="Cambria" w:hAnsi="Times New Roman" w:cs="Times New Roman"/>
        </w:rPr>
        <w:t xml:space="preserve">developed </w:t>
      </w:r>
      <w:r w:rsidRPr="00591C9D">
        <w:rPr>
          <w:rFonts w:ascii="Times New Roman" w:eastAsia="Cambria" w:hAnsi="Times New Roman" w:cs="Times New Roman"/>
        </w:rPr>
        <w:t xml:space="preserve">to respond to </w:t>
      </w:r>
      <w:r>
        <w:rPr>
          <w:rFonts w:ascii="Times New Roman" w:eastAsia="Cambria" w:hAnsi="Times New Roman" w:cs="Times New Roman"/>
        </w:rPr>
        <w:t xml:space="preserve">such </w:t>
      </w:r>
      <w:r w:rsidRPr="00591C9D">
        <w:rPr>
          <w:rFonts w:ascii="Times New Roman" w:eastAsia="Cambria" w:hAnsi="Times New Roman" w:cs="Times New Roman"/>
        </w:rPr>
        <w:t>threat</w:t>
      </w:r>
      <w:r>
        <w:rPr>
          <w:rFonts w:ascii="Times New Roman" w:eastAsia="Cambria" w:hAnsi="Times New Roman" w:cs="Times New Roman"/>
        </w:rPr>
        <w:t>s</w:t>
      </w:r>
      <w:r w:rsidRPr="00591C9D">
        <w:rPr>
          <w:rFonts w:ascii="Times New Roman" w:eastAsia="Cambria" w:hAnsi="Times New Roman" w:cs="Times New Roman"/>
        </w:rPr>
        <w:t xml:space="preserve">. Both </w:t>
      </w:r>
      <w:r>
        <w:rPr>
          <w:rFonts w:ascii="Times New Roman" w:eastAsia="Cambria" w:hAnsi="Times New Roman" w:cs="Times New Roman"/>
        </w:rPr>
        <w:t xml:space="preserve">the example </w:t>
      </w:r>
      <w:r w:rsidRPr="00591C9D">
        <w:rPr>
          <w:rFonts w:ascii="Times New Roman" w:eastAsia="Cambria" w:hAnsi="Times New Roman" w:cs="Times New Roman"/>
        </w:rPr>
        <w:t xml:space="preserve">of the </w:t>
      </w:r>
      <w:r>
        <w:rPr>
          <w:rFonts w:ascii="Times New Roman" w:eastAsia="Cambria" w:hAnsi="Times New Roman" w:cs="Times New Roman"/>
        </w:rPr>
        <w:t xml:space="preserve">IP surveillance camera and the Sturgeon Watchers scheme, </w:t>
      </w:r>
      <w:r w:rsidRPr="00591C9D">
        <w:rPr>
          <w:rFonts w:ascii="Times New Roman" w:eastAsia="Cambria" w:hAnsi="Times New Roman" w:cs="Times New Roman"/>
        </w:rPr>
        <w:t xml:space="preserve">draw attention to how the motivation to </w:t>
      </w:r>
      <w:r>
        <w:rPr>
          <w:rFonts w:ascii="Times New Roman" w:eastAsia="Cambria" w:hAnsi="Times New Roman" w:cs="Times New Roman"/>
        </w:rPr>
        <w:t>achieve an abstract notion of national or regional security can ironically make particular groupings of individuals more insecure. In this c</w:t>
      </w:r>
      <w:r w:rsidR="001F47AB">
        <w:rPr>
          <w:rFonts w:ascii="Times New Roman" w:eastAsia="Cambria" w:hAnsi="Times New Roman" w:cs="Times New Roman"/>
        </w:rPr>
        <w:t>ontext, local fishermen can be made</w:t>
      </w:r>
      <w:r>
        <w:rPr>
          <w:rFonts w:ascii="Times New Roman" w:eastAsia="Cambria" w:hAnsi="Times New Roman" w:cs="Times New Roman"/>
        </w:rPr>
        <w:t xml:space="preserve"> into ‘human bycatch’ at the mercy of the camera and border force officials (Sandbrook </w:t>
      </w:r>
      <w:r w:rsidRPr="00AB207E">
        <w:rPr>
          <w:rFonts w:ascii="Times New Roman" w:eastAsia="Cambria" w:hAnsi="Times New Roman" w:cs="Times New Roman"/>
          <w:i/>
        </w:rPr>
        <w:t>et al</w:t>
      </w:r>
      <w:r w:rsidR="00C14A28">
        <w:rPr>
          <w:rFonts w:ascii="Times New Roman" w:eastAsia="Cambria" w:hAnsi="Times New Roman" w:cs="Times New Roman"/>
        </w:rPr>
        <w:t>., 2018);</w:t>
      </w:r>
      <w:r>
        <w:rPr>
          <w:rFonts w:ascii="Times New Roman" w:eastAsia="Cambria" w:hAnsi="Times New Roman" w:cs="Times New Roman"/>
        </w:rPr>
        <w:t xml:space="preserve"> and the Sturgeon Watchers volunteers’ could be placed at heightened risk in the drive to eradicate sturgeon poaching and illegal caviar trade. However, these aspects of insecurity are overlooked in the overriding push by WWF to pursue securitized actions designed to eradicate the threats</w:t>
      </w:r>
      <w:r w:rsidR="00453C98">
        <w:rPr>
          <w:rFonts w:ascii="Times New Roman" w:eastAsia="Cambria" w:hAnsi="Times New Roman" w:cs="Times New Roman"/>
        </w:rPr>
        <w:t xml:space="preserve"> posed by organis</w:t>
      </w:r>
      <w:r>
        <w:rPr>
          <w:rFonts w:ascii="Times New Roman" w:eastAsia="Cambria" w:hAnsi="Times New Roman" w:cs="Times New Roman"/>
        </w:rPr>
        <w:t>ed crime in the illegal caviar trade in Europe. WWF use conservation surveillance in European sturgeon range states as a means to extend their authorit</w:t>
      </w:r>
      <w:r w:rsidR="00453C98">
        <w:rPr>
          <w:rFonts w:ascii="Times New Roman" w:eastAsia="Cambria" w:hAnsi="Times New Roman" w:cs="Times New Roman"/>
        </w:rPr>
        <w:t xml:space="preserve">y in environmental governance (Sandbrook </w:t>
      </w:r>
      <w:r w:rsidR="00453C98" w:rsidRPr="00AB207E">
        <w:rPr>
          <w:rFonts w:ascii="Times New Roman" w:eastAsia="Cambria" w:hAnsi="Times New Roman" w:cs="Times New Roman"/>
          <w:i/>
        </w:rPr>
        <w:t>et al</w:t>
      </w:r>
      <w:r w:rsidR="00453C98">
        <w:rPr>
          <w:rFonts w:ascii="Times New Roman" w:eastAsia="Cambria" w:hAnsi="Times New Roman" w:cs="Times New Roman"/>
        </w:rPr>
        <w:t>., 2018</w:t>
      </w:r>
      <w:r>
        <w:rPr>
          <w:rFonts w:ascii="Times New Roman" w:eastAsia="Cambria" w:hAnsi="Times New Roman" w:cs="Times New Roman"/>
        </w:rPr>
        <w:t xml:space="preserve">), and their influence in the region. </w:t>
      </w:r>
    </w:p>
    <w:p w14:paraId="28EEF245" w14:textId="2EFAE41A" w:rsidR="00F90322" w:rsidRDefault="00F90322" w:rsidP="003B354F">
      <w:pPr>
        <w:pStyle w:val="normal0"/>
        <w:spacing w:after="160" w:line="360" w:lineRule="auto"/>
        <w:ind w:firstLine="720"/>
        <w:jc w:val="both"/>
        <w:rPr>
          <w:rFonts w:ascii="Times New Roman" w:eastAsia="Cambria" w:hAnsi="Times New Roman" w:cs="Times New Roman"/>
        </w:rPr>
      </w:pPr>
      <w:r>
        <w:rPr>
          <w:rFonts w:ascii="Times New Roman" w:eastAsia="Cambria" w:hAnsi="Times New Roman" w:cs="Times New Roman"/>
        </w:rPr>
        <w:t>Ultimately however, the securitized responses discussed here do not have the power to challenge the ‘dissolving’ security narratives at work at the EU-level; and in fact, they may even reinforce this dissolving process. The IP surveillance camera and Sturgeon Watchers scheme are framed as securitized respo</w:t>
      </w:r>
      <w:r w:rsidR="00C14A28">
        <w:rPr>
          <w:rFonts w:ascii="Times New Roman" w:eastAsia="Cambria" w:hAnsi="Times New Roman" w:cs="Times New Roman"/>
        </w:rPr>
        <w:t>nses to the existence of organis</w:t>
      </w:r>
      <w:r>
        <w:rPr>
          <w:rFonts w:ascii="Times New Roman" w:eastAsia="Cambria" w:hAnsi="Times New Roman" w:cs="Times New Roman"/>
        </w:rPr>
        <w:t>ed crime in the caviar tr</w:t>
      </w:r>
      <w:r w:rsidR="00C14A28">
        <w:rPr>
          <w:rFonts w:ascii="Times New Roman" w:eastAsia="Cambria" w:hAnsi="Times New Roman" w:cs="Times New Roman"/>
        </w:rPr>
        <w:t>ade and the threat it poses. However</w:t>
      </w:r>
      <w:r>
        <w:rPr>
          <w:rFonts w:ascii="Times New Roman" w:eastAsia="Cambria" w:hAnsi="Times New Roman" w:cs="Times New Roman"/>
        </w:rPr>
        <w:t xml:space="preserve">, by focusing the securitized responses at the lowest rung in the criminal chain – </w:t>
      </w:r>
      <w:r>
        <w:rPr>
          <w:rFonts w:ascii="Times New Roman" w:eastAsia="Cambria" w:hAnsi="Times New Roman" w:cs="Times New Roman"/>
        </w:rPr>
        <w:lastRenderedPageBreak/>
        <w:t>fishermen and fishing communities – the securitized actions disproportionately impact already insecure individuals, rather than destabilising the core structure</w:t>
      </w:r>
      <w:r w:rsidR="00453C98">
        <w:rPr>
          <w:rFonts w:ascii="Times New Roman" w:eastAsia="Cambria" w:hAnsi="Times New Roman" w:cs="Times New Roman"/>
        </w:rPr>
        <w:t>s</w:t>
      </w:r>
      <w:r>
        <w:rPr>
          <w:rFonts w:ascii="Times New Roman" w:eastAsia="Cambria" w:hAnsi="Times New Roman" w:cs="Times New Roman"/>
        </w:rPr>
        <w:t xml:space="preserve"> of the criminal networks or the corrupt governance pathways in place. A ‘poacher’ caught on camera or by the Sturgeon Watchers, is expendable to criminal networks and easily replaceable. As a result of these actions, the focus remains on poaching dynamics in sturgeon range states, which feeds into and reinforces the EU narrative that tackling illegal cav</w:t>
      </w:r>
      <w:r w:rsidR="00453C98">
        <w:rPr>
          <w:rFonts w:ascii="Times New Roman" w:eastAsia="Cambria" w:hAnsi="Times New Roman" w:cs="Times New Roman"/>
        </w:rPr>
        <w:t>iar trade should be a priority “</w:t>
      </w:r>
      <w:r>
        <w:rPr>
          <w:rFonts w:ascii="Times New Roman" w:eastAsia="Cambria" w:hAnsi="Times New Roman" w:cs="Times New Roman"/>
        </w:rPr>
        <w:t>more for the regions, with the countries, the range states concerned</w:t>
      </w:r>
      <w:r w:rsidR="00453C98">
        <w:rPr>
          <w:rFonts w:ascii="Times New Roman" w:eastAsia="Cambria" w:hAnsi="Times New Roman" w:cs="Times New Roman"/>
        </w:rPr>
        <w:t>”</w:t>
      </w:r>
      <w:r w:rsidRPr="005B292F">
        <w:rPr>
          <w:rStyle w:val="FootnoteReference"/>
        </w:rPr>
        <w:footnoteReference w:id="246"/>
      </w:r>
      <w:r>
        <w:rPr>
          <w:rFonts w:ascii="Times New Roman" w:eastAsia="Cambria" w:hAnsi="Times New Roman" w:cs="Times New Roman"/>
        </w:rPr>
        <w:t>. Consequently, the transnational reach, political economy, and security implications of illegal caviar trade beyond Eastern Europe, remains largely out of view. Thus</w:t>
      </w:r>
      <w:r w:rsidR="00C14A28">
        <w:rPr>
          <w:rFonts w:ascii="Times New Roman" w:eastAsia="Cambria" w:hAnsi="Times New Roman" w:cs="Times New Roman"/>
        </w:rPr>
        <w:t>,</w:t>
      </w:r>
      <w:r>
        <w:rPr>
          <w:rFonts w:ascii="Times New Roman" w:eastAsia="Cambria" w:hAnsi="Times New Roman" w:cs="Times New Roman"/>
        </w:rPr>
        <w:t xml:space="preserve"> the securitizing narratives and responses of WWF do little to challenge the power geometries that position illegal caviar trade as a declining security issue in the EU.   </w:t>
      </w:r>
    </w:p>
    <w:p w14:paraId="71D11356" w14:textId="77777777" w:rsidR="00F90322" w:rsidRDefault="00F90322" w:rsidP="003B354F">
      <w:pPr>
        <w:pStyle w:val="normal0"/>
        <w:spacing w:after="160" w:line="360" w:lineRule="auto"/>
        <w:ind w:firstLine="720"/>
        <w:jc w:val="both"/>
        <w:rPr>
          <w:rFonts w:ascii="Times New Roman" w:eastAsia="Cambria" w:hAnsi="Times New Roman" w:cs="Times New Roman"/>
        </w:rPr>
      </w:pPr>
    </w:p>
    <w:p w14:paraId="7CDFB503" w14:textId="77777777" w:rsidR="00F90322" w:rsidRPr="00791D25" w:rsidRDefault="00F90322" w:rsidP="003B354F">
      <w:pPr>
        <w:pStyle w:val="Heading2"/>
      </w:pPr>
      <w:bookmarkStart w:id="92" w:name="_Toc453224249"/>
      <w:r w:rsidRPr="00791D25">
        <w:t>7.3 Silenced securities</w:t>
      </w:r>
      <w:bookmarkEnd w:id="92"/>
      <w:r w:rsidRPr="00791D25">
        <w:t xml:space="preserve"> </w:t>
      </w:r>
    </w:p>
    <w:p w14:paraId="2D302E26" w14:textId="429DDFEB" w:rsidR="00F90322" w:rsidRDefault="00F90322" w:rsidP="003B354F">
      <w:pPr>
        <w:pStyle w:val="normal0"/>
        <w:spacing w:after="160" w:line="360" w:lineRule="auto"/>
        <w:jc w:val="both"/>
        <w:rPr>
          <w:rFonts w:ascii="Times New Roman" w:eastAsia="Cambria" w:hAnsi="Times New Roman" w:cs="Times New Roman"/>
        </w:rPr>
      </w:pPr>
      <w:r>
        <w:rPr>
          <w:rFonts w:ascii="Times New Roman" w:eastAsia="Cambria" w:hAnsi="Times New Roman" w:cs="Times New Roman"/>
        </w:rPr>
        <w:t xml:space="preserve">Finally, I consider </w:t>
      </w:r>
      <w:r w:rsidR="004E4013">
        <w:rPr>
          <w:rFonts w:ascii="Times New Roman" w:eastAsia="Cambria" w:hAnsi="Times New Roman" w:cs="Times New Roman"/>
        </w:rPr>
        <w:t xml:space="preserve">an emerging security narrative that fails </w:t>
      </w:r>
      <w:r>
        <w:rPr>
          <w:rFonts w:ascii="Times New Roman" w:eastAsia="Cambria" w:hAnsi="Times New Roman" w:cs="Times New Roman"/>
        </w:rPr>
        <w:t xml:space="preserve">to gain </w:t>
      </w:r>
      <w:r w:rsidR="004E4013">
        <w:rPr>
          <w:rFonts w:ascii="Times New Roman" w:eastAsia="Cambria" w:hAnsi="Times New Roman" w:cs="Times New Roman"/>
        </w:rPr>
        <w:t xml:space="preserve">political </w:t>
      </w:r>
      <w:r>
        <w:rPr>
          <w:rFonts w:ascii="Times New Roman" w:eastAsia="Cambria" w:hAnsi="Times New Roman" w:cs="Times New Roman"/>
        </w:rPr>
        <w:t>traction</w:t>
      </w:r>
      <w:r w:rsidR="004E4013">
        <w:rPr>
          <w:rFonts w:ascii="Times New Roman" w:eastAsia="Cambria" w:hAnsi="Times New Roman" w:cs="Times New Roman"/>
        </w:rPr>
        <w:t>, and is</w:t>
      </w:r>
      <w:r>
        <w:rPr>
          <w:rFonts w:ascii="Times New Roman" w:eastAsia="Cambria" w:hAnsi="Times New Roman" w:cs="Times New Roman"/>
        </w:rPr>
        <w:t xml:space="preserve"> silenced as a result of the power geometries </w:t>
      </w:r>
      <w:r w:rsidR="004E4013">
        <w:rPr>
          <w:rFonts w:ascii="Times New Roman" w:eastAsia="Cambria" w:hAnsi="Times New Roman" w:cs="Times New Roman"/>
        </w:rPr>
        <w:t>that shape</w:t>
      </w:r>
      <w:r>
        <w:rPr>
          <w:rFonts w:ascii="Times New Roman" w:eastAsia="Cambria" w:hAnsi="Times New Roman" w:cs="Times New Roman"/>
        </w:rPr>
        <w:t xml:space="preserve"> how illegal caviar trade is positioned in the security landscape of the EU. The securitizin</w:t>
      </w:r>
      <w:r w:rsidR="004E4013">
        <w:rPr>
          <w:rFonts w:ascii="Times New Roman" w:eastAsia="Cambria" w:hAnsi="Times New Roman" w:cs="Times New Roman"/>
        </w:rPr>
        <w:t>g narratives that are silenced are inherently more-than-hum</w:t>
      </w:r>
      <w:r w:rsidR="00801219">
        <w:rPr>
          <w:rFonts w:ascii="Times New Roman" w:eastAsia="Cambria" w:hAnsi="Times New Roman" w:cs="Times New Roman"/>
        </w:rPr>
        <w:t>an, as they attempt to foreground</w:t>
      </w:r>
      <w:r w:rsidR="004E4013">
        <w:rPr>
          <w:rFonts w:ascii="Times New Roman" w:eastAsia="Cambria" w:hAnsi="Times New Roman" w:cs="Times New Roman"/>
        </w:rPr>
        <w:t xml:space="preserve"> the security implications of </w:t>
      </w:r>
      <w:r>
        <w:rPr>
          <w:rFonts w:ascii="Times New Roman" w:eastAsia="Cambria" w:hAnsi="Times New Roman" w:cs="Times New Roman"/>
        </w:rPr>
        <w:t>gaps and grey areas in caviar trade regulations for sturgeon and EU</w:t>
      </w:r>
      <w:r w:rsidR="000F67AF">
        <w:rPr>
          <w:rFonts w:ascii="Times New Roman" w:eastAsia="Cambria" w:hAnsi="Times New Roman" w:cs="Times New Roman"/>
        </w:rPr>
        <w:t xml:space="preserve"> habitats. </w:t>
      </w:r>
      <w:r>
        <w:rPr>
          <w:rFonts w:ascii="Times New Roman" w:eastAsia="Cambria" w:hAnsi="Times New Roman" w:cs="Times New Roman"/>
        </w:rPr>
        <w:t xml:space="preserve">These narratives are framed in terms of ‘ecological security’ </w:t>
      </w:r>
      <w:r>
        <w:rPr>
          <w:rFonts w:ascii="Times New Roman" w:eastAsia="Cambria" w:hAnsi="Times New Roman" w:cs="Times New Roman"/>
        </w:rPr>
        <w:fldChar w:fldCharType="begin" w:fldLock="1"/>
      </w:r>
      <w:r w:rsidR="00DF6644">
        <w:rPr>
          <w:rFonts w:ascii="Times New Roman" w:eastAsia="Cambria" w:hAnsi="Times New Roman" w:cs="Times New Roman"/>
        </w:rPr>
        <w:instrText>ADDIN CSL_CITATION {"citationItems":[{"id":"ITEM-1","itemData":{"DOI":"10.1057/978-1-137-52542-0_13","author":[{"dropping-particle":"","family":"McDonald","given":"Matt","non-dropping-particle":"","parse-names":false,"suffix":""}],"container-title":"Rethinking Security in the Twenty-First Century","id":"ITEM-1","issued":{"date-parts":[["2015"]]},"page":"183-194","title":"Ecological Security","type":"article-journal"},"uris":["http://www.mendeley.com/documents/?uuid=5670de02-fa8e-4957-9a3d-b5a049a5cfa0"]}],"mendeley":{"formattedCitation":"(McDonald, 2015)","manualFormatting":"(McDonald, 2017)","plainTextFormattedCitation":"(McDonald, 2015)","previouslyFormattedCitation":"(McDonald, 2015)"},"properties":{"noteIndex":0},"schema":"https://github.com/citation-style-language/schema/raw/master/csl-citation.json"}</w:instrText>
      </w:r>
      <w:r>
        <w:rPr>
          <w:rFonts w:ascii="Times New Roman" w:eastAsia="Cambria" w:hAnsi="Times New Roman" w:cs="Times New Roman"/>
        </w:rPr>
        <w:fldChar w:fldCharType="separate"/>
      </w:r>
      <w:r w:rsidR="003D2958">
        <w:rPr>
          <w:rFonts w:ascii="Times New Roman" w:eastAsia="Cambria" w:hAnsi="Times New Roman" w:cs="Times New Roman"/>
          <w:noProof/>
        </w:rPr>
        <w:t>(McDonald, 2017</w:t>
      </w:r>
      <w:r w:rsidRPr="00994DC0">
        <w:rPr>
          <w:rFonts w:ascii="Times New Roman" w:eastAsia="Cambria" w:hAnsi="Times New Roman" w:cs="Times New Roman"/>
          <w:noProof/>
        </w:rPr>
        <w:t>)</w:t>
      </w:r>
      <w:r>
        <w:rPr>
          <w:rFonts w:ascii="Times New Roman" w:eastAsia="Cambria" w:hAnsi="Times New Roman" w:cs="Times New Roman"/>
        </w:rPr>
        <w:fldChar w:fldCharType="end"/>
      </w:r>
      <w:r>
        <w:rPr>
          <w:rFonts w:ascii="Times New Roman" w:eastAsia="Cambria" w:hAnsi="Times New Roman" w:cs="Times New Roman"/>
        </w:rPr>
        <w:t xml:space="preserve"> and point to t</w:t>
      </w:r>
      <w:r w:rsidR="00D74A11">
        <w:rPr>
          <w:rFonts w:ascii="Times New Roman" w:eastAsia="Cambria" w:hAnsi="Times New Roman" w:cs="Times New Roman"/>
        </w:rPr>
        <w:t>he interconnectedness of organis</w:t>
      </w:r>
      <w:r>
        <w:rPr>
          <w:rFonts w:ascii="Times New Roman" w:eastAsia="Cambria" w:hAnsi="Times New Roman" w:cs="Times New Roman"/>
        </w:rPr>
        <w:t>ed crime, government corruption and demand for caviar in Western European states, as driving forces that compound ecological degradation and environmental insecurity in sturgeon range states</w:t>
      </w:r>
      <w:r w:rsidR="00801219">
        <w:rPr>
          <w:rFonts w:ascii="Times New Roman" w:eastAsia="Cambria" w:hAnsi="Times New Roman" w:cs="Times New Roman"/>
        </w:rPr>
        <w:t xml:space="preserve"> - </w:t>
      </w:r>
      <w:r w:rsidR="004E4013">
        <w:rPr>
          <w:rFonts w:ascii="Times New Roman" w:eastAsia="Cambria" w:hAnsi="Times New Roman" w:cs="Times New Roman"/>
        </w:rPr>
        <w:t>with negative implications for both human and nonhuman actors</w:t>
      </w:r>
      <w:r>
        <w:rPr>
          <w:rFonts w:ascii="Times New Roman" w:eastAsia="Cambria" w:hAnsi="Times New Roman" w:cs="Times New Roman"/>
        </w:rPr>
        <w:t xml:space="preserve">. </w:t>
      </w:r>
      <w:r w:rsidR="000F67AF">
        <w:rPr>
          <w:rFonts w:ascii="Times New Roman" w:eastAsia="Cambria" w:hAnsi="Times New Roman" w:cs="Times New Roman"/>
        </w:rPr>
        <w:t>By interrogating</w:t>
      </w:r>
      <w:r w:rsidR="008E60C4">
        <w:rPr>
          <w:rFonts w:ascii="Times New Roman" w:eastAsia="Cambria" w:hAnsi="Times New Roman" w:cs="Times New Roman"/>
        </w:rPr>
        <w:t xml:space="preserve"> “what is being secured and for whom” (O’Lear, 2018: 172), these security narratives uncomfortably highlight the security threats emanating from within EU Member State governance structures and the political ec</w:t>
      </w:r>
      <w:r w:rsidR="000F67AF">
        <w:rPr>
          <w:rFonts w:ascii="Times New Roman" w:eastAsia="Cambria" w:hAnsi="Times New Roman" w:cs="Times New Roman"/>
        </w:rPr>
        <w:t>onomy of caviar trade in the EU,</w:t>
      </w:r>
      <w:r w:rsidR="008E60C4">
        <w:rPr>
          <w:rFonts w:ascii="Times New Roman" w:eastAsia="Cambria" w:hAnsi="Times New Roman" w:cs="Times New Roman"/>
        </w:rPr>
        <w:t xml:space="preserve"> rather than solely targetting the abs</w:t>
      </w:r>
      <w:r w:rsidR="000F67AF">
        <w:rPr>
          <w:rFonts w:ascii="Times New Roman" w:eastAsia="Cambria" w:hAnsi="Times New Roman" w:cs="Times New Roman"/>
        </w:rPr>
        <w:t>t</w:t>
      </w:r>
      <w:r w:rsidR="008E60C4">
        <w:rPr>
          <w:rFonts w:ascii="Times New Roman" w:eastAsia="Cambria" w:hAnsi="Times New Roman" w:cs="Times New Roman"/>
        </w:rPr>
        <w:t>ract external threat of ‘organised crime’. As a result, I argue that these secur</w:t>
      </w:r>
      <w:r w:rsidR="000F67AF">
        <w:rPr>
          <w:rFonts w:ascii="Times New Roman" w:eastAsia="Cambria" w:hAnsi="Times New Roman" w:cs="Times New Roman"/>
        </w:rPr>
        <w:t xml:space="preserve">itizing narratives are silenced. I </w:t>
      </w:r>
      <w:r w:rsidR="008E60C4">
        <w:rPr>
          <w:rFonts w:ascii="Times New Roman" w:eastAsia="Cambria" w:hAnsi="Times New Roman" w:cs="Times New Roman"/>
        </w:rPr>
        <w:t xml:space="preserve">show </w:t>
      </w:r>
      <w:r>
        <w:rPr>
          <w:rFonts w:ascii="Times New Roman" w:eastAsia="Cambria" w:hAnsi="Times New Roman" w:cs="Times New Roman"/>
        </w:rPr>
        <w:t>how EU Member State governments such as the Romanian government, respond to those espousin</w:t>
      </w:r>
      <w:r w:rsidR="00801219">
        <w:rPr>
          <w:rFonts w:ascii="Times New Roman" w:eastAsia="Cambria" w:hAnsi="Times New Roman" w:cs="Times New Roman"/>
        </w:rPr>
        <w:t>g ecological security narratives</w:t>
      </w:r>
      <w:r>
        <w:rPr>
          <w:rFonts w:ascii="Times New Roman" w:eastAsia="Cambria" w:hAnsi="Times New Roman" w:cs="Times New Roman"/>
        </w:rPr>
        <w:t xml:space="preserve"> as though they themeselves constitute a threat to ‘national security’. </w:t>
      </w:r>
    </w:p>
    <w:p w14:paraId="4A9B9403" w14:textId="77777777" w:rsidR="00343F58" w:rsidRDefault="00F90322" w:rsidP="003B354F">
      <w:pPr>
        <w:pStyle w:val="normal0"/>
        <w:spacing w:after="160" w:line="360" w:lineRule="auto"/>
        <w:jc w:val="both"/>
        <w:rPr>
          <w:rFonts w:ascii="Times New Roman" w:eastAsia="Cambria" w:hAnsi="Times New Roman" w:cs="Times New Roman"/>
        </w:rPr>
      </w:pPr>
      <w:r>
        <w:rPr>
          <w:rFonts w:ascii="Times New Roman" w:eastAsia="Cambria" w:hAnsi="Times New Roman" w:cs="Times New Roman"/>
        </w:rPr>
        <w:tab/>
        <w:t>Conspicious by absence in the secu</w:t>
      </w:r>
      <w:r w:rsidR="00801219">
        <w:rPr>
          <w:rFonts w:ascii="Times New Roman" w:eastAsia="Cambria" w:hAnsi="Times New Roman" w:cs="Times New Roman"/>
        </w:rPr>
        <w:t>ritizing discourses discussed previously in</w:t>
      </w:r>
      <w:r>
        <w:rPr>
          <w:rFonts w:ascii="Times New Roman" w:eastAsia="Cambria" w:hAnsi="Times New Roman" w:cs="Times New Roman"/>
        </w:rPr>
        <w:t xml:space="preserve"> section 7.2, is the threat posed from i</w:t>
      </w:r>
      <w:r w:rsidR="00801219">
        <w:rPr>
          <w:rFonts w:ascii="Times New Roman" w:eastAsia="Cambria" w:hAnsi="Times New Roman" w:cs="Times New Roman"/>
        </w:rPr>
        <w:t>llegal caviar trade to sturgeon</w:t>
      </w:r>
      <w:r>
        <w:rPr>
          <w:rFonts w:ascii="Times New Roman" w:eastAsia="Cambria" w:hAnsi="Times New Roman" w:cs="Times New Roman"/>
        </w:rPr>
        <w:t xml:space="preserve"> and EU ecosystems. Instead the</w:t>
      </w:r>
      <w:r w:rsidR="00801219">
        <w:rPr>
          <w:rFonts w:ascii="Times New Roman" w:eastAsia="Cambria" w:hAnsi="Times New Roman" w:cs="Times New Roman"/>
        </w:rPr>
        <w:t xml:space="preserve"> dominant</w:t>
      </w:r>
      <w:r w:rsidR="0044788E">
        <w:rPr>
          <w:rFonts w:ascii="Times New Roman" w:eastAsia="Cambria" w:hAnsi="Times New Roman" w:cs="Times New Roman"/>
        </w:rPr>
        <w:t xml:space="preserve"> securitizing narratives</w:t>
      </w:r>
      <w:r>
        <w:rPr>
          <w:rFonts w:ascii="Times New Roman" w:eastAsia="Cambria" w:hAnsi="Times New Roman" w:cs="Times New Roman"/>
        </w:rPr>
        <w:t xml:space="preserve"> and practices foreground the secu</w:t>
      </w:r>
      <w:r w:rsidR="00D74A11">
        <w:rPr>
          <w:rFonts w:ascii="Times New Roman" w:eastAsia="Cambria" w:hAnsi="Times New Roman" w:cs="Times New Roman"/>
        </w:rPr>
        <w:t>rity threats posed by organis</w:t>
      </w:r>
      <w:r>
        <w:rPr>
          <w:rFonts w:ascii="Times New Roman" w:eastAsia="Cambria" w:hAnsi="Times New Roman" w:cs="Times New Roman"/>
        </w:rPr>
        <w:t>ed crime to ‘national security’: imagined in terms of the security of EU citizens, economies</w:t>
      </w:r>
      <w:r w:rsidR="00AE5CB4">
        <w:rPr>
          <w:rFonts w:ascii="Times New Roman" w:eastAsia="Cambria" w:hAnsi="Times New Roman" w:cs="Times New Roman"/>
        </w:rPr>
        <w:t>,</w:t>
      </w:r>
      <w:r>
        <w:rPr>
          <w:rFonts w:ascii="Times New Roman" w:eastAsia="Cambria" w:hAnsi="Times New Roman" w:cs="Times New Roman"/>
        </w:rPr>
        <w:t xml:space="preserve"> and infrastructures. A minority of voices </w:t>
      </w:r>
      <w:r w:rsidR="00801219">
        <w:rPr>
          <w:rFonts w:ascii="Times New Roman" w:eastAsia="Cambria" w:hAnsi="Times New Roman" w:cs="Times New Roman"/>
        </w:rPr>
        <w:t>espoused a</w:t>
      </w:r>
      <w:r w:rsidR="0044788E">
        <w:rPr>
          <w:rFonts w:ascii="Times New Roman" w:eastAsia="Cambria" w:hAnsi="Times New Roman" w:cs="Times New Roman"/>
        </w:rPr>
        <w:t>n expanded,</w:t>
      </w:r>
      <w:r w:rsidR="00801219">
        <w:rPr>
          <w:rFonts w:ascii="Times New Roman" w:eastAsia="Cambria" w:hAnsi="Times New Roman" w:cs="Times New Roman"/>
        </w:rPr>
        <w:t xml:space="preserve"> more-than</w:t>
      </w:r>
      <w:r w:rsidR="0044788E">
        <w:rPr>
          <w:rFonts w:ascii="Times New Roman" w:eastAsia="Cambria" w:hAnsi="Times New Roman" w:cs="Times New Roman"/>
        </w:rPr>
        <w:t>-human vision of security; which frames the political economy of illegal caviar trade in the EU</w:t>
      </w:r>
      <w:r w:rsidR="000F67AF">
        <w:rPr>
          <w:rFonts w:ascii="Times New Roman" w:eastAsia="Cambria" w:hAnsi="Times New Roman" w:cs="Times New Roman"/>
        </w:rPr>
        <w:t xml:space="preserve"> and corrupt governance structures,</w:t>
      </w:r>
      <w:r w:rsidR="0044788E">
        <w:rPr>
          <w:rFonts w:ascii="Times New Roman" w:eastAsia="Cambria" w:hAnsi="Times New Roman" w:cs="Times New Roman"/>
        </w:rPr>
        <w:t xml:space="preserve"> as posing a direct security threat to sturgeon, EU ecosystems</w:t>
      </w:r>
      <w:r w:rsidR="000F67AF">
        <w:rPr>
          <w:rFonts w:ascii="Times New Roman" w:eastAsia="Cambria" w:hAnsi="Times New Roman" w:cs="Times New Roman"/>
        </w:rPr>
        <w:t>,</w:t>
      </w:r>
      <w:r w:rsidR="0044788E">
        <w:rPr>
          <w:rFonts w:ascii="Times New Roman" w:eastAsia="Cambria" w:hAnsi="Times New Roman" w:cs="Times New Roman"/>
        </w:rPr>
        <w:t xml:space="preserve"> and EU citizens alike. In incorporating sturgeon </w:t>
      </w:r>
      <w:r w:rsidR="0044788E">
        <w:rPr>
          <w:rFonts w:ascii="Times New Roman" w:eastAsia="Cambria" w:hAnsi="Times New Roman" w:cs="Times New Roman"/>
        </w:rPr>
        <w:lastRenderedPageBreak/>
        <w:t xml:space="preserve">into their discussions about the security implications of illegal caviar trade, researchers and NGO representatives pointed to the gaps and grey areas in regulations as having more-than-human security implications. </w:t>
      </w:r>
    </w:p>
    <w:p w14:paraId="2C673D99" w14:textId="4D8A0803" w:rsidR="00F90322" w:rsidRDefault="00F90322" w:rsidP="003B354F">
      <w:pPr>
        <w:pStyle w:val="normal0"/>
        <w:spacing w:after="160" w:line="360" w:lineRule="auto"/>
        <w:ind w:firstLine="720"/>
        <w:jc w:val="both"/>
        <w:rPr>
          <w:rFonts w:ascii="Times New Roman" w:eastAsia="Cambria" w:hAnsi="Times New Roman" w:cs="Times New Roman"/>
        </w:rPr>
      </w:pPr>
      <w:r>
        <w:rPr>
          <w:rFonts w:ascii="Times New Roman" w:eastAsia="Cambria" w:hAnsi="Times New Roman" w:cs="Times New Roman"/>
        </w:rPr>
        <w:t xml:space="preserve">Sturgeon are said to be a key indicator of the health of ecosystems </w:t>
      </w:r>
      <w:r w:rsidR="00D74A11">
        <w:rPr>
          <w:rFonts w:ascii="Times New Roman" w:eastAsia="Cambria" w:hAnsi="Times New Roman" w:cs="Times New Roman"/>
        </w:rPr>
        <w:fldChar w:fldCharType="begin" w:fldLock="1"/>
      </w:r>
      <w:r w:rsidR="00883E89">
        <w:rPr>
          <w:rFonts w:ascii="Times New Roman" w:eastAsia="Cambria" w:hAnsi="Times New Roman" w:cs="Times New Roman"/>
        </w:rPr>
        <w:instrText>ADDIN CSL_CITATION {"citationItems":[{"id":"ITEM-1","itemData":{"DOI":"10.1007/978-3-319-73250-3_26","author":[{"dropping-particle":"","family":"Friedrich","given":"Thomas","non-dropping-particle":"","parse-names":false,"suffix":""}],"container-title":"Riverine Ecosystem Management","id":"ITEM-1","issued":{"date-parts":[["2018"]]},"page":"507-518","publisher":"Springer International Publishing","publisher-place":"Cham","title":"Danube Sturgeons: Past and Future","type":"chapter"},"uris":["http://www.mendeley.com/documents/?uuid=41a7156f-8b40-345f-9fc3-532d09010b28"]}],"mendeley":{"formattedCitation":"(Friedrich, 2018)","plainTextFormattedCitation":"(Friedrich, 2018)","previouslyFormattedCitation":"(Friedrich, 2018)"},"properties":{"noteIndex":0},"schema":"https://github.com/citation-style-language/schema/raw/master/csl-citation.json"}</w:instrText>
      </w:r>
      <w:r w:rsidR="00D74A11">
        <w:rPr>
          <w:rFonts w:ascii="Times New Roman" w:eastAsia="Cambria" w:hAnsi="Times New Roman" w:cs="Times New Roman"/>
        </w:rPr>
        <w:fldChar w:fldCharType="separate"/>
      </w:r>
      <w:r w:rsidR="00D74A11" w:rsidRPr="00D74A11">
        <w:rPr>
          <w:rFonts w:ascii="Times New Roman" w:eastAsia="Cambria" w:hAnsi="Times New Roman" w:cs="Times New Roman"/>
          <w:noProof/>
        </w:rPr>
        <w:t>(Friedrich, 2018)</w:t>
      </w:r>
      <w:r w:rsidR="00D74A11">
        <w:rPr>
          <w:rFonts w:ascii="Times New Roman" w:eastAsia="Cambria" w:hAnsi="Times New Roman" w:cs="Times New Roman"/>
        </w:rPr>
        <w:fldChar w:fldCharType="end"/>
      </w:r>
      <w:r w:rsidR="00D74A11">
        <w:rPr>
          <w:rFonts w:ascii="Times New Roman" w:eastAsia="Cambria" w:hAnsi="Times New Roman" w:cs="Times New Roman"/>
        </w:rPr>
        <w:t xml:space="preserve">; </w:t>
      </w:r>
      <w:r>
        <w:rPr>
          <w:rFonts w:ascii="Times New Roman" w:eastAsia="Cambria" w:hAnsi="Times New Roman" w:cs="Times New Roman"/>
        </w:rPr>
        <w:t>and the extinction of sturgeon could lead to the disapearance of other species and the collapse of the ecosystem (</w:t>
      </w:r>
      <w:r w:rsidRPr="00144EF5">
        <w:rPr>
          <w:rFonts w:ascii="Times New Roman" w:eastAsia="Cambria" w:hAnsi="Times New Roman" w:cs="Times New Roman"/>
        </w:rPr>
        <w:t>Van Uhm, 2016b: 155</w:t>
      </w:r>
      <w:r>
        <w:rPr>
          <w:rFonts w:ascii="Times New Roman" w:eastAsia="Cambria" w:hAnsi="Times New Roman" w:cs="Times New Roman"/>
        </w:rPr>
        <w:t>). Thus scientists and researchers emphasised their worries that due to continued overexploitation of stur</w:t>
      </w:r>
      <w:r w:rsidR="00AE5CB4">
        <w:rPr>
          <w:rFonts w:ascii="Times New Roman" w:eastAsia="Cambria" w:hAnsi="Times New Roman" w:cs="Times New Roman"/>
        </w:rPr>
        <w:t>geon for illegal caviar trade, “</w:t>
      </w:r>
      <w:r>
        <w:rPr>
          <w:rFonts w:ascii="Times New Roman" w:eastAsia="Cambria" w:hAnsi="Times New Roman" w:cs="Times New Roman"/>
        </w:rPr>
        <w:t>the fish is vanishing from the rivers</w:t>
      </w:r>
      <w:r w:rsidR="00AE5CB4">
        <w:rPr>
          <w:rFonts w:ascii="Times New Roman" w:eastAsia="Cambria" w:hAnsi="Times New Roman" w:cs="Times New Roman"/>
        </w:rPr>
        <w:t>”</w:t>
      </w:r>
      <w:r w:rsidRPr="005B292F">
        <w:rPr>
          <w:rStyle w:val="FootnoteReference"/>
        </w:rPr>
        <w:footnoteReference w:id="247"/>
      </w:r>
      <w:r>
        <w:rPr>
          <w:rFonts w:ascii="Times New Roman" w:eastAsia="Cambria" w:hAnsi="Times New Roman" w:cs="Times New Roman"/>
        </w:rPr>
        <w:t xml:space="preserve"> and this is increasingly likely to result in </w:t>
      </w:r>
      <w:r w:rsidR="008E60C4">
        <w:rPr>
          <w:rFonts w:ascii="Times New Roman" w:eastAsia="Cambria" w:hAnsi="Times New Roman" w:cs="Times New Roman"/>
        </w:rPr>
        <w:t xml:space="preserve">an </w:t>
      </w:r>
      <w:r>
        <w:rPr>
          <w:rFonts w:ascii="Times New Roman" w:eastAsia="Cambria" w:hAnsi="Times New Roman" w:cs="Times New Roman"/>
        </w:rPr>
        <w:t>ecological crisis for fragile EU ecosystems</w:t>
      </w:r>
      <w:r w:rsidR="002C1660">
        <w:rPr>
          <w:rFonts w:ascii="Times New Roman" w:eastAsia="Cambria" w:hAnsi="Times New Roman" w:cs="Times New Roman"/>
        </w:rPr>
        <w:t>, with detrimental spillover effects for</w:t>
      </w:r>
      <w:r w:rsidR="008E60C4">
        <w:rPr>
          <w:rFonts w:ascii="Times New Roman" w:eastAsia="Cambria" w:hAnsi="Times New Roman" w:cs="Times New Roman"/>
        </w:rPr>
        <w:t xml:space="preserve"> the livelihoods and well-being of</w:t>
      </w:r>
      <w:r w:rsidR="002C1660">
        <w:rPr>
          <w:rFonts w:ascii="Times New Roman" w:eastAsia="Cambria" w:hAnsi="Times New Roman" w:cs="Times New Roman"/>
        </w:rPr>
        <w:t xml:space="preserve"> EU citizens</w:t>
      </w:r>
      <w:r>
        <w:rPr>
          <w:rFonts w:ascii="Times New Roman" w:eastAsia="Cambria" w:hAnsi="Times New Roman" w:cs="Times New Roman"/>
        </w:rPr>
        <w:t xml:space="preserve">. </w:t>
      </w:r>
    </w:p>
    <w:p w14:paraId="0FB2EF9A" w14:textId="36FB373C" w:rsidR="00F90322" w:rsidRDefault="00F90322" w:rsidP="003B354F">
      <w:pPr>
        <w:pStyle w:val="normal0"/>
        <w:spacing w:after="160" w:line="360" w:lineRule="auto"/>
        <w:ind w:firstLine="720"/>
        <w:jc w:val="both"/>
        <w:rPr>
          <w:rFonts w:ascii="Times New Roman" w:eastAsia="Cambria" w:hAnsi="Times New Roman" w:cs="Times New Roman"/>
        </w:rPr>
      </w:pPr>
      <w:r>
        <w:rPr>
          <w:rFonts w:ascii="Times New Roman" w:eastAsia="Cambria" w:hAnsi="Times New Roman" w:cs="Times New Roman"/>
        </w:rPr>
        <w:t>Despite their best efforts to garner attention and support for these ecological</w:t>
      </w:r>
      <w:r w:rsidR="002C1660">
        <w:rPr>
          <w:rFonts w:ascii="Times New Roman" w:eastAsia="Cambria" w:hAnsi="Times New Roman" w:cs="Times New Roman"/>
        </w:rPr>
        <w:t xml:space="preserve"> security concerns, these narratives</w:t>
      </w:r>
      <w:r>
        <w:rPr>
          <w:rFonts w:ascii="Times New Roman" w:eastAsia="Cambria" w:hAnsi="Times New Roman" w:cs="Times New Roman"/>
        </w:rPr>
        <w:t xml:space="preserve"> have been ignored or systematically silenced by the Romanian governmen</w:t>
      </w:r>
      <w:r w:rsidR="00AE5CB4">
        <w:rPr>
          <w:rFonts w:ascii="Times New Roman" w:eastAsia="Cambria" w:hAnsi="Times New Roman" w:cs="Times New Roman"/>
        </w:rPr>
        <w:t>t. This is because such securitizing narratives</w:t>
      </w:r>
      <w:r>
        <w:rPr>
          <w:rFonts w:ascii="Times New Roman" w:eastAsia="Cambria" w:hAnsi="Times New Roman" w:cs="Times New Roman"/>
        </w:rPr>
        <w:t xml:space="preserve"> have pointed to the suspected complicity of the state in contributing to illegal caviar trade – either through irresponsibility at the very least, or corruption at </w:t>
      </w:r>
      <w:r w:rsidR="00AE5CB4">
        <w:rPr>
          <w:rFonts w:ascii="Times New Roman" w:eastAsia="Cambria" w:hAnsi="Times New Roman" w:cs="Times New Roman"/>
        </w:rPr>
        <w:t>the worst. Danut stressed that “</w:t>
      </w:r>
      <w:r>
        <w:rPr>
          <w:rFonts w:ascii="Times New Roman" w:eastAsia="Cambria" w:hAnsi="Times New Roman" w:cs="Times New Roman"/>
        </w:rPr>
        <w:t>all the Romanian institutions are part of it, they are responsible for the poaching and for the blocking [of conservation schemes]</w:t>
      </w:r>
      <w:r w:rsidR="00AE5CB4">
        <w:rPr>
          <w:rFonts w:ascii="Times New Roman" w:eastAsia="Cambria" w:hAnsi="Times New Roman" w:cs="Times New Roman"/>
        </w:rPr>
        <w:t>”</w:t>
      </w:r>
      <w:r w:rsidRPr="005B292F">
        <w:rPr>
          <w:rStyle w:val="FootnoteReference"/>
        </w:rPr>
        <w:footnoteReference w:id="248"/>
      </w:r>
      <w:r>
        <w:rPr>
          <w:rFonts w:ascii="Times New Roman" w:eastAsia="Cambria" w:hAnsi="Times New Roman" w:cs="Times New Roman"/>
        </w:rPr>
        <w:t xml:space="preserve">. Indeed interviewees framed the </w:t>
      </w:r>
      <w:r w:rsidR="002C1660">
        <w:rPr>
          <w:rFonts w:ascii="Times New Roman" w:eastAsia="Cambria" w:hAnsi="Times New Roman" w:cs="Times New Roman"/>
        </w:rPr>
        <w:t xml:space="preserve">highest echelons of </w:t>
      </w:r>
      <w:r>
        <w:rPr>
          <w:rFonts w:ascii="Times New Roman" w:eastAsia="Cambria" w:hAnsi="Times New Roman" w:cs="Times New Roman"/>
        </w:rPr>
        <w:t>Romanian government as contributing to the ecological insecurity of sturgeon due to corrupt economic interests and the potential t</w:t>
      </w:r>
      <w:r w:rsidR="00AE5CB4">
        <w:rPr>
          <w:rFonts w:ascii="Times New Roman" w:eastAsia="Cambria" w:hAnsi="Times New Roman" w:cs="Times New Roman"/>
        </w:rPr>
        <w:t>o profit from sturgeon crimes: “</w:t>
      </w:r>
      <w:r>
        <w:rPr>
          <w:rFonts w:ascii="Times New Roman" w:eastAsia="Cambria" w:hAnsi="Times New Roman" w:cs="Times New Roman"/>
        </w:rPr>
        <w:t>instead of thinking to the conservation value, they prefer to think to the economic value</w:t>
      </w:r>
      <w:r w:rsidR="00AE5CB4">
        <w:rPr>
          <w:rFonts w:ascii="Times New Roman" w:eastAsia="Cambria" w:hAnsi="Times New Roman" w:cs="Times New Roman"/>
        </w:rPr>
        <w:t>”</w:t>
      </w:r>
      <w:r w:rsidRPr="005B292F">
        <w:rPr>
          <w:rStyle w:val="FootnoteReference"/>
        </w:rPr>
        <w:footnoteReference w:id="249"/>
      </w:r>
      <w:r w:rsidR="00AE5CB4">
        <w:rPr>
          <w:rFonts w:ascii="Times New Roman" w:eastAsia="Cambria" w:hAnsi="Times New Roman" w:cs="Times New Roman"/>
        </w:rPr>
        <w:t>. These securitizing narratives</w:t>
      </w:r>
      <w:r>
        <w:rPr>
          <w:rFonts w:ascii="Times New Roman" w:eastAsia="Cambria" w:hAnsi="Times New Roman" w:cs="Times New Roman"/>
        </w:rPr>
        <w:t xml:space="preserve"> therefore complicate the hegemonic securi</w:t>
      </w:r>
      <w:r w:rsidR="002C1660">
        <w:rPr>
          <w:rFonts w:ascii="Times New Roman" w:eastAsia="Cambria" w:hAnsi="Times New Roman" w:cs="Times New Roman"/>
        </w:rPr>
        <w:t>ty narratives that frame organis</w:t>
      </w:r>
      <w:r>
        <w:rPr>
          <w:rFonts w:ascii="Times New Roman" w:eastAsia="Cambria" w:hAnsi="Times New Roman" w:cs="Times New Roman"/>
        </w:rPr>
        <w:t xml:space="preserve">ed crime as an external </w:t>
      </w:r>
      <w:r w:rsidR="002C1660">
        <w:rPr>
          <w:rFonts w:ascii="Times New Roman" w:eastAsia="Cambria" w:hAnsi="Times New Roman" w:cs="Times New Roman"/>
        </w:rPr>
        <w:t xml:space="preserve">security </w:t>
      </w:r>
      <w:r>
        <w:rPr>
          <w:rFonts w:ascii="Times New Roman" w:eastAsia="Cambria" w:hAnsi="Times New Roman" w:cs="Times New Roman"/>
        </w:rPr>
        <w:t>threat emanating from countries such as Ukraine and Russia</w:t>
      </w:r>
      <w:r w:rsidR="008E60C4">
        <w:rPr>
          <w:rFonts w:ascii="Times New Roman" w:eastAsia="Cambria" w:hAnsi="Times New Roman" w:cs="Times New Roman"/>
        </w:rPr>
        <w:t xml:space="preserve"> (thus necessitating </w:t>
      </w:r>
      <w:r w:rsidR="00D6720D">
        <w:rPr>
          <w:rFonts w:ascii="Times New Roman" w:eastAsia="Cambria" w:hAnsi="Times New Roman" w:cs="Times New Roman"/>
        </w:rPr>
        <w:t xml:space="preserve">surveillance interventions at the Ukrainian-Romanian border, and the Black Sea); </w:t>
      </w:r>
      <w:r>
        <w:rPr>
          <w:rFonts w:ascii="Times New Roman" w:eastAsia="Cambria" w:hAnsi="Times New Roman" w:cs="Times New Roman"/>
        </w:rPr>
        <w:t>and instead position the Romanian state as constituting part of the security threat posed to sturgeon</w:t>
      </w:r>
      <w:r w:rsidR="002C1660">
        <w:rPr>
          <w:rFonts w:ascii="Times New Roman" w:eastAsia="Cambria" w:hAnsi="Times New Roman" w:cs="Times New Roman"/>
        </w:rPr>
        <w:t>, EU</w:t>
      </w:r>
      <w:r>
        <w:rPr>
          <w:rFonts w:ascii="Times New Roman" w:eastAsia="Cambria" w:hAnsi="Times New Roman" w:cs="Times New Roman"/>
        </w:rPr>
        <w:t xml:space="preserve"> ecosystems</w:t>
      </w:r>
      <w:r w:rsidR="002C1660">
        <w:rPr>
          <w:rFonts w:ascii="Times New Roman" w:eastAsia="Cambria" w:hAnsi="Times New Roman" w:cs="Times New Roman"/>
        </w:rPr>
        <w:t xml:space="preserve"> and citizens</w:t>
      </w:r>
      <w:r>
        <w:rPr>
          <w:rFonts w:ascii="Times New Roman" w:eastAsia="Cambria" w:hAnsi="Times New Roman" w:cs="Times New Roman"/>
        </w:rPr>
        <w:t xml:space="preserve">. </w:t>
      </w:r>
    </w:p>
    <w:p w14:paraId="5E9E9254" w14:textId="00B8781B" w:rsidR="00F90322" w:rsidRDefault="002C1660" w:rsidP="003B354F">
      <w:pPr>
        <w:pStyle w:val="normal0"/>
        <w:spacing w:after="160" w:line="360" w:lineRule="auto"/>
        <w:ind w:firstLine="720"/>
        <w:jc w:val="both"/>
        <w:rPr>
          <w:rFonts w:ascii="Times New Roman" w:eastAsia="Cambria" w:hAnsi="Times New Roman" w:cs="Times New Roman"/>
        </w:rPr>
      </w:pPr>
      <w:r>
        <w:rPr>
          <w:rFonts w:ascii="Times New Roman" w:eastAsia="Cambria" w:hAnsi="Times New Roman" w:cs="Times New Roman"/>
        </w:rPr>
        <w:t xml:space="preserve">In examining how security is invoked to stabilise geopolitical discourses about the environment, O’Lear (2018) argues that “a view of the world that explains why something or someone poses a significant threat to our well-being can also be motivating” (172). Whilst these ecological security narratives attempt to generate their own securitized responses to sturgeon crimes, the security narrative has also motivated counter-securitizing moves from more powerful actors. For example, </w:t>
      </w:r>
      <w:r w:rsidR="00F90322">
        <w:rPr>
          <w:rFonts w:ascii="Times New Roman" w:eastAsia="Cambria" w:hAnsi="Times New Roman" w:cs="Times New Roman"/>
        </w:rPr>
        <w:t>the Romanian government have responded in ways that silen</w:t>
      </w:r>
      <w:r w:rsidR="00AE5CB4">
        <w:rPr>
          <w:rFonts w:ascii="Times New Roman" w:eastAsia="Cambria" w:hAnsi="Times New Roman" w:cs="Times New Roman"/>
        </w:rPr>
        <w:t xml:space="preserve">ce these </w:t>
      </w:r>
      <w:r w:rsidR="008E60C4">
        <w:rPr>
          <w:rFonts w:ascii="Times New Roman" w:eastAsia="Cambria" w:hAnsi="Times New Roman" w:cs="Times New Roman"/>
        </w:rPr>
        <w:t>ecological security</w:t>
      </w:r>
      <w:r w:rsidR="00AE5CB4">
        <w:rPr>
          <w:rFonts w:ascii="Times New Roman" w:eastAsia="Cambria" w:hAnsi="Times New Roman" w:cs="Times New Roman"/>
        </w:rPr>
        <w:t xml:space="preserve"> narratives. Juliani explained that </w:t>
      </w:r>
      <w:r w:rsidR="00343F58">
        <w:rPr>
          <w:rFonts w:ascii="Times New Roman" w:eastAsia="Cambria" w:hAnsi="Times New Roman" w:cs="Times New Roman"/>
        </w:rPr>
        <w:t xml:space="preserve">vocal </w:t>
      </w:r>
      <w:r w:rsidR="00F90322">
        <w:rPr>
          <w:rFonts w:ascii="Times New Roman" w:eastAsia="Cambria" w:hAnsi="Times New Roman" w:cs="Times New Roman"/>
        </w:rPr>
        <w:t>researchers</w:t>
      </w:r>
      <w:r w:rsidR="00AE5CB4">
        <w:rPr>
          <w:rFonts w:ascii="Times New Roman" w:eastAsia="Cambria" w:hAnsi="Times New Roman" w:cs="Times New Roman"/>
        </w:rPr>
        <w:t xml:space="preserve"> and NGO representatives</w:t>
      </w:r>
      <w:r w:rsidR="00F90322">
        <w:rPr>
          <w:rFonts w:ascii="Times New Roman" w:eastAsia="Cambria" w:hAnsi="Times New Roman" w:cs="Times New Roman"/>
        </w:rPr>
        <w:t xml:space="preserve"> </w:t>
      </w:r>
      <w:r w:rsidR="00343F58">
        <w:rPr>
          <w:rFonts w:ascii="Times New Roman" w:eastAsia="Cambria" w:hAnsi="Times New Roman" w:cs="Times New Roman"/>
        </w:rPr>
        <w:t xml:space="preserve">who have investigated </w:t>
      </w:r>
      <w:r w:rsidR="00F90322">
        <w:rPr>
          <w:rFonts w:ascii="Times New Roman" w:eastAsia="Cambria" w:hAnsi="Times New Roman" w:cs="Times New Roman"/>
        </w:rPr>
        <w:t xml:space="preserve">the links between the Romanian state </w:t>
      </w:r>
      <w:r w:rsidR="00AE5CB4">
        <w:rPr>
          <w:rFonts w:ascii="Times New Roman" w:eastAsia="Cambria" w:hAnsi="Times New Roman" w:cs="Times New Roman"/>
        </w:rPr>
        <w:t>and</w:t>
      </w:r>
      <w:r w:rsidR="00343F58">
        <w:rPr>
          <w:rFonts w:ascii="Times New Roman" w:eastAsia="Cambria" w:hAnsi="Times New Roman" w:cs="Times New Roman"/>
        </w:rPr>
        <w:t xml:space="preserve"> sturgeon crimes</w:t>
      </w:r>
      <w:r w:rsidR="00AE5CB4">
        <w:rPr>
          <w:rFonts w:ascii="Times New Roman" w:eastAsia="Cambria" w:hAnsi="Times New Roman" w:cs="Times New Roman"/>
        </w:rPr>
        <w:t>, “</w:t>
      </w:r>
      <w:r w:rsidR="00F90322">
        <w:rPr>
          <w:rFonts w:ascii="Times New Roman" w:eastAsia="Cambria" w:hAnsi="Times New Roman" w:cs="Times New Roman"/>
        </w:rPr>
        <w:t>have experienced political pressures before, but never like recent ones</w:t>
      </w:r>
      <w:r w:rsidR="008E60C4">
        <w:rPr>
          <w:rFonts w:ascii="Times New Roman" w:eastAsia="Cambria" w:hAnsi="Times New Roman" w:cs="Times New Roman"/>
        </w:rPr>
        <w:t>”</w:t>
      </w:r>
      <w:r w:rsidR="00F90322" w:rsidRPr="005B292F">
        <w:rPr>
          <w:rStyle w:val="FootnoteReference"/>
        </w:rPr>
        <w:footnoteReference w:id="250"/>
      </w:r>
      <w:r w:rsidR="00F90322">
        <w:rPr>
          <w:rFonts w:ascii="Times New Roman" w:eastAsia="Cambria" w:hAnsi="Times New Roman" w:cs="Times New Roman"/>
        </w:rPr>
        <w:t xml:space="preserve">. I discovered that </w:t>
      </w:r>
      <w:r w:rsidR="00AE5CB4">
        <w:rPr>
          <w:rFonts w:ascii="Times New Roman" w:eastAsia="Cambria" w:hAnsi="Times New Roman" w:cs="Times New Roman"/>
        </w:rPr>
        <w:t xml:space="preserve">critical </w:t>
      </w:r>
      <w:r w:rsidR="00F90322">
        <w:rPr>
          <w:rFonts w:ascii="Times New Roman" w:eastAsia="Cambria" w:hAnsi="Times New Roman" w:cs="Times New Roman"/>
        </w:rPr>
        <w:t xml:space="preserve">researchers had found their contracts </w:t>
      </w:r>
      <w:r w:rsidR="00F90322">
        <w:rPr>
          <w:rFonts w:ascii="Times New Roman" w:eastAsia="Cambria" w:hAnsi="Times New Roman" w:cs="Times New Roman"/>
        </w:rPr>
        <w:lastRenderedPageBreak/>
        <w:t>terminated with two hours notice</w:t>
      </w:r>
      <w:r w:rsidR="00343F58">
        <w:rPr>
          <w:rFonts w:ascii="Times New Roman" w:eastAsia="Cambria" w:hAnsi="Times New Roman" w:cs="Times New Roman"/>
        </w:rPr>
        <w:t>,</w:t>
      </w:r>
      <w:r w:rsidR="00F90322">
        <w:rPr>
          <w:rFonts w:ascii="Times New Roman" w:eastAsia="Cambria" w:hAnsi="Times New Roman" w:cs="Times New Roman"/>
        </w:rPr>
        <w:t xml:space="preserve"> after employers were placed under direct threat </w:t>
      </w:r>
      <w:r w:rsidR="00343F58">
        <w:rPr>
          <w:rFonts w:ascii="Times New Roman" w:eastAsia="Cambria" w:hAnsi="Times New Roman" w:cs="Times New Roman"/>
        </w:rPr>
        <w:t xml:space="preserve">from government officials </w:t>
      </w:r>
      <w:r w:rsidR="00F90322">
        <w:rPr>
          <w:rFonts w:ascii="Times New Roman" w:eastAsia="Cambria" w:hAnsi="Times New Roman" w:cs="Times New Roman"/>
        </w:rPr>
        <w:t>to remove the individuals from their position. A caviar producer who had worked directly with the government for over ten years explained that his contract was abruptly brought to an end after he had planned to whistleblow</w:t>
      </w:r>
      <w:r w:rsidR="00343F58">
        <w:rPr>
          <w:rFonts w:ascii="Times New Roman" w:eastAsia="Cambria" w:hAnsi="Times New Roman" w:cs="Times New Roman"/>
        </w:rPr>
        <w:t xml:space="preserve"> and publicly disclose</w:t>
      </w:r>
      <w:r w:rsidR="00AE5CB4">
        <w:rPr>
          <w:rFonts w:ascii="Times New Roman" w:eastAsia="Cambria" w:hAnsi="Times New Roman" w:cs="Times New Roman"/>
        </w:rPr>
        <w:t xml:space="preserve"> evidence of the corrupt issuance of scientific sturgeon fishing permits</w:t>
      </w:r>
      <w:r w:rsidR="00D6720D">
        <w:rPr>
          <w:rFonts w:ascii="Times New Roman" w:eastAsia="Cambria" w:hAnsi="Times New Roman" w:cs="Times New Roman"/>
        </w:rPr>
        <w:t xml:space="preserve"> in Romania</w:t>
      </w:r>
      <w:r w:rsidR="00AE5CB4">
        <w:rPr>
          <w:rFonts w:ascii="Times New Roman" w:eastAsia="Cambria" w:hAnsi="Times New Roman" w:cs="Times New Roman"/>
        </w:rPr>
        <w:t>.</w:t>
      </w:r>
      <w:r w:rsidR="00F90322">
        <w:rPr>
          <w:rFonts w:ascii="Times New Roman" w:eastAsia="Cambria" w:hAnsi="Times New Roman" w:cs="Times New Roman"/>
        </w:rPr>
        <w:t>Visibly shaken, Danut explained that after the termination of his contract</w:t>
      </w:r>
      <w:r w:rsidR="00D6720D">
        <w:rPr>
          <w:rFonts w:ascii="Times New Roman" w:eastAsia="Cambria" w:hAnsi="Times New Roman" w:cs="Times New Roman"/>
        </w:rPr>
        <w:t xml:space="preserve"> with the government </w:t>
      </w:r>
      <w:r w:rsidR="00F90322">
        <w:rPr>
          <w:rFonts w:ascii="Times New Roman" w:eastAsia="Cambria" w:hAnsi="Times New Roman" w:cs="Times New Roman"/>
        </w:rPr>
        <w:t>his business had come under further t</w:t>
      </w:r>
      <w:r w:rsidR="00D6720D">
        <w:rPr>
          <w:rFonts w:ascii="Times New Roman" w:eastAsia="Cambria" w:hAnsi="Times New Roman" w:cs="Times New Roman"/>
        </w:rPr>
        <w:t xml:space="preserve">hreat, </w:t>
      </w:r>
      <w:r w:rsidR="00AE5CB4">
        <w:rPr>
          <w:rFonts w:ascii="Times New Roman" w:eastAsia="Cambria" w:hAnsi="Times New Roman" w:cs="Times New Roman"/>
        </w:rPr>
        <w:t>which had forced him to “</w:t>
      </w:r>
      <w:r w:rsidR="00F90322">
        <w:rPr>
          <w:rFonts w:ascii="Times New Roman" w:eastAsia="Cambria" w:hAnsi="Times New Roman" w:cs="Times New Roman"/>
        </w:rPr>
        <w:t>transfer the fishes, because they [the govern</w:t>
      </w:r>
      <w:r w:rsidR="00AE5CB4">
        <w:rPr>
          <w:rFonts w:ascii="Times New Roman" w:eastAsia="Cambria" w:hAnsi="Times New Roman" w:cs="Times New Roman"/>
        </w:rPr>
        <w:t>ment] tried to take everything”, and he felt completely “</w:t>
      </w:r>
      <w:r w:rsidR="00F90322">
        <w:rPr>
          <w:rFonts w:ascii="Times New Roman" w:eastAsia="Cambria" w:hAnsi="Times New Roman" w:cs="Times New Roman"/>
        </w:rPr>
        <w:t>pushed apart</w:t>
      </w:r>
      <w:r w:rsidR="00AE5CB4">
        <w:rPr>
          <w:rFonts w:ascii="Times New Roman" w:eastAsia="Cambria" w:hAnsi="Times New Roman" w:cs="Times New Roman"/>
        </w:rPr>
        <w:t>”</w:t>
      </w:r>
      <w:r w:rsidR="00F90322" w:rsidRPr="005B292F">
        <w:rPr>
          <w:rStyle w:val="FootnoteReference"/>
        </w:rPr>
        <w:footnoteReference w:id="251"/>
      </w:r>
      <w:r w:rsidR="00F90322">
        <w:rPr>
          <w:rFonts w:ascii="Times New Roman" w:eastAsia="Cambria" w:hAnsi="Times New Roman" w:cs="Times New Roman"/>
        </w:rPr>
        <w:t xml:space="preserve">. Moreover, interviewees also expressed their fears and suspicions that they were under </w:t>
      </w:r>
      <w:r w:rsidR="00343F58">
        <w:rPr>
          <w:rFonts w:ascii="Times New Roman" w:eastAsia="Cambria" w:hAnsi="Times New Roman" w:cs="Times New Roman"/>
        </w:rPr>
        <w:t xml:space="preserve">government </w:t>
      </w:r>
      <w:r w:rsidR="00F90322">
        <w:rPr>
          <w:rFonts w:ascii="Times New Roman" w:eastAsia="Cambria" w:hAnsi="Times New Roman" w:cs="Times New Roman"/>
        </w:rPr>
        <w:t>surveillance, after excerpts from private phonecalls and emails were used to blackmail them.</w:t>
      </w:r>
    </w:p>
    <w:p w14:paraId="769F3181" w14:textId="24016969" w:rsidR="00F37E40" w:rsidRDefault="00F90322" w:rsidP="003B354F">
      <w:pPr>
        <w:pStyle w:val="normal0"/>
        <w:spacing w:after="160" w:line="360" w:lineRule="auto"/>
        <w:ind w:firstLine="720"/>
        <w:jc w:val="both"/>
        <w:rPr>
          <w:rFonts w:ascii="Times New Roman" w:eastAsia="Cambria" w:hAnsi="Times New Roman" w:cs="Times New Roman"/>
        </w:rPr>
      </w:pPr>
      <w:r>
        <w:rPr>
          <w:rFonts w:ascii="Times New Roman" w:eastAsia="Cambria" w:hAnsi="Times New Roman" w:cs="Times New Roman"/>
        </w:rPr>
        <w:t>Thus, the Romanian government have reportedly taken actions to sil</w:t>
      </w:r>
      <w:r w:rsidR="00F37E40">
        <w:rPr>
          <w:rFonts w:ascii="Times New Roman" w:eastAsia="Cambria" w:hAnsi="Times New Roman" w:cs="Times New Roman"/>
        </w:rPr>
        <w:t xml:space="preserve">ence the </w:t>
      </w:r>
      <w:r w:rsidR="00D6720D">
        <w:rPr>
          <w:rFonts w:ascii="Times New Roman" w:eastAsia="Cambria" w:hAnsi="Times New Roman" w:cs="Times New Roman"/>
        </w:rPr>
        <w:t xml:space="preserve">alternative </w:t>
      </w:r>
      <w:r w:rsidR="00F37E40">
        <w:rPr>
          <w:rFonts w:ascii="Times New Roman" w:eastAsia="Cambria" w:hAnsi="Times New Roman" w:cs="Times New Roman"/>
        </w:rPr>
        <w:t>securitizing narratives</w:t>
      </w:r>
      <w:r>
        <w:rPr>
          <w:rFonts w:ascii="Times New Roman" w:eastAsia="Cambria" w:hAnsi="Times New Roman" w:cs="Times New Roman"/>
        </w:rPr>
        <w:t xml:space="preserve"> that position the Romanian </w:t>
      </w:r>
      <w:r w:rsidR="00343F58">
        <w:rPr>
          <w:rFonts w:ascii="Times New Roman" w:eastAsia="Cambria" w:hAnsi="Times New Roman" w:cs="Times New Roman"/>
        </w:rPr>
        <w:t>state</w:t>
      </w:r>
      <w:r w:rsidR="00F37E40">
        <w:rPr>
          <w:rFonts w:ascii="Times New Roman" w:eastAsia="Cambria" w:hAnsi="Times New Roman" w:cs="Times New Roman"/>
        </w:rPr>
        <w:t xml:space="preserve"> as part of the organis</w:t>
      </w:r>
      <w:r>
        <w:rPr>
          <w:rFonts w:ascii="Times New Roman" w:eastAsia="Cambria" w:hAnsi="Times New Roman" w:cs="Times New Roman"/>
        </w:rPr>
        <w:t>ed crime structures</w:t>
      </w:r>
      <w:r w:rsidR="00D6720D">
        <w:rPr>
          <w:rFonts w:ascii="Times New Roman" w:eastAsia="Cambria" w:hAnsi="Times New Roman" w:cs="Times New Roman"/>
        </w:rPr>
        <w:t xml:space="preserve"> and EU pol</w:t>
      </w:r>
      <w:r w:rsidR="00343F58">
        <w:rPr>
          <w:rFonts w:ascii="Times New Roman" w:eastAsia="Cambria" w:hAnsi="Times New Roman" w:cs="Times New Roman"/>
        </w:rPr>
        <w:t xml:space="preserve">itical-economic infrastructure that </w:t>
      </w:r>
      <w:r w:rsidR="00D6720D">
        <w:rPr>
          <w:rFonts w:ascii="Times New Roman" w:eastAsia="Cambria" w:hAnsi="Times New Roman" w:cs="Times New Roman"/>
        </w:rPr>
        <w:t xml:space="preserve">serves to compound ecological insecurity for sturgeon and EU habitats, </w:t>
      </w:r>
      <w:r w:rsidR="00F37E40">
        <w:rPr>
          <w:rFonts w:ascii="Times New Roman" w:eastAsia="Cambria" w:hAnsi="Times New Roman" w:cs="Times New Roman"/>
        </w:rPr>
        <w:t xml:space="preserve">as well as posing security issues for EU citizens. </w:t>
      </w:r>
      <w:r>
        <w:rPr>
          <w:rFonts w:ascii="Times New Roman" w:eastAsia="Cambria" w:hAnsi="Times New Roman" w:cs="Times New Roman"/>
        </w:rPr>
        <w:t xml:space="preserve">The individuals espousing these ecological security </w:t>
      </w:r>
      <w:r w:rsidR="00F37E40">
        <w:rPr>
          <w:rFonts w:ascii="Times New Roman" w:eastAsia="Cambria" w:hAnsi="Times New Roman" w:cs="Times New Roman"/>
        </w:rPr>
        <w:t>narratives</w:t>
      </w:r>
      <w:r>
        <w:rPr>
          <w:rFonts w:ascii="Times New Roman" w:eastAsia="Cambria" w:hAnsi="Times New Roman" w:cs="Times New Roman"/>
        </w:rPr>
        <w:t xml:space="preserve"> are </w:t>
      </w:r>
      <w:r w:rsidR="00D6720D">
        <w:rPr>
          <w:rFonts w:ascii="Times New Roman" w:eastAsia="Cambria" w:hAnsi="Times New Roman" w:cs="Times New Roman"/>
        </w:rPr>
        <w:t xml:space="preserve">effectively </w:t>
      </w:r>
      <w:r>
        <w:rPr>
          <w:rFonts w:ascii="Times New Roman" w:eastAsia="Cambria" w:hAnsi="Times New Roman" w:cs="Times New Roman"/>
        </w:rPr>
        <w:t>codified as ‘security threats’ to the state, and the government has responded by reportedly employing extreme and sometimes invasive tactics. As a result, individuals advocating for sturgeon security are made more insecure. J</w:t>
      </w:r>
      <w:r w:rsidR="00F37E40">
        <w:rPr>
          <w:rFonts w:ascii="Times New Roman" w:eastAsia="Cambria" w:hAnsi="Times New Roman" w:cs="Times New Roman"/>
        </w:rPr>
        <w:t>uliani explained that she feels:</w:t>
      </w:r>
    </w:p>
    <w:p w14:paraId="543B1853" w14:textId="084B2A0D" w:rsidR="00F37E40" w:rsidRPr="003B354F" w:rsidRDefault="00F37E40" w:rsidP="003B354F">
      <w:pPr>
        <w:pStyle w:val="Quote"/>
        <w:spacing w:after="300"/>
      </w:pPr>
      <w:r>
        <w:t>P</w:t>
      </w:r>
      <w:r w:rsidR="00F90322">
        <w:t>owerless. If I want to do something I am too small. Even if I want to involve the academy this is not possible because they [Romanian government] manage to reach also the highest levels of the academy. Now I have my hands tied here in Romania</w:t>
      </w:r>
      <w:r w:rsidRPr="005B292F">
        <w:rPr>
          <w:rStyle w:val="FootnoteReference"/>
        </w:rPr>
        <w:footnoteReference w:id="252"/>
      </w:r>
      <w:r w:rsidR="00F90322">
        <w:t xml:space="preserve">. </w:t>
      </w:r>
    </w:p>
    <w:p w14:paraId="676744E1" w14:textId="08436D98" w:rsidR="00987A5F" w:rsidRDefault="00F90322" w:rsidP="003B354F">
      <w:pPr>
        <w:pStyle w:val="normal0"/>
        <w:spacing w:after="160" w:line="360" w:lineRule="auto"/>
        <w:ind w:firstLine="720"/>
        <w:jc w:val="both"/>
        <w:rPr>
          <w:rFonts w:ascii="Times New Roman" w:eastAsia="Cambria" w:hAnsi="Times New Roman" w:cs="Times New Roman"/>
        </w:rPr>
      </w:pPr>
      <w:r>
        <w:rPr>
          <w:rFonts w:ascii="Times New Roman" w:eastAsia="Cambria" w:hAnsi="Times New Roman" w:cs="Times New Roman"/>
        </w:rPr>
        <w:t xml:space="preserve">This discussion therefore points to a further aspect of the power geometries encapsulating the contested securitization of illegal caviar trade in the EU. Emerging </w:t>
      </w:r>
      <w:r w:rsidR="00F37E40">
        <w:rPr>
          <w:rFonts w:ascii="Times New Roman" w:eastAsia="Cambria" w:hAnsi="Times New Roman" w:cs="Times New Roman"/>
        </w:rPr>
        <w:t>‘ecological security’ narratives</w:t>
      </w:r>
      <w:r>
        <w:rPr>
          <w:rFonts w:ascii="Times New Roman" w:eastAsia="Cambria" w:hAnsi="Times New Roman" w:cs="Times New Roman"/>
        </w:rPr>
        <w:t xml:space="preserve"> in Romania are silenced by government actors that are implicated as constituting part of the </w:t>
      </w:r>
      <w:r w:rsidR="00F37E40">
        <w:rPr>
          <w:rFonts w:ascii="Times New Roman" w:eastAsia="Cambria" w:hAnsi="Times New Roman" w:cs="Times New Roman"/>
        </w:rPr>
        <w:t xml:space="preserve">security threat to sturgeon, </w:t>
      </w:r>
      <w:r>
        <w:rPr>
          <w:rFonts w:ascii="Times New Roman" w:eastAsia="Cambria" w:hAnsi="Times New Roman" w:cs="Times New Roman"/>
        </w:rPr>
        <w:t>EU habitats</w:t>
      </w:r>
      <w:r w:rsidR="00F37E40">
        <w:rPr>
          <w:rFonts w:ascii="Times New Roman" w:eastAsia="Cambria" w:hAnsi="Times New Roman" w:cs="Times New Roman"/>
        </w:rPr>
        <w:t>, and EU citizens</w:t>
      </w:r>
      <w:r>
        <w:rPr>
          <w:rFonts w:ascii="Times New Roman" w:eastAsia="Cambria" w:hAnsi="Times New Roman" w:cs="Times New Roman"/>
        </w:rPr>
        <w:t xml:space="preserve">. </w:t>
      </w:r>
      <w:r w:rsidR="00CD7E54">
        <w:rPr>
          <w:rFonts w:ascii="Times New Roman" w:eastAsia="Cambria" w:hAnsi="Times New Roman" w:cs="Times New Roman"/>
        </w:rPr>
        <w:t xml:space="preserve">Instead, attention remains squarely with the abstract security threat posed by organised crime, which is discursively linked to sources outside the EU. </w:t>
      </w:r>
      <w:r w:rsidR="00E55027">
        <w:rPr>
          <w:rFonts w:ascii="Times New Roman" w:eastAsia="Cambria" w:hAnsi="Times New Roman" w:cs="Times New Roman"/>
        </w:rPr>
        <w:t>These actions serve to</w:t>
      </w:r>
      <w:r>
        <w:rPr>
          <w:rFonts w:ascii="Times New Roman" w:eastAsia="Cambria" w:hAnsi="Times New Roman" w:cs="Times New Roman"/>
        </w:rPr>
        <w:t xml:space="preserve"> </w:t>
      </w:r>
      <w:r w:rsidR="00CD7E54">
        <w:rPr>
          <w:rFonts w:ascii="Times New Roman" w:eastAsia="Cambria" w:hAnsi="Times New Roman" w:cs="Times New Roman"/>
        </w:rPr>
        <w:t xml:space="preserve">shield </w:t>
      </w:r>
      <w:r>
        <w:rPr>
          <w:rFonts w:ascii="Times New Roman" w:eastAsia="Cambria" w:hAnsi="Times New Roman" w:cs="Times New Roman"/>
        </w:rPr>
        <w:t>the state from reputational damage,</w:t>
      </w:r>
      <w:r w:rsidR="00E55027">
        <w:rPr>
          <w:rFonts w:ascii="Times New Roman" w:eastAsia="Cambria" w:hAnsi="Times New Roman" w:cs="Times New Roman"/>
        </w:rPr>
        <w:t xml:space="preserve"> and</w:t>
      </w:r>
      <w:r>
        <w:rPr>
          <w:rFonts w:ascii="Times New Roman" w:eastAsia="Cambria" w:hAnsi="Times New Roman" w:cs="Times New Roman"/>
        </w:rPr>
        <w:t xml:space="preserve"> ultim</w:t>
      </w:r>
      <w:r w:rsidR="00F37E40">
        <w:rPr>
          <w:rFonts w:ascii="Times New Roman" w:eastAsia="Cambria" w:hAnsi="Times New Roman" w:cs="Times New Roman"/>
        </w:rPr>
        <w:t>ately make other actors more powerless and insecure</w:t>
      </w:r>
      <w:r w:rsidR="00E55027">
        <w:rPr>
          <w:rFonts w:ascii="Times New Roman" w:eastAsia="Cambria" w:hAnsi="Times New Roman" w:cs="Times New Roman"/>
        </w:rPr>
        <w:t>.</w:t>
      </w:r>
      <w:r w:rsidR="00CD7E54">
        <w:rPr>
          <w:rFonts w:ascii="Times New Roman" w:eastAsia="Cambria" w:hAnsi="Times New Roman" w:cs="Times New Roman"/>
        </w:rPr>
        <w:t xml:space="preserve"> </w:t>
      </w:r>
      <w:r w:rsidR="00E55027">
        <w:rPr>
          <w:rFonts w:ascii="Times New Roman" w:eastAsia="Cambria" w:hAnsi="Times New Roman" w:cs="Times New Roman"/>
        </w:rPr>
        <w:t>This points</w:t>
      </w:r>
      <w:r w:rsidR="00CD7E54">
        <w:rPr>
          <w:rFonts w:ascii="Times New Roman" w:eastAsia="Cambria" w:hAnsi="Times New Roman" w:cs="Times New Roman"/>
        </w:rPr>
        <w:t xml:space="preserve"> to</w:t>
      </w:r>
      <w:r w:rsidR="00E55027">
        <w:rPr>
          <w:rFonts w:ascii="Times New Roman" w:eastAsia="Cambria" w:hAnsi="Times New Roman" w:cs="Times New Roman"/>
        </w:rPr>
        <w:t xml:space="preserve"> the importance of</w:t>
      </w:r>
      <w:r w:rsidR="00CD7E54">
        <w:rPr>
          <w:rFonts w:ascii="Times New Roman" w:eastAsia="Cambria" w:hAnsi="Times New Roman" w:cs="Times New Roman"/>
        </w:rPr>
        <w:t xml:space="preserve"> O’Lear’s (2018) call to examine “where will the well-being of people, species, or ecosystems be rendered less robust and worse off” by </w:t>
      </w:r>
      <w:r w:rsidR="00E55027">
        <w:rPr>
          <w:rFonts w:ascii="Times New Roman" w:eastAsia="Cambria" w:hAnsi="Times New Roman" w:cs="Times New Roman"/>
        </w:rPr>
        <w:t xml:space="preserve">securitized narratives and interventions. In this case, </w:t>
      </w:r>
      <w:r>
        <w:rPr>
          <w:rFonts w:ascii="Times New Roman" w:eastAsia="Cambria" w:hAnsi="Times New Roman" w:cs="Times New Roman"/>
        </w:rPr>
        <w:t>the silencing of</w:t>
      </w:r>
      <w:r w:rsidR="00E55027">
        <w:rPr>
          <w:rFonts w:ascii="Times New Roman" w:eastAsia="Cambria" w:hAnsi="Times New Roman" w:cs="Times New Roman"/>
        </w:rPr>
        <w:t xml:space="preserve"> more-than-human</w:t>
      </w:r>
      <w:r>
        <w:rPr>
          <w:rFonts w:ascii="Times New Roman" w:eastAsia="Cambria" w:hAnsi="Times New Roman" w:cs="Times New Roman"/>
        </w:rPr>
        <w:t xml:space="preserve"> security discourses that centre sturgeon and ecosystems, highl</w:t>
      </w:r>
      <w:r w:rsidR="00F37E40">
        <w:rPr>
          <w:rFonts w:ascii="Times New Roman" w:eastAsia="Cambria" w:hAnsi="Times New Roman" w:cs="Times New Roman"/>
        </w:rPr>
        <w:t>ights Juliani’s assertion that “</w:t>
      </w:r>
      <w:r>
        <w:rPr>
          <w:rFonts w:ascii="Times New Roman" w:eastAsia="Cambria" w:hAnsi="Times New Roman" w:cs="Times New Roman"/>
        </w:rPr>
        <w:t>human behaviours and interests outcompetes everything, unfortunately</w:t>
      </w:r>
      <w:r w:rsidR="00F37E40">
        <w:rPr>
          <w:rFonts w:ascii="Times New Roman" w:eastAsia="Cambria" w:hAnsi="Times New Roman" w:cs="Times New Roman"/>
        </w:rPr>
        <w:t>”</w:t>
      </w:r>
      <w:r w:rsidR="00F37E40" w:rsidRPr="005B292F">
        <w:rPr>
          <w:rStyle w:val="FootnoteReference"/>
        </w:rPr>
        <w:footnoteReference w:id="253"/>
      </w:r>
      <w:r w:rsidR="00E55027">
        <w:rPr>
          <w:rFonts w:ascii="Times New Roman" w:eastAsia="Cambria" w:hAnsi="Times New Roman" w:cs="Times New Roman"/>
        </w:rPr>
        <w:t>. As such,</w:t>
      </w:r>
      <w:r>
        <w:rPr>
          <w:rFonts w:ascii="Times New Roman" w:eastAsia="Cambria" w:hAnsi="Times New Roman" w:cs="Times New Roman"/>
        </w:rPr>
        <w:t xml:space="preserve"> sturgeon are ultimately rendered voiceless and invisible in the EU security landscape that fixates on threats to national and</w:t>
      </w:r>
      <w:r w:rsidR="00343F58">
        <w:rPr>
          <w:rFonts w:ascii="Times New Roman" w:eastAsia="Cambria" w:hAnsi="Times New Roman" w:cs="Times New Roman"/>
        </w:rPr>
        <w:t xml:space="preserve"> regional security from a human-</w:t>
      </w:r>
      <w:r>
        <w:rPr>
          <w:rFonts w:ascii="Times New Roman" w:eastAsia="Cambria" w:hAnsi="Times New Roman" w:cs="Times New Roman"/>
        </w:rPr>
        <w:t xml:space="preserve">centric perspective. </w:t>
      </w:r>
    </w:p>
    <w:p w14:paraId="0796F906" w14:textId="32CE0A9A" w:rsidR="00F90322" w:rsidRPr="00FE14D7" w:rsidRDefault="00F37E40" w:rsidP="00FE14D7">
      <w:pPr>
        <w:pStyle w:val="Heading2"/>
      </w:pPr>
      <w:bookmarkStart w:id="93" w:name="_Toc453224250"/>
      <w:r>
        <w:lastRenderedPageBreak/>
        <w:t xml:space="preserve">7.4 </w:t>
      </w:r>
      <w:r w:rsidR="00F90322" w:rsidRPr="00FE14D7">
        <w:t>Conclusion</w:t>
      </w:r>
      <w:bookmarkEnd w:id="93"/>
    </w:p>
    <w:p w14:paraId="41886627" w14:textId="77777777" w:rsidR="00343F58" w:rsidRDefault="00F90322" w:rsidP="003B354F">
      <w:pPr>
        <w:pStyle w:val="normal0"/>
        <w:spacing w:after="160" w:line="360" w:lineRule="auto"/>
        <w:jc w:val="both"/>
        <w:rPr>
          <w:rFonts w:ascii="Times New Roman" w:eastAsia="Cambria" w:hAnsi="Times New Roman" w:cs="Times New Roman"/>
        </w:rPr>
      </w:pPr>
      <w:r>
        <w:rPr>
          <w:rFonts w:ascii="Times New Roman" w:eastAsia="Cambria" w:hAnsi="Times New Roman" w:cs="Times New Roman"/>
        </w:rPr>
        <w:t xml:space="preserve">This chapter outlines the contested geopolitics surrounding the securitization of illegal caviar trade in the European Union. In this chapter I argue that despite efforts to discursively dissolve illegal caviar trade as a security issue at the EU level, there are a number of evolving and emerging security </w:t>
      </w:r>
      <w:r w:rsidR="0079798F">
        <w:rPr>
          <w:rFonts w:ascii="Times New Roman" w:eastAsia="Cambria" w:hAnsi="Times New Roman" w:cs="Times New Roman"/>
        </w:rPr>
        <w:t xml:space="preserve">narratives </w:t>
      </w:r>
      <w:r>
        <w:rPr>
          <w:rFonts w:ascii="Times New Roman" w:eastAsia="Cambria" w:hAnsi="Times New Roman" w:cs="Times New Roman"/>
        </w:rPr>
        <w:t>and responses that illustrate that illegal caviar trade remains an ongoing security issue in the EU. I show how the gaps and grey areas in caviar trade regulations - that enable illicit caviar trade - have also produced shifting security configurations in the EU, which are overlooked by</w:t>
      </w:r>
      <w:r w:rsidR="0079798F">
        <w:rPr>
          <w:rFonts w:ascii="Times New Roman" w:eastAsia="Cambria" w:hAnsi="Times New Roman" w:cs="Times New Roman"/>
        </w:rPr>
        <w:t xml:space="preserve"> the dominant narratives</w:t>
      </w:r>
      <w:r>
        <w:rPr>
          <w:rFonts w:ascii="Times New Roman" w:eastAsia="Cambria" w:hAnsi="Times New Roman" w:cs="Times New Roman"/>
        </w:rPr>
        <w:t xml:space="preserve"> that suggest illegal caviar trade is a declining security issue. </w:t>
      </w:r>
    </w:p>
    <w:p w14:paraId="79F69587" w14:textId="28C3C388" w:rsidR="002C0B58" w:rsidRDefault="00C147E0" w:rsidP="003B354F">
      <w:pPr>
        <w:pStyle w:val="normal0"/>
        <w:spacing w:after="160" w:line="360" w:lineRule="auto"/>
        <w:ind w:firstLine="720"/>
        <w:jc w:val="both"/>
        <w:rPr>
          <w:rFonts w:ascii="Times New Roman" w:eastAsia="Cambria" w:hAnsi="Times New Roman" w:cs="Times New Roman"/>
        </w:rPr>
      </w:pPr>
      <w:r>
        <w:rPr>
          <w:rFonts w:ascii="Times New Roman" w:eastAsia="Cambria" w:hAnsi="Times New Roman" w:cs="Times New Roman"/>
        </w:rPr>
        <w:t xml:space="preserve">Ultimately this chapter develops a more-than-human analysis of the geopolitical ecologies of securitization in the EU. </w:t>
      </w:r>
      <w:r w:rsidR="002C0B58">
        <w:rPr>
          <w:rFonts w:ascii="Times New Roman" w:eastAsia="Cambria" w:hAnsi="Times New Roman" w:cs="Times New Roman"/>
        </w:rPr>
        <w:t>In line with O’Lear’s (2018) understanding of security as a ‘discourse stabiliser’, I demonstrate how security is variably invoked to “call for action” or to even justify “inaction” (O’Lear, 2018: 173) in relation to illegal caviar trade in the EU. I show how the relative success of securitizing narratives</w:t>
      </w:r>
      <w:r w:rsidR="002066D0">
        <w:rPr>
          <w:rFonts w:ascii="Times New Roman" w:eastAsia="Cambria" w:hAnsi="Times New Roman" w:cs="Times New Roman"/>
        </w:rPr>
        <w:t xml:space="preserve"> and responses, </w:t>
      </w:r>
      <w:r w:rsidR="00F90322">
        <w:rPr>
          <w:rFonts w:ascii="Times New Roman" w:eastAsia="Cambria" w:hAnsi="Times New Roman" w:cs="Times New Roman"/>
        </w:rPr>
        <w:t>is determined by the power geometries opera</w:t>
      </w:r>
      <w:r w:rsidR="002C0B58">
        <w:rPr>
          <w:rFonts w:ascii="Times New Roman" w:eastAsia="Cambria" w:hAnsi="Times New Roman" w:cs="Times New Roman"/>
        </w:rPr>
        <w:t xml:space="preserve">ting within the European Union. </w:t>
      </w:r>
      <w:r w:rsidR="00F90322">
        <w:rPr>
          <w:rFonts w:ascii="Times New Roman" w:eastAsia="Cambria" w:hAnsi="Times New Roman" w:cs="Times New Roman"/>
        </w:rPr>
        <w:t xml:space="preserve">These power dynamics serve to prioritise the </w:t>
      </w:r>
      <w:r w:rsidR="002C0B58">
        <w:rPr>
          <w:rFonts w:ascii="Times New Roman" w:eastAsia="Cambria" w:hAnsi="Times New Roman" w:cs="Times New Roman"/>
        </w:rPr>
        <w:t>agendas of</w:t>
      </w:r>
      <w:r w:rsidR="00F90322">
        <w:rPr>
          <w:rFonts w:ascii="Times New Roman" w:eastAsia="Cambria" w:hAnsi="Times New Roman" w:cs="Times New Roman"/>
        </w:rPr>
        <w:t xml:space="preserve"> powerful</w:t>
      </w:r>
      <w:r w:rsidR="002C0B58">
        <w:rPr>
          <w:rFonts w:ascii="Times New Roman" w:eastAsia="Cambria" w:hAnsi="Times New Roman" w:cs="Times New Roman"/>
        </w:rPr>
        <w:t xml:space="preserve"> institutions</w:t>
      </w:r>
      <w:r w:rsidR="00F90322">
        <w:rPr>
          <w:rFonts w:ascii="Times New Roman" w:eastAsia="Cambria" w:hAnsi="Times New Roman" w:cs="Times New Roman"/>
        </w:rPr>
        <w:t>, whilst sidelining the security of sturgeon</w:t>
      </w:r>
      <w:r w:rsidR="002C0B58">
        <w:rPr>
          <w:rFonts w:ascii="Times New Roman" w:eastAsia="Cambria" w:hAnsi="Times New Roman" w:cs="Times New Roman"/>
        </w:rPr>
        <w:t>, fragile ecosystems,</w:t>
      </w:r>
      <w:r w:rsidR="00F90322">
        <w:rPr>
          <w:rFonts w:ascii="Times New Roman" w:eastAsia="Cambria" w:hAnsi="Times New Roman" w:cs="Times New Roman"/>
        </w:rPr>
        <w:t xml:space="preserve"> and already insecure groups such as sturgeon fishing communities. </w:t>
      </w:r>
      <w:r w:rsidR="002C0B58">
        <w:rPr>
          <w:rFonts w:ascii="Times New Roman" w:eastAsia="Cambria" w:hAnsi="Times New Roman" w:cs="Times New Roman"/>
        </w:rPr>
        <w:t xml:space="preserve">This </w:t>
      </w:r>
      <w:r w:rsidR="002066D0">
        <w:rPr>
          <w:rFonts w:ascii="Times New Roman" w:eastAsia="Cambria" w:hAnsi="Times New Roman" w:cs="Times New Roman"/>
        </w:rPr>
        <w:t xml:space="preserve">chapter therefore </w:t>
      </w:r>
      <w:r w:rsidR="002C0B58">
        <w:rPr>
          <w:rFonts w:ascii="Times New Roman" w:eastAsia="Cambria" w:hAnsi="Times New Roman" w:cs="Times New Roman"/>
        </w:rPr>
        <w:t>speaks to the theoretical framework of more-</w:t>
      </w:r>
      <w:r w:rsidR="002066D0">
        <w:rPr>
          <w:rFonts w:ascii="Times New Roman" w:eastAsia="Cambria" w:hAnsi="Times New Roman" w:cs="Times New Roman"/>
        </w:rPr>
        <w:t>than-human geopolitical ecology</w:t>
      </w:r>
      <w:r w:rsidR="002C0B58">
        <w:rPr>
          <w:rFonts w:ascii="Times New Roman" w:eastAsia="Cambria" w:hAnsi="Times New Roman" w:cs="Times New Roman"/>
        </w:rPr>
        <w:t xml:space="preserve"> by interrogating how </w:t>
      </w:r>
      <w:r w:rsidR="002066D0">
        <w:rPr>
          <w:rFonts w:ascii="Times New Roman" w:eastAsia="Cambria" w:hAnsi="Times New Roman" w:cs="Times New Roman"/>
        </w:rPr>
        <w:t>‘security’ stabilises particular geopolitical discourses and interventions, and in the process creates unequal conditions of security and insecurity for a range of human and nonhuman actors.</w:t>
      </w:r>
    </w:p>
    <w:p w14:paraId="2422CC1D" w14:textId="35204AF5" w:rsidR="00F90322" w:rsidRDefault="00F90322" w:rsidP="003B354F">
      <w:pPr>
        <w:pStyle w:val="normal0"/>
        <w:spacing w:after="160" w:line="360" w:lineRule="auto"/>
        <w:jc w:val="both"/>
        <w:rPr>
          <w:rFonts w:ascii="Times New Roman" w:hAnsi="Times New Roman" w:cs="Times New Roman"/>
          <w:noProof/>
        </w:rPr>
      </w:pPr>
      <w:r>
        <w:rPr>
          <w:rFonts w:ascii="Times New Roman" w:eastAsia="Cambria" w:hAnsi="Times New Roman" w:cs="Times New Roman"/>
        </w:rPr>
        <w:tab/>
        <w:t>The chapter shows how security issues ‘emerge, evolve, and dissolve’ (</w:t>
      </w:r>
      <w:r w:rsidR="001C2D87">
        <w:rPr>
          <w:rFonts w:ascii="Times New Roman" w:hAnsi="Times New Roman" w:cs="Times New Roman"/>
          <w:noProof/>
        </w:rPr>
        <w:t>Balzacq, 2011</w:t>
      </w:r>
      <w:r>
        <w:rPr>
          <w:rFonts w:ascii="Times New Roman" w:hAnsi="Times New Roman" w:cs="Times New Roman"/>
          <w:noProof/>
        </w:rPr>
        <w:t xml:space="preserve">); and focuses on interrogating the power dynamics underlying these securitizing processes and responses. Firstly I show how the security implications of illegal caviar trade are being discursively dissolved at an EU policy level. This I argue fits the EU political agenda that seeks to respond to the </w:t>
      </w:r>
      <w:r w:rsidR="00343F58">
        <w:rPr>
          <w:rFonts w:ascii="Times New Roman" w:hAnsi="Times New Roman" w:cs="Times New Roman"/>
          <w:noProof/>
        </w:rPr>
        <w:t xml:space="preserve">spectacularised </w:t>
      </w:r>
      <w:r>
        <w:rPr>
          <w:rFonts w:ascii="Times New Roman" w:hAnsi="Times New Roman" w:cs="Times New Roman"/>
          <w:noProof/>
        </w:rPr>
        <w:t>links between wildlife trafficking and security; and thereby positions illegal caviar trade as a conservation issue in sturgeon range states rather than an EU-wide criminal-security problem. By redirecting attention towards the stu</w:t>
      </w:r>
      <w:r w:rsidR="002C29B8">
        <w:rPr>
          <w:rFonts w:ascii="Times New Roman" w:hAnsi="Times New Roman" w:cs="Times New Roman"/>
          <w:noProof/>
        </w:rPr>
        <w:t>rgeon range states, this</w:t>
      </w:r>
      <w:r>
        <w:rPr>
          <w:rFonts w:ascii="Times New Roman" w:hAnsi="Times New Roman" w:cs="Times New Roman"/>
          <w:noProof/>
        </w:rPr>
        <w:t xml:space="preserve"> effecti</w:t>
      </w:r>
      <w:r w:rsidR="002066D0">
        <w:rPr>
          <w:rFonts w:ascii="Times New Roman" w:hAnsi="Times New Roman" w:cs="Times New Roman"/>
          <w:noProof/>
        </w:rPr>
        <w:t>vely absolves Western European Member S</w:t>
      </w:r>
      <w:r>
        <w:rPr>
          <w:rFonts w:ascii="Times New Roman" w:hAnsi="Times New Roman" w:cs="Times New Roman"/>
          <w:noProof/>
        </w:rPr>
        <w:t>tates of their role in fuelling demand for illeg</w:t>
      </w:r>
      <w:r w:rsidR="002066D0">
        <w:rPr>
          <w:rFonts w:ascii="Times New Roman" w:hAnsi="Times New Roman" w:cs="Times New Roman"/>
          <w:noProof/>
        </w:rPr>
        <w:t>al caviar and catalysing organis</w:t>
      </w:r>
      <w:r>
        <w:rPr>
          <w:rFonts w:ascii="Times New Roman" w:hAnsi="Times New Roman" w:cs="Times New Roman"/>
          <w:noProof/>
        </w:rPr>
        <w:t xml:space="preserve">ed crime. </w:t>
      </w:r>
    </w:p>
    <w:p w14:paraId="65FD3891" w14:textId="05CC48F3" w:rsidR="00F90322" w:rsidRDefault="00F90322" w:rsidP="003B354F">
      <w:pPr>
        <w:pStyle w:val="normal0"/>
        <w:spacing w:after="160" w:line="360" w:lineRule="auto"/>
        <w:jc w:val="both"/>
        <w:rPr>
          <w:rFonts w:ascii="Times New Roman" w:hAnsi="Times New Roman" w:cs="Times New Roman"/>
          <w:noProof/>
        </w:rPr>
      </w:pPr>
      <w:r>
        <w:rPr>
          <w:rFonts w:ascii="Times New Roman" w:hAnsi="Times New Roman" w:cs="Times New Roman"/>
          <w:noProof/>
        </w:rPr>
        <w:tab/>
        <w:t>However, I demonstrate that the politics of the security landscape in the EU is contested, and that other securities are evolving and emerging in relation to illegal caviar trade. Ultimately though, these</w:t>
      </w:r>
      <w:r w:rsidR="002066D0">
        <w:rPr>
          <w:rFonts w:ascii="Times New Roman" w:hAnsi="Times New Roman" w:cs="Times New Roman"/>
          <w:noProof/>
        </w:rPr>
        <w:t xml:space="preserve"> alternative security narratives</w:t>
      </w:r>
      <w:r>
        <w:rPr>
          <w:rFonts w:ascii="Times New Roman" w:hAnsi="Times New Roman" w:cs="Times New Roman"/>
          <w:noProof/>
        </w:rPr>
        <w:t xml:space="preserve"> do not possess enough power to challenge the hegemony of EU security discourses, and may even reinforce them. The issue of illegal caviar trade in sturgeon range states is framed as a security issue that threatens national and regional securi</w:t>
      </w:r>
      <w:r w:rsidR="002066D0">
        <w:rPr>
          <w:rFonts w:ascii="Times New Roman" w:hAnsi="Times New Roman" w:cs="Times New Roman"/>
          <w:noProof/>
        </w:rPr>
        <w:t>ty due to its links with organis</w:t>
      </w:r>
      <w:r w:rsidR="002C29B8">
        <w:rPr>
          <w:rFonts w:ascii="Times New Roman" w:hAnsi="Times New Roman" w:cs="Times New Roman"/>
          <w:noProof/>
        </w:rPr>
        <w:t xml:space="preserve">ed crime. </w:t>
      </w:r>
      <w:r>
        <w:rPr>
          <w:rFonts w:ascii="Times New Roman" w:hAnsi="Times New Roman" w:cs="Times New Roman"/>
          <w:noProof/>
        </w:rPr>
        <w:t xml:space="preserve">This framing has produced a number of security oriented responses pursued by NGOs, which contribute to evolving conservation surveillance strategies in the region. I argue that </w:t>
      </w:r>
      <w:r>
        <w:rPr>
          <w:rFonts w:ascii="Times New Roman" w:hAnsi="Times New Roman" w:cs="Times New Roman"/>
          <w:noProof/>
        </w:rPr>
        <w:lastRenderedPageBreak/>
        <w:t>these surveillance methods ironically have the potential to enforce insecurity for some groups; whilst reinforcing the EU narratives that illegal caviar trade is a conservation issue to be solved by range states</w:t>
      </w:r>
      <w:r w:rsidR="002066D0">
        <w:rPr>
          <w:rFonts w:ascii="Times New Roman" w:hAnsi="Times New Roman" w:cs="Times New Roman"/>
          <w:noProof/>
        </w:rPr>
        <w:t>, rather than an EU-wide criminal issue</w:t>
      </w:r>
      <w:r>
        <w:rPr>
          <w:rFonts w:ascii="Times New Roman" w:hAnsi="Times New Roman" w:cs="Times New Roman"/>
          <w:noProof/>
        </w:rPr>
        <w:t xml:space="preserve">. This is because the securitized responses focus solely on poaching and do not engage with the wider political economies of illegal caviar trade in the EU. </w:t>
      </w:r>
    </w:p>
    <w:p w14:paraId="3E70102E" w14:textId="5D20CBAE" w:rsidR="00F90322" w:rsidRDefault="00F90322" w:rsidP="003B354F">
      <w:pPr>
        <w:pStyle w:val="normal0"/>
        <w:spacing w:after="160" w:line="360" w:lineRule="auto"/>
        <w:jc w:val="both"/>
        <w:rPr>
          <w:rFonts w:ascii="Times New Roman" w:hAnsi="Times New Roman" w:cs="Times New Roman"/>
          <w:noProof/>
        </w:rPr>
      </w:pPr>
      <w:r>
        <w:rPr>
          <w:rFonts w:ascii="Times New Roman" w:hAnsi="Times New Roman" w:cs="Times New Roman"/>
          <w:noProof/>
        </w:rPr>
        <w:tab/>
        <w:t xml:space="preserve">Finally I draw attention to </w:t>
      </w:r>
      <w:r w:rsidR="002066D0">
        <w:rPr>
          <w:rFonts w:ascii="Times New Roman" w:hAnsi="Times New Roman" w:cs="Times New Roman"/>
          <w:noProof/>
        </w:rPr>
        <w:t>the silenced security narratives</w:t>
      </w:r>
      <w:r>
        <w:rPr>
          <w:rFonts w:ascii="Times New Roman" w:hAnsi="Times New Roman" w:cs="Times New Roman"/>
          <w:noProof/>
        </w:rPr>
        <w:t xml:space="preserve"> that attempt to highlight how illegal caviar trade poses an ecological security threat to sturgeon and EU</w:t>
      </w:r>
      <w:r w:rsidR="002066D0">
        <w:rPr>
          <w:rFonts w:ascii="Times New Roman" w:hAnsi="Times New Roman" w:cs="Times New Roman"/>
          <w:noProof/>
        </w:rPr>
        <w:t xml:space="preserve"> ecosystems. This securitizing narrative</w:t>
      </w:r>
      <w:r>
        <w:rPr>
          <w:rFonts w:ascii="Times New Roman" w:hAnsi="Times New Roman" w:cs="Times New Roman"/>
          <w:noProof/>
        </w:rPr>
        <w:t xml:space="preserve"> suggests that the security threat posed by illegal caviar trade is in part produced by internal EU dynamics such as demand for wild caviar, and corrupt governance structures in range states such as Romania. These </w:t>
      </w:r>
      <w:r w:rsidR="002066D0">
        <w:rPr>
          <w:rFonts w:ascii="Times New Roman" w:hAnsi="Times New Roman" w:cs="Times New Roman"/>
          <w:noProof/>
        </w:rPr>
        <w:t xml:space="preserve">contrasting security narratives </w:t>
      </w:r>
      <w:r>
        <w:rPr>
          <w:rFonts w:ascii="Times New Roman" w:hAnsi="Times New Roman" w:cs="Times New Roman"/>
          <w:noProof/>
        </w:rPr>
        <w:t>elicit securitized responses from the Ro</w:t>
      </w:r>
      <w:r w:rsidR="002C29B8">
        <w:rPr>
          <w:rFonts w:ascii="Times New Roman" w:hAnsi="Times New Roman" w:cs="Times New Roman"/>
          <w:noProof/>
        </w:rPr>
        <w:t>manian government</w:t>
      </w:r>
      <w:r>
        <w:rPr>
          <w:rFonts w:ascii="Times New Roman" w:hAnsi="Times New Roman" w:cs="Times New Roman"/>
          <w:noProof/>
        </w:rPr>
        <w:t xml:space="preserve">, which serve to silence the individuals and effectively codify them as a ‘security threat’ to the Romanian state. As a result, the security implications of illegal caviar trade upon sturgeon are marginalized in the security landscape of the EU. </w:t>
      </w:r>
    </w:p>
    <w:p w14:paraId="7682AAD2" w14:textId="0B5AE53D" w:rsidR="00FE14D7" w:rsidRPr="00520291" w:rsidRDefault="00F90322" w:rsidP="003B354F">
      <w:pPr>
        <w:pStyle w:val="normal0"/>
        <w:spacing w:after="160" w:line="360" w:lineRule="auto"/>
        <w:jc w:val="both"/>
        <w:rPr>
          <w:rFonts w:ascii="Times New Roman" w:hAnsi="Times New Roman" w:cs="Times New Roman"/>
          <w:noProof/>
        </w:rPr>
      </w:pPr>
      <w:r>
        <w:rPr>
          <w:rFonts w:ascii="Times New Roman" w:hAnsi="Times New Roman" w:cs="Times New Roman"/>
          <w:noProof/>
        </w:rPr>
        <w:tab/>
        <w:t xml:space="preserve">In sum, this chapter highlights how gaps and grey areas in caviar trade regulations have catalysed shifting securitizing discourses and responses to illegal caviar trade in the EU. </w:t>
      </w:r>
      <w:r w:rsidR="00520291">
        <w:rPr>
          <w:rFonts w:ascii="Times New Roman" w:hAnsi="Times New Roman" w:cs="Times New Roman"/>
          <w:noProof/>
        </w:rPr>
        <w:t xml:space="preserve">Geopolitical discourses about the environment deploy security to identify “particular places, groups of people, or spatial processes likely to threaten </w:t>
      </w:r>
      <w:r w:rsidR="00520291" w:rsidRPr="002066D0">
        <w:rPr>
          <w:rFonts w:ascii="Times New Roman" w:hAnsi="Times New Roman" w:cs="Times New Roman"/>
          <w:i/>
          <w:noProof/>
        </w:rPr>
        <w:t xml:space="preserve">our </w:t>
      </w:r>
      <w:r w:rsidR="00520291">
        <w:rPr>
          <w:rFonts w:ascii="Times New Roman" w:hAnsi="Times New Roman" w:cs="Times New Roman"/>
          <w:noProof/>
        </w:rPr>
        <w:t xml:space="preserve">wellbeing” (O’Lear, 2018: 172 emphasis added); thereby pointing to the </w:t>
      </w:r>
      <w:r>
        <w:rPr>
          <w:rFonts w:ascii="Times New Roman" w:hAnsi="Times New Roman" w:cs="Times New Roman"/>
          <w:noProof/>
        </w:rPr>
        <w:t>human-centrism and power relat</w:t>
      </w:r>
      <w:r w:rsidR="002066D0">
        <w:rPr>
          <w:rFonts w:ascii="Times New Roman" w:hAnsi="Times New Roman" w:cs="Times New Roman"/>
          <w:noProof/>
        </w:rPr>
        <w:t xml:space="preserve">ions shaping security thinking. </w:t>
      </w:r>
      <w:r w:rsidR="00520291">
        <w:rPr>
          <w:rFonts w:ascii="Times New Roman" w:hAnsi="Times New Roman" w:cs="Times New Roman"/>
          <w:noProof/>
        </w:rPr>
        <w:t xml:space="preserve">This is exemplified in  the security narratives and responses to illegal caviar trade in the EU, which starkly demonstrate the notion </w:t>
      </w:r>
      <w:r w:rsidR="002066D0">
        <w:rPr>
          <w:rFonts w:ascii="Times New Roman" w:hAnsi="Times New Roman" w:cs="Times New Roman"/>
          <w:noProof/>
        </w:rPr>
        <w:t>that “</w:t>
      </w:r>
      <w:r>
        <w:rPr>
          <w:rFonts w:ascii="Times New Roman" w:hAnsi="Times New Roman" w:cs="Times New Roman"/>
          <w:noProof/>
        </w:rPr>
        <w:t xml:space="preserve">if it threatens us, </w:t>
      </w:r>
      <w:r w:rsidRPr="00233138">
        <w:rPr>
          <w:rFonts w:ascii="Times New Roman" w:hAnsi="Times New Roman" w:cs="Times New Roman"/>
          <w:i/>
          <w:noProof/>
        </w:rPr>
        <w:t>we</w:t>
      </w:r>
      <w:r>
        <w:rPr>
          <w:rFonts w:ascii="Times New Roman" w:hAnsi="Times New Roman" w:cs="Times New Roman"/>
          <w:noProof/>
        </w:rPr>
        <w:t xml:space="preserve"> are thinking action</w:t>
      </w:r>
      <w:r w:rsidR="002066D0">
        <w:rPr>
          <w:rFonts w:ascii="Times New Roman" w:hAnsi="Times New Roman" w:cs="Times New Roman"/>
          <w:noProof/>
        </w:rPr>
        <w:t>”</w:t>
      </w:r>
      <w:r w:rsidRPr="005B292F">
        <w:rPr>
          <w:rStyle w:val="FootnoteReference"/>
        </w:rPr>
        <w:footnoteReference w:id="254"/>
      </w:r>
      <w:r>
        <w:rPr>
          <w:rFonts w:ascii="Times New Roman" w:hAnsi="Times New Roman" w:cs="Times New Roman"/>
          <w:noProof/>
        </w:rPr>
        <w:t>. Importantly, the demarcation of ‘us’ can produce insecurity for those beings – human and nonhuman – that do not fall into the category deemed necessary to p</w:t>
      </w:r>
      <w:r w:rsidR="002C29B8">
        <w:rPr>
          <w:rFonts w:ascii="Times New Roman" w:hAnsi="Times New Roman" w:cs="Times New Roman"/>
          <w:noProof/>
        </w:rPr>
        <w:t>rotect from the security threat</w:t>
      </w:r>
      <w:r>
        <w:rPr>
          <w:rFonts w:ascii="Times New Roman" w:hAnsi="Times New Roman" w:cs="Times New Roman"/>
          <w:noProof/>
        </w:rPr>
        <w:t xml:space="preserve"> by the powerful securitizing actor. Whilst sturgeon are sidelined in these security discourses, the following chapter examines how they are forcefully brought into the remit of geopolitics, as both geopolitical subjects and actors. </w:t>
      </w:r>
      <w:r w:rsidR="00FE14D7">
        <w:rPr>
          <w:rFonts w:cs="Times New Roman"/>
          <w:noProof/>
        </w:rPr>
        <w:br w:type="page"/>
      </w:r>
    </w:p>
    <w:p w14:paraId="28F3C2D0" w14:textId="27C0E64D" w:rsidR="00FE14D7" w:rsidRPr="00FD54C8" w:rsidRDefault="00106DB8" w:rsidP="00FE14D7">
      <w:pPr>
        <w:pStyle w:val="Heading1"/>
      </w:pPr>
      <w:bookmarkStart w:id="94" w:name="_Toc453224251"/>
      <w:r>
        <w:lastRenderedPageBreak/>
        <w:t xml:space="preserve">Chapter 8: </w:t>
      </w:r>
      <w:r w:rsidR="00FE14D7" w:rsidRPr="00FD54C8">
        <w:t>Sturgeon Geopolitics</w:t>
      </w:r>
      <w:bookmarkEnd w:id="94"/>
    </w:p>
    <w:p w14:paraId="2A857C08" w14:textId="44C47628" w:rsidR="00FE14D7" w:rsidRDefault="00FE14D7" w:rsidP="00FE14D7">
      <w:pPr>
        <w:pStyle w:val="Heading2"/>
      </w:pPr>
      <w:bookmarkStart w:id="95" w:name="_Toc453224252"/>
      <w:r>
        <w:t xml:space="preserve">8.0 </w:t>
      </w:r>
      <w:r w:rsidRPr="00A245AA">
        <w:t>Introduction</w:t>
      </w:r>
      <w:bookmarkEnd w:id="95"/>
    </w:p>
    <w:p w14:paraId="5DF409E8" w14:textId="116A68A7" w:rsidR="00FE14D7" w:rsidRDefault="00FE14D7" w:rsidP="00FE14D7">
      <w:pPr>
        <w:rPr>
          <w:rFonts w:cs="Times New Roman"/>
          <w:color w:val="000000"/>
          <w:sz w:val="22"/>
        </w:rPr>
      </w:pPr>
      <w:r>
        <w:rPr>
          <w:rFonts w:cs="Times New Roman"/>
          <w:color w:val="000000"/>
          <w:sz w:val="22"/>
        </w:rPr>
        <w:t xml:space="preserve">This chapter engages with sturgeon geopolitics. </w:t>
      </w:r>
      <w:r w:rsidR="00C9106B">
        <w:rPr>
          <w:rFonts w:cs="Times New Roman"/>
          <w:color w:val="000000"/>
          <w:sz w:val="22"/>
        </w:rPr>
        <w:t xml:space="preserve">Sturgeon geopolitics refers to how the ecological, physiological, and affective characteristics of sturgeon shape the processes and outcomes of international relations. </w:t>
      </w:r>
      <w:r>
        <w:rPr>
          <w:rFonts w:cs="Times New Roman"/>
          <w:color w:val="000000"/>
          <w:sz w:val="22"/>
        </w:rPr>
        <w:t>I make the case that as an endangered species, sturgeons are intrinsically intertwined with geopolitics: geopolitics is enacted around and through sturgeon. I theorise the entanglement of sturgeon with geopolitics from a more-than-human perspective. My approach conceptualises sturgeon as geopolitical actors: actors that co-produce the geopolitical</w:t>
      </w:r>
      <w:r w:rsidR="00C9106B">
        <w:rPr>
          <w:rFonts w:cs="Times New Roman"/>
          <w:color w:val="000000"/>
          <w:sz w:val="22"/>
        </w:rPr>
        <w:t xml:space="preserve"> interventions and</w:t>
      </w:r>
      <w:r>
        <w:rPr>
          <w:rFonts w:cs="Times New Roman"/>
          <w:color w:val="000000"/>
          <w:sz w:val="22"/>
        </w:rPr>
        <w:t xml:space="preserve"> configurations that play out in the ecologies of sturgeon in the European Union. </w:t>
      </w:r>
    </w:p>
    <w:p w14:paraId="762D02A9" w14:textId="3AFCC35F" w:rsidR="00FE14D7" w:rsidRDefault="00FE14D7" w:rsidP="00FE14D7">
      <w:pPr>
        <w:rPr>
          <w:rFonts w:cs="Times New Roman"/>
          <w:color w:val="000000"/>
          <w:sz w:val="22"/>
        </w:rPr>
      </w:pPr>
      <w:r>
        <w:rPr>
          <w:rFonts w:cs="Times New Roman"/>
          <w:color w:val="000000"/>
          <w:sz w:val="22"/>
        </w:rPr>
        <w:tab/>
        <w:t>I first considered the geopolitical significance of sturgeon at ISS8 in Vienna in September 2017, when a representative of WWF</w:t>
      </w:r>
      <w:r w:rsidR="00C9106B">
        <w:rPr>
          <w:rFonts w:cs="Times New Roman"/>
          <w:color w:val="000000"/>
          <w:sz w:val="22"/>
        </w:rPr>
        <w:t xml:space="preserve"> International called sturgeon “</w:t>
      </w:r>
      <w:r>
        <w:rPr>
          <w:rFonts w:cs="Times New Roman"/>
          <w:color w:val="000000"/>
          <w:sz w:val="22"/>
        </w:rPr>
        <w:t>living encyclopaedias</w:t>
      </w:r>
      <w:r w:rsidR="00C9106B">
        <w:rPr>
          <w:rFonts w:cs="Times New Roman"/>
          <w:color w:val="000000"/>
          <w:sz w:val="22"/>
        </w:rPr>
        <w:t>”</w:t>
      </w:r>
      <w:r w:rsidR="00C9106B" w:rsidRPr="005B292F">
        <w:rPr>
          <w:rStyle w:val="FootnoteReference"/>
        </w:rPr>
        <w:footnoteReference w:id="255"/>
      </w:r>
      <w:r>
        <w:rPr>
          <w:rFonts w:cs="Times New Roman"/>
          <w:color w:val="000000"/>
          <w:sz w:val="22"/>
        </w:rPr>
        <w:t xml:space="preserve">. They </w:t>
      </w:r>
      <w:r w:rsidR="00DD5922">
        <w:rPr>
          <w:rFonts w:cs="Times New Roman"/>
          <w:color w:val="000000"/>
          <w:sz w:val="22"/>
        </w:rPr>
        <w:t>explained</w:t>
      </w:r>
      <w:r>
        <w:rPr>
          <w:rFonts w:cs="Times New Roman"/>
          <w:color w:val="000000"/>
          <w:sz w:val="22"/>
        </w:rPr>
        <w:t xml:space="preserve"> that the bodies of sturgeon record evidence of environmental change that can be scientifically dated to incidences of environmental disturbance, such as periods of nuclear testing. By corporeally linking s</w:t>
      </w:r>
      <w:r w:rsidR="00F96497">
        <w:rPr>
          <w:rFonts w:cs="Times New Roman"/>
          <w:color w:val="000000"/>
          <w:sz w:val="22"/>
        </w:rPr>
        <w:t>turgeon to events of historical geo</w:t>
      </w:r>
      <w:r>
        <w:rPr>
          <w:rFonts w:cs="Times New Roman"/>
          <w:color w:val="000000"/>
          <w:sz w:val="22"/>
        </w:rPr>
        <w:t>political significance such as nuclear testing, this effectively points to the intertwinement of sturgeon with geopolitics. Rather</w:t>
      </w:r>
      <w:r w:rsidR="00C9106B">
        <w:rPr>
          <w:rFonts w:cs="Times New Roman"/>
          <w:color w:val="000000"/>
          <w:sz w:val="22"/>
        </w:rPr>
        <w:t xml:space="preserve"> than referring to sturgeon as “</w:t>
      </w:r>
      <w:r>
        <w:rPr>
          <w:rFonts w:cs="Times New Roman"/>
          <w:color w:val="000000"/>
          <w:sz w:val="22"/>
        </w:rPr>
        <w:t>living fossils</w:t>
      </w:r>
      <w:r w:rsidR="00C9106B">
        <w:rPr>
          <w:rFonts w:cs="Times New Roman"/>
          <w:color w:val="000000"/>
          <w:sz w:val="22"/>
        </w:rPr>
        <w:t>”</w:t>
      </w:r>
      <w:r w:rsidRPr="005B292F">
        <w:rPr>
          <w:rStyle w:val="FootnoteReference"/>
        </w:rPr>
        <w:footnoteReference w:id="256"/>
      </w:r>
      <w:r>
        <w:rPr>
          <w:rFonts w:cs="Times New Roman"/>
          <w:color w:val="000000"/>
          <w:sz w:val="22"/>
        </w:rPr>
        <w:t>, which has been another popular characte</w:t>
      </w:r>
      <w:r w:rsidR="00F96497">
        <w:rPr>
          <w:rFonts w:cs="Times New Roman"/>
          <w:color w:val="000000"/>
          <w:sz w:val="22"/>
        </w:rPr>
        <w:t>risation of the fish; the term “living encyclopaedias”</w:t>
      </w:r>
      <w:r>
        <w:rPr>
          <w:rFonts w:cs="Times New Roman"/>
          <w:color w:val="000000"/>
          <w:sz w:val="22"/>
        </w:rPr>
        <w:t xml:space="preserve"> refigures sturgeon as important barometers for contem</w:t>
      </w:r>
      <w:r w:rsidR="00DD5922">
        <w:rPr>
          <w:rFonts w:cs="Times New Roman"/>
          <w:color w:val="000000"/>
          <w:sz w:val="22"/>
        </w:rPr>
        <w:t>porary environmental conditions.</w:t>
      </w:r>
      <w:r>
        <w:rPr>
          <w:rFonts w:cs="Times New Roman"/>
          <w:color w:val="000000"/>
          <w:sz w:val="22"/>
        </w:rPr>
        <w:t xml:space="preserve"> As well as being able to contribute valuable information to records of environmental politics, sturge</w:t>
      </w:r>
      <w:r w:rsidR="00F96497">
        <w:rPr>
          <w:rFonts w:cs="Times New Roman"/>
          <w:color w:val="000000"/>
          <w:sz w:val="22"/>
        </w:rPr>
        <w:t>on as living encyclopaedia are “</w:t>
      </w:r>
      <w:r>
        <w:rPr>
          <w:rFonts w:cs="Times New Roman"/>
          <w:color w:val="000000"/>
          <w:sz w:val="22"/>
        </w:rPr>
        <w:t>considered one of the best indicators</w:t>
      </w:r>
      <w:r w:rsidR="00F96497">
        <w:rPr>
          <w:rFonts w:cs="Times New Roman"/>
          <w:color w:val="000000"/>
          <w:sz w:val="22"/>
        </w:rPr>
        <w:t xml:space="preserve"> for riverine ecosystem health” </w:t>
      </w:r>
      <w:r>
        <w:rPr>
          <w:rFonts w:cs="Times New Roman"/>
          <w:color w:val="000000"/>
          <w:sz w:val="22"/>
        </w:rPr>
        <w:t xml:space="preserve">(Friedrich, 2018: 507). I therefore argue that sturgeon have the capacity to inform and add nuance to understandings about </w:t>
      </w:r>
      <w:r w:rsidR="00F96497">
        <w:rPr>
          <w:rFonts w:cs="Times New Roman"/>
          <w:color w:val="000000"/>
          <w:sz w:val="22"/>
        </w:rPr>
        <w:t>environmental-</w:t>
      </w:r>
      <w:r>
        <w:rPr>
          <w:rFonts w:cs="Times New Roman"/>
          <w:color w:val="000000"/>
          <w:sz w:val="22"/>
        </w:rPr>
        <w:t xml:space="preserve">geopolitical conditions of the past, as well as being enrolled as actors in contemporary geopolitical </w:t>
      </w:r>
      <w:r w:rsidR="00F96497">
        <w:rPr>
          <w:rFonts w:cs="Times New Roman"/>
          <w:color w:val="000000"/>
          <w:sz w:val="22"/>
        </w:rPr>
        <w:t xml:space="preserve">discussions about environmental change. </w:t>
      </w:r>
    </w:p>
    <w:p w14:paraId="37CC177D" w14:textId="72CA0ED8" w:rsidR="00FE14D7" w:rsidRDefault="00FE14D7" w:rsidP="00FE14D7">
      <w:pPr>
        <w:rPr>
          <w:rFonts w:cs="Times New Roman"/>
          <w:color w:val="000000"/>
          <w:sz w:val="22"/>
        </w:rPr>
      </w:pPr>
      <w:r>
        <w:rPr>
          <w:rFonts w:cs="Times New Roman"/>
          <w:color w:val="000000"/>
          <w:sz w:val="22"/>
        </w:rPr>
        <w:tab/>
        <w:t xml:space="preserve">To develop this argument about sturgeon geopolitics, and to contribute to the main argument of the thesis, I examine the implications of gaps and grey areas in the regulations designed to counter sturgeon crimes in the EU. I demonstrate how </w:t>
      </w:r>
      <w:r w:rsidR="00DD5922">
        <w:rPr>
          <w:rFonts w:cs="Times New Roman"/>
          <w:color w:val="000000"/>
          <w:sz w:val="22"/>
        </w:rPr>
        <w:t>ambiguities</w:t>
      </w:r>
      <w:r>
        <w:rPr>
          <w:rFonts w:cs="Times New Roman"/>
          <w:color w:val="000000"/>
          <w:sz w:val="22"/>
        </w:rPr>
        <w:t xml:space="preserve"> in the regulatory frameworks have been exploited by geopolitical actors as a way of securing access to and control over sturgeon populations. I assert that these attempts to gain more control over and access to sturgeon have both geopolitical motivations and geopolitical consequences. Through two empirical examples fro</w:t>
      </w:r>
      <w:r w:rsidR="00DD5922">
        <w:rPr>
          <w:rFonts w:cs="Times New Roman"/>
          <w:color w:val="000000"/>
          <w:sz w:val="22"/>
        </w:rPr>
        <w:t>m Romania and the Black Sea, I</w:t>
      </w:r>
      <w:r>
        <w:rPr>
          <w:rFonts w:cs="Times New Roman"/>
          <w:color w:val="000000"/>
          <w:sz w:val="22"/>
        </w:rPr>
        <w:t xml:space="preserve"> show how sturgeons are enrolled as unlikely geopolitical subjects in the European Union. </w:t>
      </w:r>
    </w:p>
    <w:p w14:paraId="2BADE742" w14:textId="4CA85799" w:rsidR="00FE14D7" w:rsidRDefault="00FE14D7" w:rsidP="00FE14D7">
      <w:pPr>
        <w:rPr>
          <w:rFonts w:cs="Times New Roman"/>
          <w:color w:val="000000"/>
          <w:sz w:val="22"/>
        </w:rPr>
      </w:pPr>
      <w:r>
        <w:rPr>
          <w:rFonts w:cs="Times New Roman"/>
          <w:color w:val="000000"/>
          <w:sz w:val="22"/>
        </w:rPr>
        <w:tab/>
        <w:t>Moreover, in further building a discussion around sturgeon geopolitics, I eschew the human centrism inherent to much geopolitical scholarship and make the case that sturgeon themselves are geo</w:t>
      </w:r>
      <w:r w:rsidR="00AE186D">
        <w:rPr>
          <w:rFonts w:cs="Times New Roman"/>
          <w:color w:val="000000"/>
          <w:sz w:val="22"/>
        </w:rPr>
        <w:t>political actors. The behaviours</w:t>
      </w:r>
      <w:r>
        <w:rPr>
          <w:rFonts w:cs="Times New Roman"/>
          <w:color w:val="000000"/>
          <w:sz w:val="22"/>
        </w:rPr>
        <w:t xml:space="preserve">, materiality, and ecology of sturgeon play a fundamental role in </w:t>
      </w:r>
      <w:r>
        <w:rPr>
          <w:rFonts w:cs="Times New Roman"/>
          <w:color w:val="000000"/>
          <w:sz w:val="22"/>
        </w:rPr>
        <w:lastRenderedPageBreak/>
        <w:t>shaping geopolitical situations that</w:t>
      </w:r>
      <w:r w:rsidR="00CB48F4">
        <w:rPr>
          <w:rFonts w:cs="Times New Roman"/>
          <w:color w:val="000000"/>
          <w:sz w:val="22"/>
        </w:rPr>
        <w:t xml:space="preserve"> implicate EU institutions and Member S</w:t>
      </w:r>
      <w:r>
        <w:rPr>
          <w:rFonts w:cs="Times New Roman"/>
          <w:color w:val="000000"/>
          <w:sz w:val="22"/>
        </w:rPr>
        <w:t>tates. By their nature as migratory fish and mobile resources, sturgeons sometimes defy straightforward control and management by geopolitical actors, and this can produce interesting geopolitical dynamics that require interrogation. I also demonstrate how sturgeons themselves reveal gaps and grey areas in regulatory frameworks that may have been</w:t>
      </w:r>
      <w:r w:rsidR="00DD5922">
        <w:rPr>
          <w:rFonts w:cs="Times New Roman"/>
          <w:color w:val="000000"/>
          <w:sz w:val="22"/>
        </w:rPr>
        <w:t xml:space="preserve"> hitherto</w:t>
      </w:r>
      <w:r>
        <w:rPr>
          <w:rFonts w:cs="Times New Roman"/>
          <w:color w:val="000000"/>
          <w:sz w:val="22"/>
        </w:rPr>
        <w:t xml:space="preserve"> hidden or overlooked. I argue that this points to the ways in which nonhumans can illuminate where policies designed to protect them are flawed. As such, being attuned to nonhuman agency opens up avenues for producing policies that are more effective and potentially less geopolitically contentious. </w:t>
      </w:r>
    </w:p>
    <w:p w14:paraId="498DA871" w14:textId="77777777" w:rsidR="00FE14D7" w:rsidRDefault="00FE14D7" w:rsidP="00FE14D7">
      <w:pPr>
        <w:rPr>
          <w:rFonts w:cs="Times New Roman"/>
          <w:color w:val="000000"/>
          <w:sz w:val="22"/>
        </w:rPr>
      </w:pPr>
      <w:r>
        <w:rPr>
          <w:rFonts w:cs="Times New Roman"/>
          <w:color w:val="000000"/>
          <w:sz w:val="22"/>
        </w:rPr>
        <w:tab/>
        <w:t xml:space="preserve">In sum, this chapter outlines the implications of the EU caviar trade regulations in terms of sturgeon geopolitics. A sturgeon geopolitics lens conceptualises the multiple ways that sturgeon are geopolitically important: as both a subject of geopolitical interventions, and as a geopolitical actor in their own right. This line of argument creates space for conceptualising environmental geopolitics (O’Lear, 2018) and geopolitical ecology (Bigger &amp; Neimark, 2017) from a more-than-human perspective; as well as adding a new perspective to literatures on ‘living resource management’ (Dodds, 2000), which explore the geopolitics, political economy and political ecology around managing mobile fish resources (Dodds, 2000; Campling, Havice &amp; Mccall Howard, 2012; Havice, 2018). </w:t>
      </w:r>
    </w:p>
    <w:p w14:paraId="5A83CC3E" w14:textId="29D98637" w:rsidR="00FE14D7" w:rsidRDefault="00FE14D7" w:rsidP="00FE14D7">
      <w:pPr>
        <w:rPr>
          <w:rFonts w:cs="Times New Roman"/>
          <w:color w:val="000000"/>
          <w:sz w:val="22"/>
        </w:rPr>
      </w:pPr>
      <w:r>
        <w:rPr>
          <w:rFonts w:cs="Times New Roman"/>
          <w:color w:val="000000"/>
          <w:sz w:val="22"/>
        </w:rPr>
        <w:tab/>
        <w:t>The chapter is structured as follows. In section 8.1 I analyse two empirical examples that illustrate how geopolitical actors make use of gaps and grey areas in caviar trade regulations as a way of accessing sturgeon populations. I show how these actions have both geopolitical motivations and ramifications, and thereby position sturgeon as geopolitical subjects. In section 8.2 I develop the argument that st</w:t>
      </w:r>
      <w:r w:rsidR="00AE186D">
        <w:rPr>
          <w:rFonts w:cs="Times New Roman"/>
          <w:color w:val="000000"/>
          <w:sz w:val="22"/>
        </w:rPr>
        <w:t xml:space="preserve">urgeon are geopolitical actors. I examine how sturgeon illuminate </w:t>
      </w:r>
      <w:r w:rsidR="00DD5922">
        <w:rPr>
          <w:rFonts w:cs="Times New Roman"/>
          <w:color w:val="000000"/>
          <w:sz w:val="22"/>
        </w:rPr>
        <w:t>inconsistencies and frictions</w:t>
      </w:r>
      <w:r w:rsidR="00AE186D">
        <w:rPr>
          <w:rFonts w:cs="Times New Roman"/>
          <w:color w:val="000000"/>
          <w:sz w:val="22"/>
        </w:rPr>
        <w:t xml:space="preserve"> in regulatory frameworks through their movements and inability to be completely controlled by human forces, and thereby co-produce geopolitical outcomes. </w:t>
      </w:r>
      <w:r>
        <w:rPr>
          <w:rFonts w:cs="Times New Roman"/>
          <w:color w:val="000000"/>
          <w:sz w:val="22"/>
        </w:rPr>
        <w:t xml:space="preserve">Finally, in section 8.3 I conclude and consider how policymaking could be more effective if attuned to the agencies of nonhumans. </w:t>
      </w:r>
    </w:p>
    <w:p w14:paraId="0D3F5486" w14:textId="77777777" w:rsidR="00FE14D7" w:rsidRPr="00A245AA" w:rsidRDefault="00FE14D7" w:rsidP="00FE14D7">
      <w:pPr>
        <w:pStyle w:val="Heading2"/>
      </w:pPr>
    </w:p>
    <w:p w14:paraId="519A3EAB" w14:textId="77777777" w:rsidR="00FE14D7" w:rsidRPr="00A245AA" w:rsidRDefault="00FE14D7" w:rsidP="003B354F">
      <w:pPr>
        <w:pStyle w:val="Heading2"/>
      </w:pPr>
      <w:bookmarkStart w:id="96" w:name="_Toc453224253"/>
      <w:r>
        <w:t>8</w:t>
      </w:r>
      <w:r w:rsidRPr="00A245AA">
        <w:t>.</w:t>
      </w:r>
      <w:r>
        <w:t>1</w:t>
      </w:r>
      <w:r w:rsidRPr="00A245AA">
        <w:t xml:space="preserve"> Exploiting gaps in regulations to secure access to sturgeon</w:t>
      </w:r>
      <w:bookmarkEnd w:id="96"/>
    </w:p>
    <w:p w14:paraId="2563037C" w14:textId="25F32EC5" w:rsidR="00FE14D7" w:rsidRPr="00A245AA" w:rsidRDefault="00FE14D7" w:rsidP="003B354F">
      <w:pPr>
        <w:rPr>
          <w:rFonts w:cs="Times New Roman"/>
          <w:color w:val="000000"/>
          <w:sz w:val="22"/>
        </w:rPr>
      </w:pPr>
      <w:r>
        <w:rPr>
          <w:rFonts w:cs="Times New Roman"/>
          <w:color w:val="000000"/>
          <w:sz w:val="22"/>
        </w:rPr>
        <w:t xml:space="preserve">A number of studies illustrate how large geopolitical institutions have an interest in attempting to ‘define, control, and manage nature’ </w:t>
      </w:r>
      <w:r w:rsidR="00AE186D">
        <w:rPr>
          <w:rFonts w:cs="Times New Roman"/>
          <w:color w:val="000000"/>
          <w:sz w:val="22"/>
        </w:rPr>
        <w:fldChar w:fldCharType="begin" w:fldLock="1"/>
      </w:r>
      <w:r w:rsidR="00E060BD">
        <w:rPr>
          <w:rFonts w:cs="Times New Roman"/>
          <w:color w:val="000000"/>
          <w:sz w:val="22"/>
        </w:rPr>
        <w:instrText>ADDIN CSL_CITATION {"citationItems":[{"id":"ITEM-1","itemData":{"DOI":"10.1016/J.POLGEO.2017.03.007","ISSN":"0962-6298","abstract":"The United States military is treating climate change as a crucial factor in its preparation for future conflicts. This concern manifests not only in strategic planning and forward-looking documents, but also in building infrastructural capacity and material provision. Yet, the impetus to ‘green’ the military goes beyond the deployment of existing technologies. We examine several facets of the military's role as an environmental actor, particularly through its promotion of the US Navy's ‘Great Green Fleet’ (GGF), which actively supports the development of advanced biofuels by subsidizing their development and facilitating wider marketization. The GGF promises to reduce military reliance on conventional fossil fuels and reconfigure its energy sourcing, thus reducing dependence on imported hydrocarbons; this is with an eye towards ultimately severing the logistical relationship between existing energy infrastructures and the spaces of military intervention. Taking an integrated lens of political ecology and geopolitics - ‘geopolitical ecology’ - we seek to provide an understanding of the production of weaponized nature. We demonstrate that the US military's discursive use of climate change to justify the provision of new military hardware and advanced biofuels promotes a vision of resource conflicts to support the development of technologies to overcome the constraints to delivery of fuel to emergent front lines. We argue that while this may appear to be militarized greenwashing, it signals a shift in the logics and practices of fuel sourcing driven by a dystopian vision of climate change, which the US military played a significant role in creating.","author":[{"dropping-particle":"","family":"Bigger","given":"Patrick","non-dropping-particle":"","parse-names":false,"suffix":""},{"dropping-particle":"","family":"Neimark","given":"Benjamin D.","non-dropping-particle":"","parse-names":false,"suffix":""}],"container-title":"Political Geography","id":"ITEM-1","issued":{"date-parts":[["2017","9","1"]]},"page":"13-22","publisher":"Pergamon","title":"Weaponizing nature: The geopolitical ecology of the US Navy’s biofuel program","type":"article-journal","volume":"60"},"uris":["http://www.mendeley.com/documents/?uuid=284b1a67-7602-3066-a25f-5d25723549cc"]},{"id":"ITEM-2","itemData":{"DOI":"10.1111/tran.12319","ISSN":"14755661","abstract":"This paper examines the US military's impact on climate by analysing the geopolitical ecology of its global logistical supply chains. Our geopolitical ecology framework interrogates the material-ecological metabolic flows (hydrocarbon-based fuels, water, sand, concrete) that shape geopolitical and geoeconomic power relations. We argue that to account for the US military as a major climate actor, one must understand the logistical supply chain that makes its acquisition and consumption of hydrocarbon-based fuels possible. Our paper focuses on the US Defense Logistics Agency – Energy (DLA-E), a large yet virtually unresearched sub-agency within the US Department of Defense. The DLA-E is the primary purchase-point for hydrocarbon-based fuels for the US military, as well as a powerful actor in the global oil market. After outlining our geopolitical ecology approach, we detail the scope of the DLA-E's operations, its supply chain, bureaucratic practices, and the physical infrastructure that facilitates the US military's consumption of hydro-based carbons on a global scale. We show several “path dependencies” – warfighting paradigms, weapons systems, bureaucratic requirements, and waste – that are put in place by military supply chains and undergird a heavy reliance on carbon-based fuels by the US military for years to come. The paper, based on comprehensive records of bulk fuel purchases we have gathered from DLA-E through Freedom of Information Act requests, represents a partial yet robust picture of the geopolitical ecology of American imperialism.","author":[{"dropping-particle":"","family":"Belcher","given":"Oliver","non-dropping-particle":"","parse-names":false,"suffix":""},{"dropping-particle":"","family":"Bigger","given":"Patrick","non-dropping-particle":"","parse-names":false,"suffix":""},{"dropping-particle":"","family":"Neimark","given":"Ben","non-dropping-particle":"","parse-names":false,"suffix":""},{"dropping-particle":"","family":"Kennelly","given":"Cara","non-dropping-particle":"","parse-names":false,"suffix":""}],"container-title":"Transactions of the Institute of British Geographers","id":"ITEM-2","issue":"May","issued":{"date-parts":[["2019"]]},"page":"1-16","title":"Hidden carbon costs of the “everywhere war”: Logistics, geopolitical ecology, and the carbon boot-print of the US military","type":"article-journal"},"uris":["http://www.mendeley.com/documents/?uuid=8269da4a-ff8f-4dd0-9952-fd48160f3b55"]},{"id":"ITEM-3","itemData":{"DOI":"10.1080/14650045.2014.920232","ISSN":"15573028","abstract":"This paper draws from research on small-scale maize production in Mexico's Central Highland region to discuss the geopolitical implications of everyday agricultural practices. An overwhelming majority of maize farmers in this region, as well as in the country more broadly, continue to cultivate locally adapted maize varieties they have bred themselves - criollo maize is the vernacular term - despite decades of concerted government attempts to effect the widespread adoption of commercially bred and licensed hybrid varieties. This state effort to restructure agricultural systems and food security according to nationalist and capitalist priorities is one tactic in a long and violent struggle for control over peasant land and labour in Mexico. By integrating feminist scholarship in geopolitics and in political ecology, I am following the lead of geographers who regard the materialities of everyday life as a foundation for political tensions and conflicts that are constantly unfolding along intersecting lines of difference. Though geopolitics has rarely turned its attention directly to theories of intimate socio-ecological relations, I argue that the field has much analytical and political leverage to gain by engaging with political ecology, and that feminist geographic imaginaries provide a crucial space in which to do so. This approach allows for an analysis of how a dominant geopolitics of land and agriculture is being undermined through the routine production of criollo maize, revealing new potential for creating broad political alliances with social movements that are currently working toward alternative visions of agriculture and food security. © Taylor &amp; Francis Group, LLC.","author":[{"dropping-particle":"","family":"Mullaney","given":"Emma Gaalaas","non-dropping-particle":"","parse-names":false,"suffix":""}],"container-title":"Geopolitics","id":"ITEM-3","issue":"2","issued":{"date-parts":[["2014"]]},"page":"406-430","publisher":"Routledge","title":"Geopolitical Maize: Peasant Seeds, Everyday Practices, and Food Security in Mexico","type":"article-journal","volume":"19"},"uris":["http://www.mendeley.com/documents/?uuid=50dac149-d485-49f1-85cb-6b8c11ac0439"]},{"id":"ITEM-4","itemData":{"DOI":"10.1016/j.worlddev.2020.104958","ISSN":"18735991","abstract":"In this article we develop a geopolitical ecology of foreign conservation assistance. While the literature on the political nature of foreign assistance writ large highlights how geopolitical agendas are pursued through foreign assistance, we focus on how this geopolitics of foreign assistance articulates with biodiversity conservation concerns. We draw attention to how conservation donor agencies negotiate shifting geopolitical contexts in which the protection of biodiversity from the illegal wildlife trade (IWT) is increasingly framed in the language of national security concerns. We ask: Does framing IWT as a national security concern shape the allocation of foreign conservation assistance? What can answering this question tell us, both empirically and conceptually, about the geopolitical ecology of foreign conservation assistance specifically, and about the meaning of biodiversity conservation efforts to the state more broadly? We approach these questions by combining in-depth qualitative and quantitative analyses of the foreign conservation assistance provided by the US’ lead wildlife conservation agency, the United States Fish and Wildlife Service (USFWS). Between 2002 to the end of fiscal year 2018, the USFWS Division of International Affairs provided assistance to 4142 projects across 106 countries worth over USD $301 million. Our results show that an increasing portion of foreign assistance for biodiversity conservation is allocated to projects that have the specific objective of combating wildlife trafficking (CWT) at the expense of other conservation priorities. This transformation of what it means to fund conservation work overseas, we argue, lies at the heart of an emerging and intensifying geopolitical ecology of conservation, marked by increasing efforts to link the illicit harvesting and trafficking of wildlife with concerns about threats to national security. We conclude by discussing what a geopolitical ecology lens offers for understanding international assistance, biodiversity conservation, more traditional geopolitical concerns, and the intersections between them.","author":[{"dropping-particle":"","family":"Massé","given":"Francis","non-dropping-particle":"","parse-names":false,"suffix":""},{"dropping-particle":"","family":"Margulies","given":"Jared D.","non-dropping-particle":"","parse-names":false,"suffix":""}],"container-title":"World Development","id":"ITEM-4","issued":{"date-parts":[["2020"]]},"page":"104958","publisher":"The Authors","title":"The geopolitical ecology of conservation: The emergence of illegal wildlife trade as national security interest and the re-shaping of US foreign conservation assistance","type":"article-journal","volume":"132"},"uris":["http://www.mendeley.com/documents/?uuid=1401e36b-7eb2-43dc-ab48-f61cc16a8da5"]}],"mendeley":{"formattedCitation":"(Mullaney, 2014; Bigger and Neimark, 2017; Belcher &lt;i&gt;et al.&lt;/i&gt;, 2019; Francis Massé and Margulies, 2020)","manualFormatting":"(Mullaney, 2014; Bigger and Neimark, 2017; Belcher et al., 2019; Massé and Margulies, 2020)","plainTextFormattedCitation":"(Mullaney, 2014; Bigger and Neimark, 2017; Belcher et al., 2019; Francis Massé and Margulies, 2020)","previouslyFormattedCitation":"(Mullaney, 2014; Bigger and Neimark, 2017; Belcher &lt;i&gt;et al.&lt;/i&gt;, 2019; Francis Massé and Margulies, 2020)"},"properties":{"noteIndex":0},"schema":"https://github.com/citation-style-language/schema/raw/master/csl-citation.json"}</w:instrText>
      </w:r>
      <w:r w:rsidR="00AE186D">
        <w:rPr>
          <w:rFonts w:cs="Times New Roman"/>
          <w:color w:val="000000"/>
          <w:sz w:val="22"/>
        </w:rPr>
        <w:fldChar w:fldCharType="separate"/>
      </w:r>
      <w:r w:rsidR="00AE186D" w:rsidRPr="00AE186D">
        <w:rPr>
          <w:rFonts w:cs="Times New Roman"/>
          <w:noProof/>
          <w:color w:val="000000"/>
          <w:sz w:val="22"/>
        </w:rPr>
        <w:t xml:space="preserve">(Mullaney, 2014; Bigger and Neimark, 2017; Belcher </w:t>
      </w:r>
      <w:r w:rsidR="00AE186D" w:rsidRPr="00AE186D">
        <w:rPr>
          <w:rFonts w:cs="Times New Roman"/>
          <w:i/>
          <w:noProof/>
          <w:color w:val="000000"/>
          <w:sz w:val="22"/>
        </w:rPr>
        <w:t>et al.</w:t>
      </w:r>
      <w:r w:rsidR="00AE186D" w:rsidRPr="00AE186D">
        <w:rPr>
          <w:rFonts w:cs="Times New Roman"/>
          <w:noProof/>
          <w:color w:val="000000"/>
          <w:sz w:val="22"/>
        </w:rPr>
        <w:t>, 2019; Massé and Margulies, 2020)</w:t>
      </w:r>
      <w:r w:rsidR="00AE186D">
        <w:rPr>
          <w:rFonts w:cs="Times New Roman"/>
          <w:color w:val="000000"/>
          <w:sz w:val="22"/>
        </w:rPr>
        <w:fldChar w:fldCharType="end"/>
      </w:r>
      <w:r>
        <w:rPr>
          <w:rFonts w:cs="Times New Roman"/>
          <w:color w:val="000000"/>
          <w:sz w:val="22"/>
        </w:rPr>
        <w:t xml:space="preserve">. In the case of managing sturgeon and caviar trade in the EU, CITES is the UN convention that </w:t>
      </w:r>
      <w:r w:rsidR="00AE186D">
        <w:rPr>
          <w:rFonts w:cs="Times New Roman"/>
          <w:color w:val="000000"/>
          <w:sz w:val="22"/>
        </w:rPr>
        <w:t>defines</w:t>
      </w:r>
      <w:r>
        <w:rPr>
          <w:rFonts w:cs="Times New Roman"/>
          <w:color w:val="000000"/>
          <w:sz w:val="22"/>
        </w:rPr>
        <w:t xml:space="preserve"> how s</w:t>
      </w:r>
      <w:r w:rsidR="00AE186D">
        <w:rPr>
          <w:rFonts w:cs="Times New Roman"/>
          <w:color w:val="000000"/>
          <w:sz w:val="22"/>
        </w:rPr>
        <w:t>turgeon as natural resources can be</w:t>
      </w:r>
      <w:r>
        <w:rPr>
          <w:rFonts w:cs="Times New Roman"/>
          <w:color w:val="000000"/>
          <w:sz w:val="22"/>
        </w:rPr>
        <w:t xml:space="preserve"> international</w:t>
      </w:r>
      <w:r w:rsidR="00AE186D">
        <w:rPr>
          <w:rFonts w:cs="Times New Roman"/>
          <w:color w:val="000000"/>
          <w:sz w:val="22"/>
        </w:rPr>
        <w:t>ly</w:t>
      </w:r>
      <w:r>
        <w:rPr>
          <w:rFonts w:cs="Times New Roman"/>
          <w:color w:val="000000"/>
          <w:sz w:val="22"/>
        </w:rPr>
        <w:t xml:space="preserve"> trade</w:t>
      </w:r>
      <w:r w:rsidR="00AE186D">
        <w:rPr>
          <w:rFonts w:cs="Times New Roman"/>
          <w:color w:val="000000"/>
          <w:sz w:val="22"/>
        </w:rPr>
        <w:t>d</w:t>
      </w:r>
      <w:r>
        <w:rPr>
          <w:rFonts w:cs="Times New Roman"/>
          <w:color w:val="000000"/>
          <w:sz w:val="22"/>
        </w:rPr>
        <w:t>. Thus, s</w:t>
      </w:r>
      <w:r w:rsidRPr="00A245AA">
        <w:rPr>
          <w:rFonts w:cs="Times New Roman"/>
          <w:color w:val="000000"/>
          <w:sz w:val="22"/>
        </w:rPr>
        <w:t xml:space="preserve">turgeon are embroiled in processes </w:t>
      </w:r>
      <w:r>
        <w:rPr>
          <w:rFonts w:cs="Times New Roman"/>
          <w:color w:val="000000"/>
          <w:sz w:val="22"/>
        </w:rPr>
        <w:t xml:space="preserve">of ‘living resource regulation’ </w:t>
      </w:r>
      <w:r w:rsidRPr="00A245AA">
        <w:rPr>
          <w:rFonts w:cs="Times New Roman"/>
          <w:color w:val="000000"/>
          <w:sz w:val="22"/>
        </w:rPr>
        <w:t>(Dodds, 2000)</w:t>
      </w:r>
      <w:r>
        <w:rPr>
          <w:rFonts w:cs="Times New Roman"/>
          <w:color w:val="000000"/>
          <w:sz w:val="22"/>
        </w:rPr>
        <w:t xml:space="preserve"> that </w:t>
      </w:r>
      <w:r w:rsidRPr="00A245AA">
        <w:rPr>
          <w:rFonts w:cs="Times New Roman"/>
          <w:color w:val="000000"/>
          <w:sz w:val="22"/>
        </w:rPr>
        <w:t>limi</w:t>
      </w:r>
      <w:r w:rsidR="00B94562">
        <w:rPr>
          <w:rFonts w:cs="Times New Roman"/>
          <w:color w:val="000000"/>
          <w:sz w:val="22"/>
        </w:rPr>
        <w:t>t how states can make use of</w:t>
      </w:r>
      <w:r w:rsidRPr="00A245AA">
        <w:rPr>
          <w:rFonts w:cs="Times New Roman"/>
          <w:color w:val="000000"/>
          <w:sz w:val="22"/>
        </w:rPr>
        <w:t xml:space="preserve"> sturgeon</w:t>
      </w:r>
      <w:r w:rsidR="00AE186D">
        <w:rPr>
          <w:rFonts w:cs="Times New Roman"/>
          <w:color w:val="000000"/>
          <w:sz w:val="22"/>
        </w:rPr>
        <w:t xml:space="preserve">, as well as detailing how they must protect sturgeon and </w:t>
      </w:r>
      <w:r w:rsidR="00AE186D">
        <w:rPr>
          <w:rFonts w:cs="Times New Roman"/>
          <w:color w:val="000000"/>
          <w:sz w:val="22"/>
        </w:rPr>
        <w:lastRenderedPageBreak/>
        <w:t>their habitats</w:t>
      </w:r>
      <w:r w:rsidRPr="005B292F">
        <w:rPr>
          <w:rStyle w:val="FootnoteReference"/>
        </w:rPr>
        <w:footnoteReference w:id="257"/>
      </w:r>
      <w:r w:rsidRPr="00A245AA">
        <w:rPr>
          <w:rFonts w:cs="Times New Roman"/>
          <w:color w:val="000000"/>
          <w:sz w:val="22"/>
        </w:rPr>
        <w:t xml:space="preserve">. </w:t>
      </w:r>
      <w:r>
        <w:rPr>
          <w:rFonts w:cs="Times New Roman"/>
          <w:color w:val="000000"/>
          <w:sz w:val="22"/>
        </w:rPr>
        <w:t xml:space="preserve">Although </w:t>
      </w:r>
      <w:r w:rsidR="00542839">
        <w:rPr>
          <w:rFonts w:cs="Times New Roman"/>
          <w:color w:val="000000"/>
          <w:sz w:val="22"/>
        </w:rPr>
        <w:t>established</w:t>
      </w:r>
      <w:r>
        <w:rPr>
          <w:rFonts w:cs="Times New Roman"/>
          <w:color w:val="000000"/>
          <w:sz w:val="22"/>
        </w:rPr>
        <w:t xml:space="preserve"> sys</w:t>
      </w:r>
      <w:r w:rsidR="00B94562">
        <w:rPr>
          <w:rFonts w:cs="Times New Roman"/>
          <w:color w:val="000000"/>
          <w:sz w:val="22"/>
        </w:rPr>
        <w:t>tems of control and management are</w:t>
      </w:r>
      <w:r>
        <w:rPr>
          <w:rFonts w:cs="Times New Roman"/>
          <w:color w:val="000000"/>
          <w:sz w:val="22"/>
        </w:rPr>
        <w:t xml:space="preserve"> in place, geopolitical actors may attempt to subvert the </w:t>
      </w:r>
      <w:r w:rsidR="00542839">
        <w:rPr>
          <w:rFonts w:cs="Times New Roman"/>
          <w:color w:val="000000"/>
          <w:sz w:val="22"/>
        </w:rPr>
        <w:t>prevailing</w:t>
      </w:r>
      <w:r>
        <w:rPr>
          <w:rFonts w:cs="Times New Roman"/>
          <w:color w:val="000000"/>
          <w:sz w:val="22"/>
        </w:rPr>
        <w:t xml:space="preserve"> systems of management and control. For example, </w:t>
      </w:r>
      <w:r w:rsidRPr="00A245AA">
        <w:rPr>
          <w:rFonts w:cs="Times New Roman"/>
          <w:color w:val="000000"/>
          <w:sz w:val="22"/>
        </w:rPr>
        <w:t>despite the limits on the use of wild sturgeon, states attempt to find ways to gain further</w:t>
      </w:r>
      <w:r>
        <w:rPr>
          <w:rFonts w:cs="Times New Roman"/>
          <w:color w:val="000000"/>
          <w:sz w:val="22"/>
        </w:rPr>
        <w:t xml:space="preserve"> control and access to sturgeon. I argue that they do so by identifying and taking advantage of gaps, loopholes and grey areas in the regulatory frameworks. </w:t>
      </w:r>
      <w:r w:rsidRPr="00A245AA">
        <w:rPr>
          <w:rFonts w:cs="Times New Roman"/>
          <w:color w:val="000000"/>
          <w:sz w:val="22"/>
        </w:rPr>
        <w:t>Ind</w:t>
      </w:r>
      <w:r>
        <w:rPr>
          <w:rFonts w:cs="Times New Roman"/>
          <w:color w:val="000000"/>
          <w:sz w:val="22"/>
        </w:rPr>
        <w:t xml:space="preserve">eed </w:t>
      </w:r>
      <w:r w:rsidR="00542839">
        <w:rPr>
          <w:rFonts w:cs="Times New Roman"/>
          <w:color w:val="000000"/>
          <w:sz w:val="22"/>
        </w:rPr>
        <w:t xml:space="preserve">a representative </w:t>
      </w:r>
      <w:r>
        <w:rPr>
          <w:rFonts w:cs="Times New Roman"/>
          <w:color w:val="000000"/>
          <w:sz w:val="22"/>
        </w:rPr>
        <w:t>of the</w:t>
      </w:r>
      <w:r w:rsidRPr="00A245AA">
        <w:rPr>
          <w:rFonts w:cs="Times New Roman"/>
          <w:color w:val="000000"/>
          <w:sz w:val="22"/>
        </w:rPr>
        <w:t xml:space="preserve"> World Sturgeon Conservation Society</w:t>
      </w:r>
      <w:r>
        <w:rPr>
          <w:rFonts w:cs="Times New Roman"/>
          <w:color w:val="000000"/>
          <w:sz w:val="22"/>
        </w:rPr>
        <w:t xml:space="preserve"> (WSCS),</w:t>
      </w:r>
      <w:r w:rsidRPr="00A245AA">
        <w:rPr>
          <w:rFonts w:cs="Times New Roman"/>
          <w:color w:val="000000"/>
          <w:sz w:val="22"/>
        </w:rPr>
        <w:t xml:space="preserve"> </w:t>
      </w:r>
      <w:r>
        <w:rPr>
          <w:rFonts w:cs="Times New Roman"/>
          <w:color w:val="000000"/>
          <w:sz w:val="22"/>
        </w:rPr>
        <w:t>sp</w:t>
      </w:r>
      <w:r w:rsidR="00542839">
        <w:rPr>
          <w:rFonts w:cs="Times New Roman"/>
          <w:color w:val="000000"/>
          <w:sz w:val="22"/>
        </w:rPr>
        <w:t>eaking at ISS8 recognised that “</w:t>
      </w:r>
      <w:r w:rsidRPr="00A245AA">
        <w:rPr>
          <w:rFonts w:cs="Times New Roman"/>
          <w:color w:val="000000"/>
          <w:sz w:val="22"/>
        </w:rPr>
        <w:t>tricks exist to circumvent regulations. So there is an urgent need to promote moral standards globally</w:t>
      </w:r>
      <w:r w:rsidR="00542839">
        <w:rPr>
          <w:rFonts w:cs="Times New Roman"/>
          <w:color w:val="000000"/>
          <w:sz w:val="22"/>
        </w:rPr>
        <w:t>”</w:t>
      </w:r>
      <w:r w:rsidRPr="005B292F">
        <w:rPr>
          <w:rStyle w:val="FootnoteReference"/>
        </w:rPr>
        <w:footnoteReference w:id="258"/>
      </w:r>
      <w:r w:rsidRPr="00A245AA">
        <w:rPr>
          <w:rFonts w:cs="Times New Roman"/>
          <w:color w:val="000000"/>
          <w:sz w:val="22"/>
        </w:rPr>
        <w:t xml:space="preserve">. </w:t>
      </w:r>
      <w:r>
        <w:rPr>
          <w:rFonts w:cs="Times New Roman"/>
          <w:color w:val="000000"/>
          <w:sz w:val="22"/>
        </w:rPr>
        <w:t>I argue that attempts ma</w:t>
      </w:r>
      <w:r w:rsidR="008D5678">
        <w:rPr>
          <w:rFonts w:cs="Times New Roman"/>
          <w:color w:val="000000"/>
          <w:sz w:val="22"/>
        </w:rPr>
        <w:t>de by geopolitical actors to exploit</w:t>
      </w:r>
      <w:r>
        <w:rPr>
          <w:rFonts w:cs="Times New Roman"/>
          <w:color w:val="000000"/>
          <w:sz w:val="22"/>
        </w:rPr>
        <w:t xml:space="preserve"> </w:t>
      </w:r>
      <w:r w:rsidR="008D5678">
        <w:rPr>
          <w:rFonts w:cs="Times New Roman"/>
          <w:color w:val="000000"/>
          <w:sz w:val="22"/>
        </w:rPr>
        <w:t xml:space="preserve">discrepancies </w:t>
      </w:r>
      <w:r>
        <w:rPr>
          <w:rFonts w:cs="Times New Roman"/>
          <w:color w:val="000000"/>
          <w:sz w:val="22"/>
        </w:rPr>
        <w:t xml:space="preserve">in regulatory frameworks in order to gain control over and access to sturgeon, have both geopolitical motivations and geopolitical consequences. In the following </w:t>
      </w:r>
      <w:r w:rsidRPr="00A245AA">
        <w:rPr>
          <w:rFonts w:cs="Times New Roman"/>
          <w:color w:val="000000"/>
          <w:sz w:val="22"/>
        </w:rPr>
        <w:t xml:space="preserve">empirical examples I question how, and why, geopolitical actors capitalise upon the regulatory gaps in order to secure access to sturgeon. </w:t>
      </w:r>
      <w:r>
        <w:rPr>
          <w:rFonts w:cs="Times New Roman"/>
          <w:color w:val="000000"/>
          <w:sz w:val="22"/>
        </w:rPr>
        <w:t xml:space="preserve">In </w:t>
      </w:r>
      <w:r w:rsidRPr="00A245AA">
        <w:rPr>
          <w:rFonts w:cs="Times New Roman"/>
          <w:color w:val="000000"/>
          <w:sz w:val="22"/>
        </w:rPr>
        <w:t>doing so, I outline the geopo</w:t>
      </w:r>
      <w:r w:rsidR="008D5678">
        <w:rPr>
          <w:rFonts w:cs="Times New Roman"/>
          <w:color w:val="000000"/>
          <w:sz w:val="22"/>
        </w:rPr>
        <w:t xml:space="preserve">litical consequences that arise </w:t>
      </w:r>
      <w:r w:rsidRPr="00A245AA">
        <w:rPr>
          <w:rFonts w:cs="Times New Roman"/>
          <w:color w:val="000000"/>
          <w:sz w:val="22"/>
        </w:rPr>
        <w:t>and how sturgeon emerge as</w:t>
      </w:r>
      <w:r>
        <w:rPr>
          <w:rFonts w:cs="Times New Roman"/>
          <w:color w:val="000000"/>
          <w:sz w:val="22"/>
        </w:rPr>
        <w:t xml:space="preserve"> geopolitical subjects</w:t>
      </w:r>
      <w:r w:rsidRPr="00A245AA">
        <w:rPr>
          <w:rFonts w:cs="Times New Roman"/>
          <w:color w:val="000000"/>
          <w:sz w:val="22"/>
        </w:rPr>
        <w:t>.</w:t>
      </w:r>
    </w:p>
    <w:p w14:paraId="62896BF5" w14:textId="77777777" w:rsidR="00FE14D7" w:rsidRPr="00A245AA" w:rsidRDefault="00FE14D7" w:rsidP="003B354F">
      <w:pPr>
        <w:rPr>
          <w:rFonts w:cs="Times New Roman"/>
          <w:color w:val="000000"/>
          <w:sz w:val="22"/>
        </w:rPr>
      </w:pPr>
    </w:p>
    <w:p w14:paraId="4CFF93E2" w14:textId="3D6F90B0" w:rsidR="00FE14D7" w:rsidRPr="00A245AA" w:rsidRDefault="00FE14D7" w:rsidP="003B354F">
      <w:pPr>
        <w:pStyle w:val="Heading3"/>
      </w:pPr>
      <w:bookmarkStart w:id="97" w:name="_Toc453224254"/>
      <w:r>
        <w:t>8.</w:t>
      </w:r>
      <w:r w:rsidR="000B0084">
        <w:t>1</w:t>
      </w:r>
      <w:r w:rsidRPr="00A245AA">
        <w:t>.1 Scientific fishing permits in Romania</w:t>
      </w:r>
      <w:bookmarkEnd w:id="97"/>
      <w:r w:rsidRPr="00A245AA">
        <w:t xml:space="preserve"> </w:t>
      </w:r>
    </w:p>
    <w:p w14:paraId="03D924F0" w14:textId="69B3F1A2" w:rsidR="00FE14D7" w:rsidRDefault="00542839" w:rsidP="003B354F">
      <w:pPr>
        <w:rPr>
          <w:rFonts w:cs="Times New Roman"/>
          <w:color w:val="000000"/>
          <w:sz w:val="22"/>
        </w:rPr>
      </w:pPr>
      <w:r>
        <w:rPr>
          <w:rFonts w:cs="Times New Roman"/>
          <w:color w:val="000000"/>
          <w:sz w:val="22"/>
        </w:rPr>
        <w:t>“</w:t>
      </w:r>
      <w:r w:rsidR="00FE14D7" w:rsidRPr="00A245AA">
        <w:rPr>
          <w:rFonts w:cs="Times New Roman"/>
          <w:color w:val="000000"/>
          <w:sz w:val="22"/>
        </w:rPr>
        <w:t>Would you like the truth or a nice story?</w:t>
      </w:r>
      <w:r>
        <w:rPr>
          <w:rFonts w:cs="Times New Roman"/>
          <w:color w:val="000000"/>
          <w:sz w:val="22"/>
        </w:rPr>
        <w:t>”</w:t>
      </w:r>
      <w:r w:rsidR="00FE14D7" w:rsidRPr="005B292F">
        <w:rPr>
          <w:rStyle w:val="FootnoteReference"/>
        </w:rPr>
        <w:footnoteReference w:id="259"/>
      </w:r>
      <w:r w:rsidR="00FE14D7" w:rsidRPr="00A245AA">
        <w:rPr>
          <w:rFonts w:cs="Times New Roman"/>
          <w:color w:val="000000"/>
          <w:sz w:val="22"/>
        </w:rPr>
        <w:t xml:space="preserve">, was the opening line of an interview </w:t>
      </w:r>
      <w:r w:rsidR="00FE14D7">
        <w:rPr>
          <w:rFonts w:cs="Times New Roman"/>
          <w:color w:val="000000"/>
          <w:sz w:val="22"/>
        </w:rPr>
        <w:t xml:space="preserve">with Avram, </w:t>
      </w:r>
      <w:r>
        <w:rPr>
          <w:rFonts w:cs="Times New Roman"/>
          <w:color w:val="000000"/>
          <w:sz w:val="22"/>
        </w:rPr>
        <w:t xml:space="preserve">a researcher involved in </w:t>
      </w:r>
      <w:r w:rsidR="00FE14D7">
        <w:rPr>
          <w:rFonts w:cs="Times New Roman"/>
          <w:color w:val="000000"/>
          <w:sz w:val="22"/>
        </w:rPr>
        <w:t xml:space="preserve">a sturgeon-monitoring project authorised by the Biodiversity Directorate of the Romanian Ministry of Environment, to conduct controversial scientific fishing of sturgeon. </w:t>
      </w:r>
      <w:r w:rsidR="00FE14D7" w:rsidRPr="00A245AA">
        <w:rPr>
          <w:rFonts w:cs="Times New Roman"/>
          <w:color w:val="000000"/>
          <w:sz w:val="22"/>
        </w:rPr>
        <w:t>This authorisation had been issued despite widespread critique</w:t>
      </w:r>
      <w:r w:rsidR="008D5678">
        <w:rPr>
          <w:rFonts w:cs="Times New Roman"/>
          <w:color w:val="000000"/>
          <w:sz w:val="22"/>
        </w:rPr>
        <w:t xml:space="preserve"> – by local and regional </w:t>
      </w:r>
      <w:r w:rsidR="00FE14D7">
        <w:rPr>
          <w:rFonts w:cs="Times New Roman"/>
          <w:color w:val="000000"/>
          <w:sz w:val="22"/>
        </w:rPr>
        <w:t xml:space="preserve">NGOs, other government agencies, and caviar producers - of the project’s methods and previous project results. However Avram was not willing to discuss the contested politics surrounding the sturgeon-monitoring project, beyond deflecting criticism and re-directing his own misgivings at the same NGOs and government bodies levelling critique at the project. Avram adeptly steered the course of the interview to suit the narrative he wished to portray: that the research group were engaging in lawful, state-sponsored, and necessary scientific fishing of sturgeon. </w:t>
      </w:r>
    </w:p>
    <w:p w14:paraId="4EE34F4C" w14:textId="0BD95DE1" w:rsidR="008D5678" w:rsidRDefault="00FE14D7" w:rsidP="003B354F">
      <w:pPr>
        <w:rPr>
          <w:rFonts w:cs="Times New Roman"/>
          <w:color w:val="000000"/>
          <w:sz w:val="22"/>
        </w:rPr>
      </w:pPr>
      <w:r>
        <w:rPr>
          <w:rFonts w:cs="Times New Roman"/>
          <w:color w:val="000000"/>
          <w:sz w:val="22"/>
        </w:rPr>
        <w:tab/>
        <w:t xml:space="preserve">The ‘truth’ regarding the credibility of the sturgeon-monitoring project’s results, was impossible to identify in a politically charged context in which seemingly all actors disagree. Irrespective of whether the scientific fishing of sturgeon conducted by this research team has negative implications, what is particularly compelling about this scenario is how the legislative grey area of scientific sturgeon fishing becomes refigured as an issue of geopolitical significance. Indeed, I argue that the authorisation given to this research institute to conduct scientific sturgeon fishing in Romania, </w:t>
      </w:r>
      <w:r>
        <w:rPr>
          <w:rFonts w:cs="Times New Roman"/>
          <w:color w:val="000000"/>
          <w:sz w:val="22"/>
        </w:rPr>
        <w:lastRenderedPageBreak/>
        <w:t xml:space="preserve">is an exploitation of a legislative grey area and forms part of the Biodiversity Directorate of the Romanian Ministry of Environment’s wider geopolitical agenda. A mutually beneficial relationship is established by this authorisation of scientific fishing: the institute gain high-level political approval for their oft-critiqued research practices; and the Biodiversity Directorate gain access to data about sturgeon, which they can use to serve their </w:t>
      </w:r>
      <w:r w:rsidR="008D5678">
        <w:rPr>
          <w:rFonts w:cs="Times New Roman"/>
          <w:color w:val="000000"/>
          <w:sz w:val="22"/>
        </w:rPr>
        <w:t>geo</w:t>
      </w:r>
      <w:r>
        <w:rPr>
          <w:rFonts w:cs="Times New Roman"/>
          <w:color w:val="000000"/>
          <w:sz w:val="22"/>
        </w:rPr>
        <w:t>political purpose. I show how in this process, sturgeon emerge as geopolitical subjects; and also demonstrate how the backlash against the</w:t>
      </w:r>
      <w:r w:rsidR="00E25ED2">
        <w:rPr>
          <w:rFonts w:cs="Times New Roman"/>
          <w:color w:val="000000"/>
          <w:sz w:val="22"/>
        </w:rPr>
        <w:t xml:space="preserve"> research institute’s</w:t>
      </w:r>
      <w:r>
        <w:rPr>
          <w:rFonts w:cs="Times New Roman"/>
          <w:color w:val="000000"/>
          <w:sz w:val="22"/>
        </w:rPr>
        <w:t xml:space="preserve"> authorisation to conduct scientific sturgeon fishing, has geopolitical ramifications that extend beyond Romania.</w:t>
      </w:r>
    </w:p>
    <w:p w14:paraId="4C80915B" w14:textId="77777777" w:rsidR="008D5678" w:rsidRDefault="00FE14D7" w:rsidP="003B354F">
      <w:pPr>
        <w:ind w:firstLine="720"/>
        <w:rPr>
          <w:rFonts w:eastAsia="Times New Roman" w:cs="Times New Roman"/>
          <w:color w:val="000000"/>
          <w:sz w:val="22"/>
        </w:rPr>
      </w:pPr>
      <w:r w:rsidRPr="00A245AA">
        <w:rPr>
          <w:rFonts w:eastAsia="Times New Roman" w:cs="Times New Roman"/>
          <w:color w:val="000000"/>
          <w:sz w:val="22"/>
        </w:rPr>
        <w:t xml:space="preserve">Romania </w:t>
      </w:r>
      <w:r>
        <w:rPr>
          <w:rFonts w:eastAsia="Times New Roman" w:cs="Times New Roman"/>
          <w:color w:val="000000"/>
          <w:sz w:val="22"/>
        </w:rPr>
        <w:t xml:space="preserve">introduced Joint Ministerial Order 262 in April 2006, which </w:t>
      </w:r>
      <w:r w:rsidRPr="00A245AA">
        <w:rPr>
          <w:rFonts w:eastAsia="Times New Roman" w:cs="Times New Roman"/>
          <w:color w:val="000000"/>
          <w:sz w:val="22"/>
        </w:rPr>
        <w:t>initiated a</w:t>
      </w:r>
      <w:r>
        <w:rPr>
          <w:rFonts w:eastAsia="Times New Roman" w:cs="Times New Roman"/>
          <w:color w:val="000000"/>
          <w:sz w:val="22"/>
        </w:rPr>
        <w:t xml:space="preserve"> ten-year</w:t>
      </w:r>
      <w:r w:rsidRPr="00A245AA">
        <w:rPr>
          <w:rFonts w:eastAsia="Times New Roman" w:cs="Times New Roman"/>
          <w:color w:val="000000"/>
          <w:sz w:val="22"/>
        </w:rPr>
        <w:t xml:space="preserve"> ban on wild sturgeon</w:t>
      </w:r>
      <w:r>
        <w:rPr>
          <w:rFonts w:eastAsia="Times New Roman" w:cs="Times New Roman"/>
          <w:color w:val="000000"/>
          <w:sz w:val="22"/>
        </w:rPr>
        <w:t xml:space="preserve"> fishing</w:t>
      </w:r>
      <w:r w:rsidRPr="005B292F">
        <w:rPr>
          <w:rStyle w:val="FootnoteReference"/>
        </w:rPr>
        <w:footnoteReference w:id="260"/>
      </w:r>
      <w:r w:rsidRPr="00A245AA">
        <w:rPr>
          <w:rFonts w:eastAsia="Times New Roman" w:cs="Times New Roman"/>
          <w:color w:val="000000"/>
          <w:sz w:val="22"/>
        </w:rPr>
        <w:t xml:space="preserve">. The </w:t>
      </w:r>
      <w:r>
        <w:rPr>
          <w:rFonts w:eastAsia="Times New Roman" w:cs="Times New Roman"/>
          <w:color w:val="000000"/>
          <w:sz w:val="22"/>
        </w:rPr>
        <w:t>fishing ban has been re-extended since then</w:t>
      </w:r>
      <w:r w:rsidRPr="00A245AA">
        <w:rPr>
          <w:rFonts w:eastAsia="Times New Roman" w:cs="Times New Roman"/>
          <w:color w:val="000000"/>
          <w:sz w:val="22"/>
        </w:rPr>
        <w:t>, but the process to re-impl</w:t>
      </w:r>
      <w:r>
        <w:rPr>
          <w:rFonts w:eastAsia="Times New Roman" w:cs="Times New Roman"/>
          <w:color w:val="000000"/>
          <w:sz w:val="22"/>
        </w:rPr>
        <w:t>ement the fishing ban has been politically</w:t>
      </w:r>
      <w:r w:rsidRPr="00A245AA">
        <w:rPr>
          <w:rFonts w:eastAsia="Times New Roman" w:cs="Times New Roman"/>
          <w:color w:val="000000"/>
          <w:sz w:val="22"/>
        </w:rPr>
        <w:t xml:space="preserve"> turbulent. Juliani, a representative of a Danube-r</w:t>
      </w:r>
      <w:r w:rsidR="0062230A">
        <w:rPr>
          <w:rFonts w:eastAsia="Times New Roman" w:cs="Times New Roman"/>
          <w:color w:val="000000"/>
          <w:sz w:val="22"/>
        </w:rPr>
        <w:t>egion based NGO explained that “</w:t>
      </w:r>
      <w:r w:rsidRPr="00A245AA">
        <w:rPr>
          <w:rFonts w:eastAsia="Times New Roman" w:cs="Times New Roman"/>
          <w:color w:val="000000"/>
          <w:sz w:val="22"/>
        </w:rPr>
        <w:t>due to high level political interference, it took us over 4 months to sign the Ministerial Order extending the sturgeon fishery ban, in line with the informal agreement of the Lower Danu</w:t>
      </w:r>
      <w:r>
        <w:rPr>
          <w:rFonts w:eastAsia="Times New Roman" w:cs="Times New Roman"/>
          <w:color w:val="000000"/>
          <w:sz w:val="22"/>
        </w:rPr>
        <w:t>be countries (Vienna, Dec 2015)</w:t>
      </w:r>
      <w:r w:rsidR="0062230A">
        <w:rPr>
          <w:rFonts w:eastAsia="Times New Roman" w:cs="Times New Roman"/>
          <w:color w:val="000000"/>
          <w:sz w:val="22"/>
        </w:rPr>
        <w:t>”</w:t>
      </w:r>
      <w:r w:rsidRPr="005B292F">
        <w:rPr>
          <w:rStyle w:val="FootnoteReference"/>
        </w:rPr>
        <w:footnoteReference w:id="261"/>
      </w:r>
      <w:r w:rsidRPr="00A245AA">
        <w:rPr>
          <w:rFonts w:eastAsia="Times New Roman" w:cs="Times New Roman"/>
          <w:color w:val="000000"/>
          <w:sz w:val="22"/>
        </w:rPr>
        <w:t>. The informal international agreement between Lower Danube countries promotes a fishing ban until at least 2021</w:t>
      </w:r>
      <w:r w:rsidR="0062230A" w:rsidRPr="005B292F">
        <w:rPr>
          <w:rStyle w:val="FootnoteReference"/>
        </w:rPr>
        <w:footnoteReference w:id="262"/>
      </w:r>
      <w:r w:rsidRPr="00A245AA">
        <w:rPr>
          <w:rFonts w:eastAsia="Times New Roman" w:cs="Times New Roman"/>
          <w:color w:val="000000"/>
          <w:sz w:val="22"/>
        </w:rPr>
        <w:t>, and this was</w:t>
      </w:r>
      <w:r>
        <w:rPr>
          <w:rFonts w:eastAsia="Times New Roman" w:cs="Times New Roman"/>
          <w:color w:val="000000"/>
          <w:sz w:val="22"/>
        </w:rPr>
        <w:t xml:space="preserve"> officially</w:t>
      </w:r>
      <w:r w:rsidRPr="00A245AA">
        <w:rPr>
          <w:rFonts w:eastAsia="Times New Roman" w:cs="Times New Roman"/>
          <w:color w:val="000000"/>
          <w:sz w:val="22"/>
        </w:rPr>
        <w:t xml:space="preserve"> </w:t>
      </w:r>
      <w:r w:rsidR="008D5678">
        <w:rPr>
          <w:rFonts w:eastAsia="Times New Roman" w:cs="Times New Roman"/>
          <w:color w:val="000000"/>
          <w:sz w:val="22"/>
        </w:rPr>
        <w:t>implemented in Romania in 2016.</w:t>
      </w:r>
    </w:p>
    <w:p w14:paraId="1911F765" w14:textId="77777777" w:rsidR="007E56D7" w:rsidRDefault="00FE14D7" w:rsidP="003B354F">
      <w:pPr>
        <w:ind w:firstLine="720"/>
        <w:rPr>
          <w:rFonts w:cs="Times New Roman"/>
          <w:color w:val="000000"/>
          <w:sz w:val="22"/>
        </w:rPr>
      </w:pPr>
      <w:r>
        <w:rPr>
          <w:rFonts w:eastAsia="Times New Roman" w:cs="Times New Roman"/>
          <w:color w:val="000000"/>
          <w:sz w:val="22"/>
        </w:rPr>
        <w:t>Whilst a sturgeon-fishing ban exists in Romania, scientif</w:t>
      </w:r>
      <w:r w:rsidR="008D5678">
        <w:rPr>
          <w:rFonts w:eastAsia="Times New Roman" w:cs="Times New Roman"/>
          <w:color w:val="000000"/>
          <w:sz w:val="22"/>
        </w:rPr>
        <w:t>ic fishing of sturgeon remains shrouded in legislative ambiguity</w:t>
      </w:r>
      <w:r>
        <w:rPr>
          <w:rFonts w:eastAsia="Times New Roman" w:cs="Times New Roman"/>
          <w:color w:val="000000"/>
          <w:sz w:val="22"/>
        </w:rPr>
        <w:t xml:space="preserve">. </w:t>
      </w:r>
      <w:r w:rsidR="00E060BD">
        <w:rPr>
          <w:rFonts w:eastAsia="Times New Roman" w:cs="Times New Roman"/>
          <w:color w:val="000000"/>
          <w:sz w:val="22"/>
        </w:rPr>
        <w:t xml:space="preserve">Subtle changes </w:t>
      </w:r>
      <w:r w:rsidR="007E56D7">
        <w:rPr>
          <w:rFonts w:eastAsia="Times New Roman" w:cs="Times New Roman"/>
          <w:color w:val="000000"/>
          <w:sz w:val="22"/>
        </w:rPr>
        <w:t xml:space="preserve">made </w:t>
      </w:r>
      <w:r w:rsidR="00E060BD">
        <w:rPr>
          <w:rFonts w:eastAsia="Times New Roman" w:cs="Times New Roman"/>
          <w:color w:val="000000"/>
          <w:sz w:val="22"/>
        </w:rPr>
        <w:t xml:space="preserve">to the legislative text outlining exemptions to wild sturgeon fishing, sparked political protests led by NGOs in Romania in 2009. This culminated in a change of law which made explicitly clear that all wild sturgeon catches were prohibited except for restocking purposes </w:t>
      </w:r>
      <w:r w:rsidR="00E060BD">
        <w:rPr>
          <w:rFonts w:eastAsia="Times New Roman" w:cs="Times New Roman"/>
          <w:color w:val="000000"/>
          <w:sz w:val="22"/>
        </w:rPr>
        <w:fldChar w:fldCharType="begin" w:fldLock="1"/>
      </w:r>
      <w:r w:rsidR="00BC2AAB">
        <w:rPr>
          <w:rFonts w:eastAsia="Times New Roman" w:cs="Times New Roman"/>
          <w:color w:val="000000"/>
          <w:sz w:val="22"/>
        </w:rPr>
        <w:instrText>ADDIN CSL_CITATION {"citationItems":[{"id":"ITEM-1","itemData":{"abstract":"Sturgeons belong to one of the oldest families of bony fish in existence, having their first appearance in the fossil records approximately 200 million years ago. Their natural habitats are found in the subtropical, temperate and sub-Arctic rivers, lakes and coastlines of Eurasia and North America. In the Romanian waters, five anadromous species of sturgeon, out of the total 25 species known by science, once migrated from the Black Sea into the Danube for spawning: beluga; Huso huso, Russian sturgeon; Acipenser gueldenstaedtii, stellate sturgeon; A. stellatus, ship sturgeon; A. nudiventris and the European Atlantic sturgeon; A. sturio (Knight, 2009). The NW Black Sea and Lower Danube River sturgeons, like many Acipenserids, were seriously affected by the rapid changes brought by human development. Being one of the finest caviar producers in the world they were intensively harvested for many centuries. Heavy uncontrolled fishing and destruction of habitat led to the collapse of most of the Acipenserids and the total disappearance of the European Atlantic sturgeon (A. sturio) from the NW Black Sea. Worldwide public attention was focused on sturgeon conservation after their listing in the IUCN Red List of Threatened species in 1996. In 1998, after evaluating their abundance in the wild, CITES also decided to strictly regulate the international trade in all Acipenserids. The paper aims to analyze and review conservation measures that were taken locally, nationally and internationally by humans and the effect they had on one of Europe’s only naturally reproducing sturgeon populations.","author":[{"dropping-particle":"","family":"Rogin","given":"Raluca Elena","non-dropping-particle":"","parse-names":false,"suffix":""}],"container-title":"Biology","id":"ITEM-1","issue":"June","issued":{"date-parts":[["2011"]]},"title":"Conservation and sustainable use of wild sturgeon populations of the NW Black Sea and Lower Danube River in Romania","type":"article-journal"},"uris":["http://www.mendeley.com/documents/?uuid=6413cd2f-1064-4326-a343-d47f5fde7855"]}],"mendeley":{"formattedCitation":"(Rogin, 2011)","manualFormatting":"(Rogin, 2011: 30)","plainTextFormattedCitation":"(Rogin, 2011)","previouslyFormattedCitation":"(Rogin, 2011)"},"properties":{"noteIndex":0},"schema":"https://github.com/citation-style-language/schema/raw/master/csl-citation.json"}</w:instrText>
      </w:r>
      <w:r w:rsidR="00E060BD">
        <w:rPr>
          <w:rFonts w:eastAsia="Times New Roman" w:cs="Times New Roman"/>
          <w:color w:val="000000"/>
          <w:sz w:val="22"/>
        </w:rPr>
        <w:fldChar w:fldCharType="separate"/>
      </w:r>
      <w:r w:rsidR="00E060BD" w:rsidRPr="00E060BD">
        <w:rPr>
          <w:rFonts w:eastAsia="Times New Roman" w:cs="Times New Roman"/>
          <w:noProof/>
          <w:color w:val="000000"/>
          <w:sz w:val="22"/>
        </w:rPr>
        <w:t>(Rogin, 2011</w:t>
      </w:r>
      <w:r w:rsidR="00E060BD">
        <w:rPr>
          <w:rFonts w:eastAsia="Times New Roman" w:cs="Times New Roman"/>
          <w:noProof/>
          <w:color w:val="000000"/>
          <w:sz w:val="22"/>
        </w:rPr>
        <w:t>: 30</w:t>
      </w:r>
      <w:r w:rsidR="00E060BD" w:rsidRPr="00E060BD">
        <w:rPr>
          <w:rFonts w:eastAsia="Times New Roman" w:cs="Times New Roman"/>
          <w:noProof/>
          <w:color w:val="000000"/>
          <w:sz w:val="22"/>
        </w:rPr>
        <w:t>)</w:t>
      </w:r>
      <w:r w:rsidR="00E060BD">
        <w:rPr>
          <w:rFonts w:eastAsia="Times New Roman" w:cs="Times New Roman"/>
          <w:color w:val="000000"/>
          <w:sz w:val="22"/>
        </w:rPr>
        <w:fldChar w:fldCharType="end"/>
      </w:r>
      <w:r w:rsidR="00E060BD">
        <w:rPr>
          <w:rFonts w:eastAsia="Times New Roman" w:cs="Times New Roman"/>
          <w:color w:val="000000"/>
          <w:sz w:val="22"/>
        </w:rPr>
        <w:t xml:space="preserve">. At the same time, </w:t>
      </w:r>
      <w:r>
        <w:rPr>
          <w:rFonts w:eastAsia="Times New Roman" w:cs="Times New Roman"/>
          <w:color w:val="000000"/>
          <w:sz w:val="22"/>
        </w:rPr>
        <w:t>CITES Resolution Conf. 12.7 urges st</w:t>
      </w:r>
      <w:r w:rsidR="00E060BD">
        <w:rPr>
          <w:rFonts w:eastAsia="Times New Roman" w:cs="Times New Roman"/>
          <w:color w:val="000000"/>
          <w:sz w:val="22"/>
        </w:rPr>
        <w:t>urgeon range states to conduct “</w:t>
      </w:r>
      <w:r>
        <w:rPr>
          <w:rFonts w:eastAsia="Times New Roman" w:cs="Times New Roman"/>
          <w:color w:val="000000"/>
          <w:sz w:val="22"/>
        </w:rPr>
        <w:t>scientific research and ensure adequate monitoring of the status of stocks… through ap</w:t>
      </w:r>
      <w:r w:rsidR="00E060BD">
        <w:rPr>
          <w:rFonts w:eastAsia="Times New Roman" w:cs="Times New Roman"/>
          <w:color w:val="000000"/>
          <w:sz w:val="22"/>
        </w:rPr>
        <w:t xml:space="preserve">propriate management programmes” </w:t>
      </w:r>
      <w:r w:rsidR="00BC2AAB">
        <w:rPr>
          <w:rFonts w:eastAsia="Times New Roman" w:cs="Times New Roman"/>
          <w:color w:val="000000"/>
          <w:sz w:val="22"/>
        </w:rPr>
        <w:fldChar w:fldCharType="begin" w:fldLock="1"/>
      </w:r>
      <w:r w:rsidR="00181DE3">
        <w:rPr>
          <w:rFonts w:eastAsia="Times New Roman" w:cs="Times New Roman"/>
          <w:color w:val="000000"/>
          <w:sz w:val="22"/>
        </w:rPr>
        <w:instrText>ADDIN CSL_CITATION {"citationItems":[{"id":"ITEM-1","itemData":{"author":[{"dropping-particle":"","family":"CITES","given":"","non-dropping-particle":"","parse-names":false,"suffix":""}],"container-title":"Resolution Conf. 12.7 (Rev. CoP17)","id":"ITEM-1","issued":{"date-parts":[["2002"]]},"page":"1-7","title":"Conservation of and trade in sturgeons and paddlefish","type":"article-journal","volume":"7"},"uris":["http://www.mendeley.com/documents/?uuid=71071027-be10-4791-b045-d6e22fb46311"]}],"mendeley":{"formattedCitation":"(CITES, 2002)","manualFormatting":"(CITES, 2002: 1)","plainTextFormattedCitation":"(CITES, 2002)","previouslyFormattedCitation":"(CITES, 2002)"},"properties":{"noteIndex":0},"schema":"https://github.com/citation-style-language/schema/raw/master/csl-citation.json"}</w:instrText>
      </w:r>
      <w:r w:rsidR="00BC2AAB">
        <w:rPr>
          <w:rFonts w:eastAsia="Times New Roman" w:cs="Times New Roman"/>
          <w:color w:val="000000"/>
          <w:sz w:val="22"/>
        </w:rPr>
        <w:fldChar w:fldCharType="separate"/>
      </w:r>
      <w:r w:rsidR="00BC2AAB" w:rsidRPr="00BC2AAB">
        <w:rPr>
          <w:rFonts w:eastAsia="Times New Roman" w:cs="Times New Roman"/>
          <w:noProof/>
          <w:color w:val="000000"/>
          <w:sz w:val="22"/>
        </w:rPr>
        <w:t>(CITES, 2002</w:t>
      </w:r>
      <w:r w:rsidR="00BC2AAB">
        <w:rPr>
          <w:rFonts w:eastAsia="Times New Roman" w:cs="Times New Roman"/>
          <w:noProof/>
          <w:color w:val="000000"/>
          <w:sz w:val="22"/>
        </w:rPr>
        <w:t>: 1</w:t>
      </w:r>
      <w:r w:rsidR="00BC2AAB" w:rsidRPr="00BC2AAB">
        <w:rPr>
          <w:rFonts w:eastAsia="Times New Roman" w:cs="Times New Roman"/>
          <w:noProof/>
          <w:color w:val="000000"/>
          <w:sz w:val="22"/>
        </w:rPr>
        <w:t>)</w:t>
      </w:r>
      <w:r w:rsidR="00BC2AAB">
        <w:rPr>
          <w:rFonts w:eastAsia="Times New Roman" w:cs="Times New Roman"/>
          <w:color w:val="000000"/>
          <w:sz w:val="22"/>
        </w:rPr>
        <w:fldChar w:fldCharType="end"/>
      </w:r>
      <w:r w:rsidR="007E56D7">
        <w:rPr>
          <w:rFonts w:eastAsia="Times New Roman" w:cs="Times New Roman"/>
          <w:color w:val="000000"/>
          <w:sz w:val="22"/>
        </w:rPr>
        <w:t xml:space="preserve">. Arguably, </w:t>
      </w:r>
      <w:r w:rsidR="00BC2AAB">
        <w:rPr>
          <w:rFonts w:eastAsia="Times New Roman" w:cs="Times New Roman"/>
          <w:color w:val="000000"/>
          <w:sz w:val="22"/>
        </w:rPr>
        <w:t xml:space="preserve">scientific fishing </w:t>
      </w:r>
      <w:r>
        <w:rPr>
          <w:rFonts w:eastAsia="Times New Roman" w:cs="Times New Roman"/>
          <w:color w:val="000000"/>
          <w:sz w:val="22"/>
        </w:rPr>
        <w:t xml:space="preserve">is imperative for in-situ </w:t>
      </w:r>
      <w:r w:rsidR="00BC2AAB">
        <w:rPr>
          <w:rFonts w:eastAsia="Times New Roman" w:cs="Times New Roman"/>
          <w:color w:val="000000"/>
          <w:sz w:val="22"/>
        </w:rPr>
        <w:t>management and monitoring of the status of sturgeon populations</w:t>
      </w:r>
      <w:r>
        <w:rPr>
          <w:rFonts w:eastAsia="Times New Roman" w:cs="Times New Roman"/>
          <w:color w:val="000000"/>
          <w:sz w:val="22"/>
        </w:rPr>
        <w:t xml:space="preserve">. In this regard, scientific fishing permits </w:t>
      </w:r>
      <w:r w:rsidR="00BC2AAB">
        <w:rPr>
          <w:rFonts w:eastAsia="Times New Roman" w:cs="Times New Roman"/>
          <w:color w:val="000000"/>
          <w:sz w:val="22"/>
        </w:rPr>
        <w:t>continue to be</w:t>
      </w:r>
      <w:r>
        <w:rPr>
          <w:rFonts w:eastAsia="Times New Roman" w:cs="Times New Roman"/>
          <w:color w:val="000000"/>
          <w:sz w:val="22"/>
        </w:rPr>
        <w:t xml:space="preserve"> granted </w:t>
      </w:r>
      <w:r w:rsidR="00BC2AAB">
        <w:rPr>
          <w:rFonts w:eastAsia="Times New Roman" w:cs="Times New Roman"/>
          <w:color w:val="000000"/>
          <w:sz w:val="22"/>
        </w:rPr>
        <w:t xml:space="preserve">to research institutes in Romania that have a longstanding history of conducting research on sturgeon. </w:t>
      </w:r>
      <w:r>
        <w:rPr>
          <w:rFonts w:eastAsia="Times New Roman" w:cs="Times New Roman"/>
          <w:color w:val="000000"/>
          <w:sz w:val="22"/>
        </w:rPr>
        <w:t>Such permits are typically granted by the National Agency for Fisheries and Aquaculture (ANPA</w:t>
      </w:r>
      <w:r w:rsidR="0062230A">
        <w:rPr>
          <w:rFonts w:eastAsia="Times New Roman" w:cs="Times New Roman"/>
          <w:color w:val="000000"/>
          <w:sz w:val="22"/>
        </w:rPr>
        <w:t xml:space="preserve"> or NAFA</w:t>
      </w:r>
      <w:r>
        <w:rPr>
          <w:rFonts w:eastAsia="Times New Roman" w:cs="Times New Roman"/>
          <w:color w:val="000000"/>
          <w:sz w:val="22"/>
        </w:rPr>
        <w:t>)</w:t>
      </w:r>
      <w:r w:rsidR="0062230A" w:rsidRPr="005B292F">
        <w:rPr>
          <w:rStyle w:val="FootnoteReference"/>
        </w:rPr>
        <w:footnoteReference w:id="263"/>
      </w:r>
      <w:r>
        <w:rPr>
          <w:rFonts w:eastAsia="Times New Roman" w:cs="Times New Roman"/>
          <w:color w:val="000000"/>
          <w:sz w:val="22"/>
        </w:rPr>
        <w:t xml:space="preserve"> and the Danube Delta Biosphere Reserve Authority (DDBRA). CITES Resolution Conf 12.7 does not however stipulate rules around issuing scientific fishing permits. </w:t>
      </w:r>
      <w:r w:rsidR="00BC2AAB">
        <w:rPr>
          <w:rFonts w:eastAsia="Times New Roman" w:cs="Times New Roman"/>
          <w:color w:val="000000"/>
          <w:sz w:val="22"/>
        </w:rPr>
        <w:t xml:space="preserve">The legislation in Romania appears to mandate that </w:t>
      </w:r>
      <w:r w:rsidR="00BC2AAB">
        <w:rPr>
          <w:rFonts w:eastAsia="Times New Roman" w:cs="Times New Roman"/>
          <w:color w:val="000000"/>
          <w:sz w:val="22"/>
        </w:rPr>
        <w:lastRenderedPageBreak/>
        <w:t xml:space="preserve">scientific fishing can only be authorised for </w:t>
      </w:r>
      <w:r w:rsidR="001A7137">
        <w:rPr>
          <w:rFonts w:eastAsia="Times New Roman" w:cs="Times New Roman"/>
          <w:color w:val="000000"/>
          <w:sz w:val="22"/>
        </w:rPr>
        <w:t>projects with a restocking component</w:t>
      </w:r>
      <w:r w:rsidR="001A7137" w:rsidRPr="005B292F">
        <w:rPr>
          <w:rStyle w:val="FootnoteReference"/>
        </w:rPr>
        <w:footnoteReference w:id="264"/>
      </w:r>
      <w:r w:rsidR="001A7137">
        <w:rPr>
          <w:rFonts w:eastAsia="Times New Roman" w:cs="Times New Roman"/>
          <w:color w:val="000000"/>
          <w:sz w:val="22"/>
        </w:rPr>
        <w:t xml:space="preserve">. However, in practice that does not appear to be the case. </w:t>
      </w:r>
      <w:r>
        <w:rPr>
          <w:rFonts w:eastAsia="Times New Roman" w:cs="Times New Roman"/>
          <w:color w:val="000000"/>
          <w:sz w:val="22"/>
        </w:rPr>
        <w:t xml:space="preserve">As a result, the issuance of scientific fishing permits is somewhat down to interpretation and exists in a legislative grey area. </w:t>
      </w:r>
    </w:p>
    <w:p w14:paraId="20ECD5F9" w14:textId="73B9146C" w:rsidR="00FE14D7" w:rsidRPr="007E56D7" w:rsidRDefault="007E56D7" w:rsidP="003B354F">
      <w:pPr>
        <w:ind w:firstLine="720"/>
        <w:rPr>
          <w:rFonts w:cs="Times New Roman"/>
          <w:color w:val="000000"/>
          <w:sz w:val="22"/>
        </w:rPr>
      </w:pPr>
      <w:r>
        <w:rPr>
          <w:rFonts w:eastAsia="Times New Roman" w:cs="Times New Roman"/>
          <w:color w:val="000000"/>
          <w:sz w:val="22"/>
        </w:rPr>
        <w:t>Over recent years, the</w:t>
      </w:r>
      <w:r w:rsidR="00FE14D7">
        <w:rPr>
          <w:rFonts w:eastAsia="Times New Roman" w:cs="Times New Roman"/>
          <w:color w:val="000000"/>
          <w:sz w:val="22"/>
        </w:rPr>
        <w:t xml:space="preserve"> situation surrounding scientific fishing permits has become politically fraught in Romania. The legislative grey areas have resulted in conflict between government ministries, as the Biodiversity Directorate (Ministry of Environment) has superseded the rulings of ANPA (Ministry of Agriculture). Juliani has criticised the behaviour of the Biodivers</w:t>
      </w:r>
      <w:r w:rsidR="001A7137">
        <w:rPr>
          <w:rFonts w:eastAsia="Times New Roman" w:cs="Times New Roman"/>
          <w:color w:val="000000"/>
          <w:sz w:val="22"/>
        </w:rPr>
        <w:t>ity Directorate, framing it as “</w:t>
      </w:r>
      <w:r w:rsidR="00FE14D7" w:rsidRPr="00A245AA">
        <w:rPr>
          <w:rFonts w:eastAsia="Times New Roman" w:cs="Times New Roman"/>
          <w:color w:val="000000"/>
          <w:sz w:val="22"/>
        </w:rPr>
        <w:t>political interference</w:t>
      </w:r>
      <w:r w:rsidR="001A7137">
        <w:rPr>
          <w:rFonts w:eastAsia="Times New Roman" w:cs="Times New Roman"/>
          <w:color w:val="000000"/>
          <w:sz w:val="22"/>
        </w:rPr>
        <w:t>”</w:t>
      </w:r>
      <w:r w:rsidR="00FE14D7" w:rsidRPr="005B292F">
        <w:rPr>
          <w:rStyle w:val="FootnoteReference"/>
        </w:rPr>
        <w:footnoteReference w:id="265"/>
      </w:r>
      <w:r w:rsidR="00FE14D7">
        <w:rPr>
          <w:rFonts w:eastAsia="Times New Roman" w:cs="Times New Roman"/>
          <w:color w:val="000000"/>
          <w:sz w:val="22"/>
        </w:rPr>
        <w:t>. She is joined by a range of other interlocutors from NGOs to caviar industry representatives, who have expressed concerns about the actions of the Biodiversity Directorate and the relationship the Directorate is establishing with</w:t>
      </w:r>
      <w:r w:rsidR="001A7137">
        <w:rPr>
          <w:rFonts w:eastAsia="Times New Roman" w:cs="Times New Roman"/>
          <w:color w:val="000000"/>
          <w:sz w:val="22"/>
        </w:rPr>
        <w:t xml:space="preserve"> the research institute in question</w:t>
      </w:r>
      <w:r w:rsidR="00FE14D7">
        <w:rPr>
          <w:rFonts w:eastAsia="Times New Roman" w:cs="Times New Roman"/>
          <w:color w:val="000000"/>
          <w:sz w:val="22"/>
        </w:rPr>
        <w:t xml:space="preserve">. This relationship </w:t>
      </w:r>
      <w:r w:rsidR="001A7137">
        <w:rPr>
          <w:rFonts w:eastAsia="Times New Roman" w:cs="Times New Roman"/>
          <w:color w:val="000000"/>
          <w:sz w:val="22"/>
        </w:rPr>
        <w:t xml:space="preserve">is legally formalized </w:t>
      </w:r>
      <w:r w:rsidR="00FE14D7">
        <w:rPr>
          <w:rFonts w:eastAsia="Times New Roman" w:cs="Times New Roman"/>
          <w:color w:val="000000"/>
          <w:sz w:val="22"/>
        </w:rPr>
        <w:t>in Ministerial Order 384/2018.</w:t>
      </w:r>
    </w:p>
    <w:p w14:paraId="38D97EA2" w14:textId="36C3560E" w:rsidR="00FE14D7" w:rsidRDefault="00FE14D7" w:rsidP="003B354F">
      <w:pPr>
        <w:ind w:firstLine="720"/>
        <w:rPr>
          <w:rFonts w:eastAsia="Times New Roman" w:cs="Times New Roman"/>
          <w:color w:val="000000"/>
          <w:sz w:val="22"/>
        </w:rPr>
      </w:pPr>
      <w:r>
        <w:rPr>
          <w:rFonts w:eastAsia="Times New Roman" w:cs="Times New Roman"/>
          <w:color w:val="000000"/>
          <w:sz w:val="22"/>
        </w:rPr>
        <w:t xml:space="preserve">The Romanian Ministry of Environment on behalf of the Biodiversity Directorate issued Ministerial Order 384/2018 on 3rd May 2018. This Ministerial Order granted </w:t>
      </w:r>
      <w:r w:rsidR="001D64B0">
        <w:rPr>
          <w:rFonts w:eastAsia="Times New Roman" w:cs="Times New Roman"/>
          <w:color w:val="000000"/>
          <w:sz w:val="22"/>
        </w:rPr>
        <w:t>Avram’s sturgeon research project the catch of 375 sturgeon</w:t>
      </w:r>
      <w:r>
        <w:rPr>
          <w:rFonts w:eastAsia="Times New Roman" w:cs="Times New Roman"/>
          <w:color w:val="000000"/>
          <w:sz w:val="22"/>
        </w:rPr>
        <w:t xml:space="preserve"> under a scientific fishing permit. As briefly mentioned, the previous sturgeon-monitoring activities of this research institute have been plagued by criticism from NGOs, ANPA, and DG REGIO</w:t>
      </w:r>
      <w:r w:rsidRPr="005B292F">
        <w:rPr>
          <w:rStyle w:val="FootnoteReference"/>
        </w:rPr>
        <w:footnoteReference w:id="266"/>
      </w:r>
      <w:r>
        <w:rPr>
          <w:rFonts w:eastAsia="Times New Roman" w:cs="Times New Roman"/>
          <w:color w:val="000000"/>
          <w:sz w:val="22"/>
        </w:rPr>
        <w:t xml:space="preserve"> of the European Commission. Based on previous research evaluating the impacts of an infrastructure and navigation project on the Romanian Danube, the research institute concluded that the construction of an underwater sill designed to redistribute water to create better conditions for navigation, did not negatively impact upon sturgeon. This was despite the fact that the redi</w:t>
      </w:r>
      <w:r w:rsidR="001D64B0">
        <w:rPr>
          <w:rFonts w:eastAsia="Times New Roman" w:cs="Times New Roman"/>
          <w:color w:val="000000"/>
          <w:sz w:val="22"/>
        </w:rPr>
        <w:t>stribution of water intercepts key</w:t>
      </w:r>
      <w:r>
        <w:rPr>
          <w:rFonts w:eastAsia="Times New Roman" w:cs="Times New Roman"/>
          <w:color w:val="000000"/>
          <w:sz w:val="22"/>
        </w:rPr>
        <w:t xml:space="preserve"> migration route</w:t>
      </w:r>
      <w:r w:rsidR="001D64B0">
        <w:rPr>
          <w:rFonts w:eastAsia="Times New Roman" w:cs="Times New Roman"/>
          <w:color w:val="000000"/>
          <w:sz w:val="22"/>
        </w:rPr>
        <w:t>s</w:t>
      </w:r>
      <w:r>
        <w:rPr>
          <w:rFonts w:eastAsia="Times New Roman" w:cs="Times New Roman"/>
          <w:color w:val="000000"/>
          <w:sz w:val="22"/>
        </w:rPr>
        <w:t xml:space="preserve"> of several sturgeon species with particularly high water velocities that will likely impede migration and subsequent reproduction. Those considered sturgeon experts from other research institutes, were pushed out of the project and subsequently sued by the director of the research institute after they signalled their concerns about the conclusions that had been disseminated. </w:t>
      </w:r>
    </w:p>
    <w:p w14:paraId="0ADBEA24" w14:textId="10A2A896" w:rsidR="00FE14D7" w:rsidRPr="00A245AA" w:rsidRDefault="00FE14D7" w:rsidP="003B354F">
      <w:pPr>
        <w:ind w:firstLine="720"/>
        <w:rPr>
          <w:rFonts w:cs="Times New Roman"/>
          <w:color w:val="000000"/>
          <w:sz w:val="22"/>
        </w:rPr>
      </w:pPr>
      <w:r>
        <w:rPr>
          <w:rFonts w:cs="Times New Roman"/>
          <w:color w:val="000000"/>
          <w:sz w:val="22"/>
        </w:rPr>
        <w:t>T</w:t>
      </w:r>
      <w:r w:rsidRPr="00A245AA">
        <w:rPr>
          <w:rFonts w:cs="Times New Roman"/>
          <w:color w:val="000000"/>
          <w:sz w:val="22"/>
        </w:rPr>
        <w:t>here has</w:t>
      </w:r>
      <w:r>
        <w:rPr>
          <w:rFonts w:cs="Times New Roman"/>
          <w:color w:val="000000"/>
          <w:sz w:val="22"/>
        </w:rPr>
        <w:t xml:space="preserve"> also</w:t>
      </w:r>
      <w:r w:rsidRPr="00A245AA">
        <w:rPr>
          <w:rFonts w:cs="Times New Roman"/>
          <w:color w:val="000000"/>
          <w:sz w:val="22"/>
        </w:rPr>
        <w:t xml:space="preserve"> be</w:t>
      </w:r>
      <w:r w:rsidR="001D64B0">
        <w:rPr>
          <w:rFonts w:cs="Times New Roman"/>
          <w:color w:val="000000"/>
          <w:sz w:val="22"/>
        </w:rPr>
        <w:t>en cause for concern about the “</w:t>
      </w:r>
      <w:r w:rsidRPr="00A245AA">
        <w:rPr>
          <w:rFonts w:cs="Times New Roman"/>
          <w:color w:val="000000"/>
          <w:sz w:val="22"/>
        </w:rPr>
        <w:t>continuous refusal and/or obstruction</w:t>
      </w:r>
      <w:r w:rsidR="001D64B0">
        <w:rPr>
          <w:rFonts w:cs="Times New Roman"/>
          <w:color w:val="000000"/>
          <w:sz w:val="22"/>
        </w:rPr>
        <w:t>”</w:t>
      </w:r>
      <w:r w:rsidRPr="005B292F">
        <w:rPr>
          <w:rStyle w:val="FootnoteReference"/>
        </w:rPr>
        <w:footnoteReference w:id="267"/>
      </w:r>
      <w:r>
        <w:rPr>
          <w:rFonts w:cs="Times New Roman"/>
          <w:color w:val="000000"/>
          <w:sz w:val="22"/>
        </w:rPr>
        <w:t xml:space="preserve"> of the research institute to </w:t>
      </w:r>
      <w:r w:rsidRPr="00A245AA">
        <w:rPr>
          <w:rFonts w:cs="Times New Roman"/>
          <w:color w:val="000000"/>
          <w:sz w:val="22"/>
        </w:rPr>
        <w:t xml:space="preserve">publish the raw data that supports their findings. NGOs have expressed </w:t>
      </w:r>
      <w:r>
        <w:rPr>
          <w:rFonts w:cs="Times New Roman"/>
          <w:color w:val="000000"/>
          <w:sz w:val="22"/>
        </w:rPr>
        <w:t xml:space="preserve">fears about the </w:t>
      </w:r>
      <w:r w:rsidRPr="00A245AA">
        <w:rPr>
          <w:rFonts w:cs="Times New Roman"/>
          <w:color w:val="000000"/>
          <w:sz w:val="22"/>
        </w:rPr>
        <w:t xml:space="preserve">data manipulation and forgery that could be occurring. </w:t>
      </w:r>
      <w:r>
        <w:rPr>
          <w:rFonts w:cs="Times New Roman"/>
          <w:color w:val="000000"/>
          <w:sz w:val="22"/>
        </w:rPr>
        <w:t xml:space="preserve">Criticising the fact that </w:t>
      </w:r>
      <w:r w:rsidRPr="00A245AA">
        <w:rPr>
          <w:rFonts w:cs="Times New Roman"/>
          <w:color w:val="000000"/>
          <w:sz w:val="22"/>
        </w:rPr>
        <w:t xml:space="preserve">NGOs can only access a curated set of findings, Juliani </w:t>
      </w:r>
      <w:r>
        <w:rPr>
          <w:rFonts w:cs="Times New Roman"/>
          <w:color w:val="000000"/>
          <w:sz w:val="22"/>
        </w:rPr>
        <w:t>said: “t</w:t>
      </w:r>
      <w:r w:rsidRPr="00A245AA">
        <w:rPr>
          <w:rFonts w:cs="Times New Roman"/>
          <w:color w:val="000000"/>
          <w:sz w:val="22"/>
        </w:rPr>
        <w:t>his is not like the bible, you can’t be given a statement and just believe it</w:t>
      </w:r>
      <w:r w:rsidR="007E56D7">
        <w:rPr>
          <w:rFonts w:cs="Times New Roman"/>
          <w:color w:val="000000"/>
          <w:sz w:val="22"/>
        </w:rPr>
        <w:t>”</w:t>
      </w:r>
      <w:r w:rsidRPr="005B292F">
        <w:rPr>
          <w:rStyle w:val="FootnoteReference"/>
        </w:rPr>
        <w:footnoteReference w:id="268"/>
      </w:r>
      <w:r w:rsidRPr="00A245AA">
        <w:rPr>
          <w:rFonts w:cs="Times New Roman"/>
          <w:color w:val="000000"/>
          <w:sz w:val="22"/>
        </w:rPr>
        <w:t>.  </w:t>
      </w:r>
      <w:r>
        <w:rPr>
          <w:rFonts w:cs="Times New Roman"/>
          <w:color w:val="000000"/>
          <w:sz w:val="22"/>
        </w:rPr>
        <w:t>T</w:t>
      </w:r>
      <w:r w:rsidRPr="00A245AA">
        <w:rPr>
          <w:rFonts w:cs="Times New Roman"/>
          <w:color w:val="000000"/>
          <w:sz w:val="22"/>
        </w:rPr>
        <w:t xml:space="preserve">he research institute </w:t>
      </w:r>
      <w:r>
        <w:rPr>
          <w:rFonts w:cs="Times New Roman"/>
          <w:color w:val="000000"/>
          <w:sz w:val="22"/>
        </w:rPr>
        <w:t xml:space="preserve">justify their guardedness, claiming it </w:t>
      </w:r>
      <w:r w:rsidRPr="00A245AA">
        <w:rPr>
          <w:rFonts w:cs="Times New Roman"/>
          <w:color w:val="000000"/>
          <w:sz w:val="22"/>
        </w:rPr>
        <w:t xml:space="preserve">is a </w:t>
      </w:r>
      <w:r w:rsidRPr="00A245AA">
        <w:rPr>
          <w:rFonts w:cs="Times New Roman"/>
          <w:color w:val="000000"/>
          <w:sz w:val="22"/>
        </w:rPr>
        <w:lastRenderedPageBreak/>
        <w:t>proactive step in preventing sturgeon crime. T</w:t>
      </w:r>
      <w:r>
        <w:rPr>
          <w:rFonts w:cs="Times New Roman"/>
          <w:color w:val="000000"/>
          <w:sz w:val="22"/>
        </w:rPr>
        <w:t>hey suggest that if they publish</w:t>
      </w:r>
      <w:r w:rsidRPr="00A245AA">
        <w:rPr>
          <w:rFonts w:cs="Times New Roman"/>
          <w:color w:val="000000"/>
          <w:sz w:val="22"/>
        </w:rPr>
        <w:t xml:space="preserve"> the raw data publicly, it will allow poachers to accurately identify where sturgeon are</w:t>
      </w:r>
      <w:r w:rsidRPr="005B292F">
        <w:rPr>
          <w:rStyle w:val="FootnoteReference"/>
        </w:rPr>
        <w:footnoteReference w:id="269"/>
      </w:r>
      <w:r w:rsidRPr="00A245AA">
        <w:rPr>
          <w:rFonts w:cs="Times New Roman"/>
          <w:color w:val="000000"/>
          <w:sz w:val="22"/>
        </w:rPr>
        <w:t>. However,</w:t>
      </w:r>
      <w:r>
        <w:rPr>
          <w:rFonts w:cs="Times New Roman"/>
          <w:color w:val="000000"/>
          <w:sz w:val="22"/>
        </w:rPr>
        <w:t xml:space="preserve"> </w:t>
      </w:r>
      <w:r w:rsidRPr="00A245AA">
        <w:rPr>
          <w:rFonts w:cs="Times New Roman"/>
          <w:color w:val="000000"/>
          <w:sz w:val="22"/>
        </w:rPr>
        <w:t>DG REGIO of the European Commission</w:t>
      </w:r>
      <w:r>
        <w:rPr>
          <w:rFonts w:cs="Times New Roman"/>
          <w:color w:val="000000"/>
          <w:sz w:val="22"/>
        </w:rPr>
        <w:t xml:space="preserve"> </w:t>
      </w:r>
      <w:r w:rsidR="007E56D7">
        <w:rPr>
          <w:rFonts w:cs="Times New Roman"/>
          <w:color w:val="000000"/>
          <w:sz w:val="22"/>
        </w:rPr>
        <w:t>condemned</w:t>
      </w:r>
      <w:r w:rsidRPr="00A245AA">
        <w:rPr>
          <w:rFonts w:cs="Times New Roman"/>
          <w:color w:val="000000"/>
          <w:sz w:val="22"/>
        </w:rPr>
        <w:t xml:space="preserve"> the refusal to share raw data from the sturgeon moni</w:t>
      </w:r>
      <w:r w:rsidR="007E56D7">
        <w:rPr>
          <w:rFonts w:cs="Times New Roman"/>
          <w:color w:val="000000"/>
          <w:sz w:val="22"/>
        </w:rPr>
        <w:t>toring activities, declaring it</w:t>
      </w:r>
      <w:r>
        <w:rPr>
          <w:rFonts w:cs="Times New Roman"/>
          <w:color w:val="000000"/>
          <w:sz w:val="22"/>
        </w:rPr>
        <w:t xml:space="preserve"> ‘a breach’</w:t>
      </w:r>
      <w:r w:rsidRPr="00A245AA">
        <w:rPr>
          <w:rFonts w:cs="Times New Roman"/>
          <w:color w:val="000000"/>
          <w:sz w:val="22"/>
        </w:rPr>
        <w:t xml:space="preserve"> of the </w:t>
      </w:r>
      <w:r w:rsidR="00E16252">
        <w:rPr>
          <w:rFonts w:cs="Times New Roman"/>
          <w:color w:val="000000"/>
          <w:sz w:val="22"/>
        </w:rPr>
        <w:t>UN Economic Commission for Europe (</w:t>
      </w:r>
      <w:r w:rsidRPr="00A245AA">
        <w:rPr>
          <w:rFonts w:cs="Times New Roman"/>
          <w:color w:val="000000"/>
          <w:sz w:val="22"/>
        </w:rPr>
        <w:t>UNECE</w:t>
      </w:r>
      <w:r w:rsidR="00E16252">
        <w:rPr>
          <w:rFonts w:cs="Times New Roman"/>
          <w:color w:val="000000"/>
          <w:sz w:val="22"/>
        </w:rPr>
        <w:t>)</w:t>
      </w:r>
      <w:r w:rsidRPr="00A245AA">
        <w:rPr>
          <w:rFonts w:cs="Times New Roman"/>
          <w:color w:val="000000"/>
          <w:sz w:val="22"/>
        </w:rPr>
        <w:t xml:space="preserve"> Convention on Access to Information, Public Participation in Decision-making and Access to Justice in Environmental Matters</w:t>
      </w:r>
      <w:r w:rsidR="007E56D7">
        <w:rPr>
          <w:rFonts w:cs="Times New Roman"/>
          <w:color w:val="000000"/>
          <w:sz w:val="22"/>
        </w:rPr>
        <w:t xml:space="preserve"> (Aarhus convention). The </w:t>
      </w:r>
      <w:r w:rsidRPr="00A245AA">
        <w:rPr>
          <w:rFonts w:cs="Times New Roman"/>
          <w:color w:val="000000"/>
          <w:sz w:val="22"/>
        </w:rPr>
        <w:t>research institute have not released the raw data to NGOs d</w:t>
      </w:r>
      <w:r w:rsidR="007E56D7">
        <w:rPr>
          <w:rFonts w:cs="Times New Roman"/>
          <w:color w:val="000000"/>
          <w:sz w:val="22"/>
        </w:rPr>
        <w:t xml:space="preserve">espite being mandated to do so, </w:t>
      </w:r>
      <w:r w:rsidRPr="00A245AA">
        <w:rPr>
          <w:rFonts w:cs="Times New Roman"/>
          <w:color w:val="000000"/>
          <w:sz w:val="22"/>
        </w:rPr>
        <w:t>have r</w:t>
      </w:r>
      <w:r w:rsidR="007E56D7">
        <w:rPr>
          <w:rFonts w:cs="Times New Roman"/>
          <w:color w:val="000000"/>
          <w:sz w:val="22"/>
        </w:rPr>
        <w:t>estricted access to public data,</w:t>
      </w:r>
      <w:r w:rsidRPr="00A245AA">
        <w:rPr>
          <w:rFonts w:cs="Times New Roman"/>
          <w:color w:val="000000"/>
          <w:sz w:val="22"/>
        </w:rPr>
        <w:t xml:space="preserve"> have vetoed JASPERS</w:t>
      </w:r>
      <w:r w:rsidRPr="005B292F">
        <w:rPr>
          <w:rStyle w:val="FootnoteReference"/>
        </w:rPr>
        <w:footnoteReference w:id="270"/>
      </w:r>
      <w:r w:rsidR="007E56D7">
        <w:rPr>
          <w:rFonts w:cs="Times New Roman"/>
          <w:color w:val="000000"/>
          <w:sz w:val="22"/>
        </w:rPr>
        <w:t xml:space="preserve"> experts, </w:t>
      </w:r>
      <w:r w:rsidRPr="00A245AA">
        <w:rPr>
          <w:rFonts w:cs="Times New Roman"/>
          <w:color w:val="000000"/>
          <w:sz w:val="22"/>
        </w:rPr>
        <w:t xml:space="preserve">and have treated </w:t>
      </w:r>
      <w:r w:rsidR="00F41443">
        <w:rPr>
          <w:rFonts w:cs="Times New Roman"/>
          <w:color w:val="000000"/>
          <w:sz w:val="22"/>
        </w:rPr>
        <w:t>public interest information as “</w:t>
      </w:r>
      <w:r w:rsidRPr="00A245AA">
        <w:rPr>
          <w:rFonts w:cs="Times New Roman"/>
          <w:color w:val="000000"/>
          <w:sz w:val="22"/>
        </w:rPr>
        <w:t>secret data</w:t>
      </w:r>
      <w:r w:rsidR="00F41443">
        <w:rPr>
          <w:rFonts w:cs="Times New Roman"/>
          <w:color w:val="000000"/>
          <w:sz w:val="22"/>
        </w:rPr>
        <w:t>”</w:t>
      </w:r>
      <w:r w:rsidRPr="005B292F">
        <w:rPr>
          <w:rStyle w:val="FootnoteReference"/>
        </w:rPr>
        <w:footnoteReference w:id="271"/>
      </w:r>
      <w:r w:rsidRPr="00A245AA">
        <w:rPr>
          <w:rFonts w:cs="Times New Roman"/>
          <w:color w:val="000000"/>
          <w:sz w:val="22"/>
        </w:rPr>
        <w:t xml:space="preserve">. </w:t>
      </w:r>
    </w:p>
    <w:p w14:paraId="2D615DB9" w14:textId="77777777" w:rsidR="00292E84" w:rsidRDefault="00FE14D7" w:rsidP="003B354F">
      <w:pPr>
        <w:ind w:firstLine="720"/>
        <w:rPr>
          <w:rFonts w:cs="Times New Roman"/>
          <w:color w:val="000000"/>
          <w:sz w:val="22"/>
        </w:rPr>
      </w:pPr>
      <w:r w:rsidRPr="00A245AA">
        <w:rPr>
          <w:rFonts w:cs="Times New Roman"/>
          <w:color w:val="000000"/>
          <w:sz w:val="22"/>
        </w:rPr>
        <w:t>Critics put forward multiple suggestions as to why the research institute seeks to hide their raw data. In partic</w:t>
      </w:r>
      <w:r>
        <w:rPr>
          <w:rFonts w:cs="Times New Roman"/>
          <w:color w:val="000000"/>
          <w:sz w:val="22"/>
        </w:rPr>
        <w:t>ular, there is mounting speculation</w:t>
      </w:r>
      <w:r w:rsidRPr="00A245AA">
        <w:rPr>
          <w:rFonts w:cs="Times New Roman"/>
          <w:color w:val="000000"/>
          <w:sz w:val="22"/>
        </w:rPr>
        <w:t xml:space="preserve"> that the scientific fishing permits may be facilitating underhand activities. NGOs have identified an</w:t>
      </w:r>
      <w:r>
        <w:rPr>
          <w:rFonts w:cs="Times New Roman"/>
          <w:color w:val="000000"/>
          <w:sz w:val="22"/>
        </w:rPr>
        <w:t>omalou</w:t>
      </w:r>
      <w:r w:rsidR="00F41443">
        <w:rPr>
          <w:rFonts w:cs="Times New Roman"/>
          <w:color w:val="000000"/>
          <w:sz w:val="22"/>
        </w:rPr>
        <w:t>s results in the project reports</w:t>
      </w:r>
      <w:r w:rsidRPr="00A245AA">
        <w:rPr>
          <w:rFonts w:cs="Times New Roman"/>
          <w:color w:val="000000"/>
          <w:sz w:val="22"/>
        </w:rPr>
        <w:t xml:space="preserve"> that </w:t>
      </w:r>
      <w:r>
        <w:rPr>
          <w:rFonts w:cs="Times New Roman"/>
          <w:color w:val="000000"/>
          <w:sz w:val="22"/>
        </w:rPr>
        <w:t>are</w:t>
      </w:r>
      <w:r w:rsidRPr="00A245AA">
        <w:rPr>
          <w:rFonts w:cs="Times New Roman"/>
          <w:color w:val="000000"/>
          <w:sz w:val="22"/>
        </w:rPr>
        <w:t xml:space="preserve"> accessible to them, pointing to the fact that a strikingly high</w:t>
      </w:r>
      <w:r>
        <w:rPr>
          <w:rFonts w:cs="Times New Roman"/>
          <w:color w:val="000000"/>
          <w:sz w:val="22"/>
        </w:rPr>
        <w:t xml:space="preserve"> </w:t>
      </w:r>
      <w:r w:rsidRPr="00A245AA">
        <w:rPr>
          <w:rFonts w:cs="Times New Roman"/>
          <w:color w:val="000000"/>
          <w:sz w:val="22"/>
        </w:rPr>
        <w:t>proportion</w:t>
      </w:r>
      <w:r>
        <w:rPr>
          <w:rFonts w:cs="Times New Roman"/>
          <w:color w:val="000000"/>
          <w:sz w:val="22"/>
        </w:rPr>
        <w:t xml:space="preserve"> (c.95%)</w:t>
      </w:r>
      <w:r w:rsidRPr="00A245AA">
        <w:rPr>
          <w:rFonts w:cs="Times New Roman"/>
          <w:color w:val="000000"/>
          <w:sz w:val="22"/>
        </w:rPr>
        <w:t xml:space="preserve"> of the fish caught and tagged by the research team were male sturgeon</w:t>
      </w:r>
      <w:r w:rsidRPr="005B292F">
        <w:rPr>
          <w:rStyle w:val="FootnoteReference"/>
        </w:rPr>
        <w:footnoteReference w:id="272"/>
      </w:r>
      <w:r w:rsidRPr="00A245AA">
        <w:rPr>
          <w:rFonts w:cs="Times New Roman"/>
          <w:color w:val="000000"/>
          <w:sz w:val="22"/>
        </w:rPr>
        <w:t>. This has led individuals</w:t>
      </w:r>
      <w:r>
        <w:rPr>
          <w:rFonts w:cs="Times New Roman"/>
          <w:color w:val="000000"/>
          <w:sz w:val="22"/>
        </w:rPr>
        <w:t xml:space="preserve"> such as Juliani</w:t>
      </w:r>
      <w:r w:rsidRPr="00A245AA">
        <w:rPr>
          <w:rFonts w:cs="Times New Roman"/>
          <w:color w:val="000000"/>
          <w:sz w:val="22"/>
        </w:rPr>
        <w:t xml:space="preserve"> </w:t>
      </w:r>
      <w:r>
        <w:rPr>
          <w:rFonts w:cs="Times New Roman"/>
          <w:color w:val="000000"/>
          <w:sz w:val="22"/>
        </w:rPr>
        <w:t>to speculate that a process of ‘sorting’</w:t>
      </w:r>
      <w:r w:rsidRPr="00A245AA">
        <w:rPr>
          <w:rFonts w:cs="Times New Roman"/>
          <w:color w:val="000000"/>
          <w:sz w:val="22"/>
        </w:rPr>
        <w:t xml:space="preserve"> goes on, whereby male fish are tagged for the research, and female sturgeon are removed for illegal caviar trade. Furthermore, investigations </w:t>
      </w:r>
      <w:r>
        <w:rPr>
          <w:rFonts w:cs="Times New Roman"/>
          <w:color w:val="000000"/>
          <w:sz w:val="22"/>
        </w:rPr>
        <w:t xml:space="preserve">have uncovered direct familial links between a member of the research team and a local mafia godfather who has previously been convicted of illegal fishing activities. Connections have also been unearthed between members of the team and a </w:t>
      </w:r>
      <w:r w:rsidRPr="00A245AA">
        <w:rPr>
          <w:rFonts w:cs="Times New Roman"/>
          <w:color w:val="000000"/>
          <w:sz w:val="22"/>
        </w:rPr>
        <w:t>suspicious sturgeon aquaculture farm located in close pro</w:t>
      </w:r>
      <w:r>
        <w:rPr>
          <w:rFonts w:cs="Times New Roman"/>
          <w:color w:val="000000"/>
          <w:sz w:val="22"/>
        </w:rPr>
        <w:t>ximity to the project area, which</w:t>
      </w:r>
      <w:r w:rsidRPr="00A245AA">
        <w:rPr>
          <w:rFonts w:cs="Times New Roman"/>
          <w:color w:val="000000"/>
          <w:sz w:val="22"/>
        </w:rPr>
        <w:t xml:space="preserve"> came into operation around the same time as the sturgeon-monitoring project</w:t>
      </w:r>
      <w:r w:rsidR="00292E84">
        <w:rPr>
          <w:rFonts w:cs="Times New Roman"/>
          <w:color w:val="000000"/>
          <w:sz w:val="22"/>
        </w:rPr>
        <w:t xml:space="preserve"> began</w:t>
      </w:r>
      <w:r>
        <w:rPr>
          <w:rFonts w:cs="Times New Roman"/>
          <w:color w:val="000000"/>
          <w:sz w:val="22"/>
        </w:rPr>
        <w:t xml:space="preserve"> in 2012</w:t>
      </w:r>
      <w:r w:rsidRPr="00A245AA">
        <w:rPr>
          <w:rFonts w:cs="Times New Roman"/>
          <w:color w:val="000000"/>
          <w:sz w:val="22"/>
        </w:rPr>
        <w:t>.</w:t>
      </w:r>
      <w:r>
        <w:rPr>
          <w:rFonts w:cs="Times New Roman"/>
          <w:color w:val="000000"/>
          <w:sz w:val="22"/>
        </w:rPr>
        <w:t xml:space="preserve"> It was suggested that this aquaculture facility might provide the means for whitewashing of caviar taken from ‘sorted’ sturgeon. </w:t>
      </w:r>
    </w:p>
    <w:p w14:paraId="5103EE69" w14:textId="1EDE107B" w:rsidR="003B354F" w:rsidRDefault="00FE14D7" w:rsidP="003B354F">
      <w:pPr>
        <w:ind w:firstLine="720"/>
        <w:rPr>
          <w:rFonts w:cs="Times New Roman"/>
          <w:color w:val="000000"/>
          <w:sz w:val="22"/>
        </w:rPr>
      </w:pPr>
      <w:r>
        <w:rPr>
          <w:rFonts w:cs="Times New Roman"/>
          <w:color w:val="000000"/>
          <w:sz w:val="22"/>
        </w:rPr>
        <w:t xml:space="preserve">Based upon concerns about the activities of this research team, in October 2017 ANPA revoked the scientific fishing licence awarded to the research institute. </w:t>
      </w:r>
      <w:r w:rsidRPr="00A245AA">
        <w:rPr>
          <w:rFonts w:cs="Times New Roman"/>
          <w:color w:val="000000"/>
          <w:sz w:val="22"/>
        </w:rPr>
        <w:t>ANPA defended their withdrawal of the scientific fishing permit, by arguing that the sturgeon monitoring activities of the research institute served to aid the activities of poachers, who wait downs</w:t>
      </w:r>
      <w:r w:rsidR="00292E84">
        <w:rPr>
          <w:rFonts w:cs="Times New Roman"/>
          <w:color w:val="000000"/>
          <w:sz w:val="22"/>
        </w:rPr>
        <w:t>tream from the release sites to</w:t>
      </w:r>
      <w:r w:rsidRPr="00A245AA">
        <w:rPr>
          <w:rFonts w:cs="Times New Roman"/>
          <w:color w:val="000000"/>
          <w:sz w:val="22"/>
        </w:rPr>
        <w:t xml:space="preserve"> catch sturgeon that are still under the effects of the sedatives used when tagging the sturgeon. </w:t>
      </w:r>
    </w:p>
    <w:p w14:paraId="779076BE" w14:textId="77777777" w:rsidR="00292E84" w:rsidRDefault="00FE14D7" w:rsidP="003B354F">
      <w:pPr>
        <w:ind w:firstLine="720"/>
        <w:rPr>
          <w:rFonts w:cs="Times New Roman"/>
          <w:color w:val="000000"/>
          <w:sz w:val="22"/>
        </w:rPr>
      </w:pPr>
      <w:r>
        <w:rPr>
          <w:rFonts w:cs="Times New Roman"/>
          <w:color w:val="000000"/>
          <w:sz w:val="22"/>
        </w:rPr>
        <w:t xml:space="preserve">Irrespective of the speculation about the legality of the research team’s activities, there was a tangible concern amongst NGOs that scientific fishing on this scale could severely disrupt remaining </w:t>
      </w:r>
      <w:r>
        <w:rPr>
          <w:rFonts w:cs="Times New Roman"/>
          <w:color w:val="000000"/>
          <w:sz w:val="22"/>
        </w:rPr>
        <w:lastRenderedPageBreak/>
        <w:t>sturgeon populations. Ichthyologists described a ‘bounce-back’ phenomenon where</w:t>
      </w:r>
      <w:r w:rsidR="00292E84">
        <w:rPr>
          <w:rFonts w:cs="Times New Roman"/>
          <w:color w:val="000000"/>
          <w:sz w:val="22"/>
        </w:rPr>
        <w:t xml:space="preserve">by fish are sometimes </w:t>
      </w:r>
      <w:r>
        <w:rPr>
          <w:rFonts w:cs="Times New Roman"/>
          <w:color w:val="000000"/>
          <w:sz w:val="22"/>
        </w:rPr>
        <w:t xml:space="preserve">known to abandon their migration after being tagged; which effectively means that they abandon spawning. As the proposed scientific fishing would take place in key migration paths for sturgeon en-route to spawning grounds, this is particularly worrying. Thus, there exists a concern that: </w:t>
      </w:r>
    </w:p>
    <w:p w14:paraId="76540A62" w14:textId="482B0C76" w:rsidR="009C104B" w:rsidRPr="009C104B" w:rsidRDefault="00C211FC" w:rsidP="003B354F">
      <w:pPr>
        <w:pStyle w:val="Quote"/>
        <w:spacing w:before="160" w:after="300"/>
      </w:pPr>
      <w:r w:rsidRPr="00292E84">
        <w:t>T</w:t>
      </w:r>
      <w:r w:rsidR="00FE14D7" w:rsidRPr="00292E84">
        <w:t>he order will render useless the international agreement of the Lower Danube countries to restrict the sturgeon fishery until 2021. When sturgeons are so few, allowing them to capture so many individuals will have devastating effects for the remaining population… and now when international experts [have] attracted projects allowing them to do something meaningful for sturgeons, there will be no wild sturgeons to study as they will all be compromised</w:t>
      </w:r>
      <w:r w:rsidR="00292E84">
        <w:rPr>
          <w:rStyle w:val="FootnoteReference"/>
        </w:rPr>
        <w:footnoteReference w:id="273"/>
      </w:r>
    </w:p>
    <w:p w14:paraId="6F338F2C" w14:textId="77547277" w:rsidR="00FE14D7" w:rsidRDefault="00FE14D7" w:rsidP="003B354F">
      <w:pPr>
        <w:ind w:firstLine="720"/>
        <w:rPr>
          <w:rFonts w:cs="Times New Roman"/>
          <w:color w:val="000000"/>
          <w:sz w:val="22"/>
        </w:rPr>
      </w:pPr>
      <w:r>
        <w:rPr>
          <w:rFonts w:cs="Times New Roman"/>
          <w:color w:val="000000"/>
          <w:sz w:val="22"/>
        </w:rPr>
        <w:t>Notwithstanding these widespread concerns, the Ministry of Environment continues to support and actively promote the research team and scientific sturgeon fishing. Avram dec</w:t>
      </w:r>
      <w:r w:rsidR="00C211FC">
        <w:rPr>
          <w:rFonts w:cs="Times New Roman"/>
          <w:color w:val="000000"/>
          <w:sz w:val="22"/>
        </w:rPr>
        <w:t>lared that the government have “</w:t>
      </w:r>
      <w:r>
        <w:rPr>
          <w:rFonts w:cs="Times New Roman"/>
          <w:color w:val="000000"/>
          <w:sz w:val="22"/>
        </w:rPr>
        <w:t>recognised their monitoring scheme as a program of national pride to roll-out</w:t>
      </w:r>
      <w:r w:rsidR="00C211FC">
        <w:rPr>
          <w:rFonts w:cs="Times New Roman"/>
          <w:color w:val="000000"/>
          <w:sz w:val="22"/>
        </w:rPr>
        <w:t>”</w:t>
      </w:r>
      <w:r w:rsidRPr="005B292F">
        <w:rPr>
          <w:rStyle w:val="FootnoteReference"/>
        </w:rPr>
        <w:footnoteReference w:id="274"/>
      </w:r>
      <w:r>
        <w:rPr>
          <w:rFonts w:cs="Times New Roman"/>
          <w:color w:val="000000"/>
          <w:sz w:val="22"/>
        </w:rPr>
        <w:t xml:space="preserve">, and as such the institute has won multiple tenders from the Ministry of Environment to conduct further </w:t>
      </w:r>
      <w:r w:rsidR="00292E84">
        <w:rPr>
          <w:rFonts w:cs="Times New Roman"/>
          <w:color w:val="000000"/>
          <w:sz w:val="22"/>
        </w:rPr>
        <w:t xml:space="preserve">sturgeon-monitoring activities. </w:t>
      </w:r>
      <w:r>
        <w:rPr>
          <w:rFonts w:cs="Times New Roman"/>
          <w:color w:val="000000"/>
          <w:sz w:val="22"/>
        </w:rPr>
        <w:t xml:space="preserve">However these on-going activities are stymied by ANPA’s revocation of their fishing licence. As such, the Ministry of Environment issued </w:t>
      </w:r>
      <w:r>
        <w:rPr>
          <w:rFonts w:eastAsia="Times New Roman" w:cs="Times New Roman"/>
          <w:color w:val="000000"/>
          <w:sz w:val="22"/>
        </w:rPr>
        <w:t xml:space="preserve">Ministerial Order 384/2018 as a direct challenge to ANPA’s ruling. Interestingly this Ministerial Order was </w:t>
      </w:r>
      <w:r w:rsidRPr="00DE58FF">
        <w:rPr>
          <w:rFonts w:cs="Times New Roman"/>
          <w:color w:val="000000"/>
          <w:sz w:val="22"/>
        </w:rPr>
        <w:t>formulated in secret, and bypassed the two groups that could have provided scientific evidence to counter the decision: the CITES Scientific Authority for sturgeon in Romania, and the Working Group for Sturgeon Conservation - ironically established under the coordination of the Ministry of Environment in 2016 to provide support to the government for sturgeon related decisions</w:t>
      </w:r>
      <w:r>
        <w:rPr>
          <w:rFonts w:cs="Times New Roman"/>
          <w:color w:val="000000"/>
          <w:sz w:val="22"/>
        </w:rPr>
        <w:t>. ANPA refused to implement this order on the grounds that it is ‘illegal’; but as a result of political pressure and mounting tension, ANPA acquiesced and issued the research institute with a licence to scientifically fish 50 sturgeons. However Avram maintains that the refusal of ANPA to grant the full license for 375 sturgeons is ‘illegal’, and the research institute is commencing legal proceedings against the government agency</w:t>
      </w:r>
      <w:r w:rsidRPr="005B292F">
        <w:rPr>
          <w:rStyle w:val="FootnoteReference"/>
        </w:rPr>
        <w:footnoteReference w:id="275"/>
      </w:r>
      <w:r>
        <w:rPr>
          <w:rFonts w:cs="Times New Roman"/>
          <w:color w:val="000000"/>
          <w:sz w:val="22"/>
        </w:rPr>
        <w:t>.</w:t>
      </w:r>
    </w:p>
    <w:p w14:paraId="7DB83EC1" w14:textId="77777777" w:rsidR="00292E84" w:rsidRDefault="00FE14D7" w:rsidP="003B354F">
      <w:pPr>
        <w:ind w:firstLine="720"/>
        <w:rPr>
          <w:rFonts w:cs="Times New Roman"/>
          <w:color w:val="000000"/>
          <w:sz w:val="22"/>
        </w:rPr>
      </w:pPr>
      <w:r>
        <w:rPr>
          <w:rFonts w:cs="Times New Roman"/>
          <w:color w:val="000000"/>
          <w:sz w:val="22"/>
        </w:rPr>
        <w:t>Based upon these developments, NGO representat</w:t>
      </w:r>
      <w:r w:rsidR="00C211FC">
        <w:rPr>
          <w:rFonts w:cs="Times New Roman"/>
          <w:color w:val="000000"/>
          <w:sz w:val="22"/>
        </w:rPr>
        <w:t>ives have stressed the need to “investigate the ‘</w:t>
      </w:r>
      <w:r>
        <w:rPr>
          <w:rFonts w:cs="Times New Roman"/>
          <w:color w:val="000000"/>
          <w:sz w:val="22"/>
        </w:rPr>
        <w:t>particular</w:t>
      </w:r>
      <w:r w:rsidR="00C211FC">
        <w:rPr>
          <w:rFonts w:cs="Times New Roman"/>
          <w:color w:val="000000"/>
          <w:sz w:val="22"/>
        </w:rPr>
        <w:t>’</w:t>
      </w:r>
      <w:r>
        <w:rPr>
          <w:rFonts w:cs="Times New Roman"/>
          <w:color w:val="000000"/>
          <w:sz w:val="22"/>
        </w:rPr>
        <w:t xml:space="preserve"> interest of [the] Biodiversity Directorate for this institute, provided their dedicated efforts to promote this team despi</w:t>
      </w:r>
      <w:r w:rsidR="00C211FC">
        <w:rPr>
          <w:rFonts w:cs="Times New Roman"/>
          <w:color w:val="000000"/>
          <w:sz w:val="22"/>
        </w:rPr>
        <w:t>te their questionable expertise”</w:t>
      </w:r>
      <w:r w:rsidR="00C211FC" w:rsidRPr="005B292F">
        <w:rPr>
          <w:rStyle w:val="FootnoteReference"/>
        </w:rPr>
        <w:footnoteReference w:id="276"/>
      </w:r>
      <w:r w:rsidR="00C211FC">
        <w:rPr>
          <w:rFonts w:cs="Times New Roman"/>
          <w:color w:val="000000"/>
          <w:sz w:val="22"/>
        </w:rPr>
        <w:t xml:space="preserve">. </w:t>
      </w:r>
      <w:r>
        <w:rPr>
          <w:rFonts w:cs="Times New Roman"/>
          <w:color w:val="000000"/>
          <w:sz w:val="22"/>
        </w:rPr>
        <w:t xml:space="preserve">Indeed, I argue that the Biodiversity Directorate (Ministry of Environment) have geopolitical motivations that are realised by exploiting legislative grey areas and granting the research institute access to sturgeon via scientific fishing permits. By framing this as state-sponsored scientific research, the Biodiversity Directorate add credibility to the institute’s politically contentious results. In doing so, they go someway in silencing the dissenting voices from NGOs and other research institutes, who have cast doubt on both </w:t>
      </w:r>
      <w:r>
        <w:rPr>
          <w:rFonts w:cs="Times New Roman"/>
          <w:color w:val="000000"/>
          <w:sz w:val="22"/>
        </w:rPr>
        <w:lastRenderedPageBreak/>
        <w:t xml:space="preserve">the research institute’s methods, motivations and results; and the Biodiversity Directorate’s lackadaisical approach to </w:t>
      </w:r>
      <w:r w:rsidR="00C211FC">
        <w:rPr>
          <w:rFonts w:cs="Times New Roman"/>
          <w:color w:val="000000"/>
          <w:sz w:val="22"/>
        </w:rPr>
        <w:t xml:space="preserve">sturgeon conservation. </w:t>
      </w:r>
    </w:p>
    <w:p w14:paraId="28088891" w14:textId="50190CA1" w:rsidR="00FE14D7" w:rsidRPr="00117F9D" w:rsidRDefault="00C211FC" w:rsidP="00FE14D7">
      <w:pPr>
        <w:ind w:firstLine="720"/>
        <w:rPr>
          <w:rFonts w:cs="Times New Roman"/>
          <w:color w:val="000000"/>
          <w:sz w:val="22"/>
        </w:rPr>
      </w:pPr>
      <w:r>
        <w:rPr>
          <w:rFonts w:cs="Times New Roman"/>
          <w:color w:val="000000"/>
          <w:sz w:val="22"/>
        </w:rPr>
        <w:t>Moreover,</w:t>
      </w:r>
      <w:r w:rsidR="00FE14D7">
        <w:rPr>
          <w:rFonts w:cs="Times New Roman"/>
          <w:color w:val="000000"/>
          <w:sz w:val="22"/>
        </w:rPr>
        <w:t xml:space="preserve"> by granting</w:t>
      </w:r>
      <w:r w:rsidR="00FE14D7" w:rsidRPr="005B292F">
        <w:rPr>
          <w:rStyle w:val="FootnoteReference"/>
        </w:rPr>
        <w:footnoteReference w:id="277"/>
      </w:r>
      <w:r w:rsidR="00FE14D7">
        <w:rPr>
          <w:rFonts w:cs="Times New Roman"/>
          <w:color w:val="000000"/>
          <w:sz w:val="22"/>
        </w:rPr>
        <w:t xml:space="preserve"> the research institute access to sturgeon</w:t>
      </w:r>
      <w:r>
        <w:rPr>
          <w:rFonts w:cs="Times New Roman"/>
          <w:color w:val="000000"/>
          <w:sz w:val="22"/>
        </w:rPr>
        <w:t>,</w:t>
      </w:r>
      <w:r w:rsidR="00FE14D7">
        <w:rPr>
          <w:rFonts w:cs="Times New Roman"/>
          <w:color w:val="000000"/>
          <w:sz w:val="22"/>
        </w:rPr>
        <w:t xml:space="preserve"> the Biodiversity Directorate in turn acquire greater access to and control over wild sturgeons, as well as direct access to the data on sturgeon that the institute have kept hidden. Given that these data are not publicly available, the Biodiversity Directorate can selectively mobilise data that suits their geopolitical objectives – i.e</w:t>
      </w:r>
      <w:r w:rsidR="00AF77B2">
        <w:rPr>
          <w:rFonts w:cs="Times New Roman"/>
          <w:color w:val="000000"/>
          <w:sz w:val="22"/>
        </w:rPr>
        <w:t>.</w:t>
      </w:r>
      <w:r w:rsidR="00FE14D7">
        <w:rPr>
          <w:rFonts w:cs="Times New Roman"/>
          <w:color w:val="000000"/>
          <w:sz w:val="22"/>
        </w:rPr>
        <w:t xml:space="preserve"> to suggest that sturgeon are not impacted by their navigation projects. This serves to produce a narrative whereby the Biodiversity Directorate (Ministry of Environment) outwardly appear to be proactively supporting sturgeon conservation, by sponsoring scientific research in line with EU regulatory commitments</w:t>
      </w:r>
      <w:r w:rsidR="00AF77B2">
        <w:rPr>
          <w:rFonts w:cs="Times New Roman"/>
          <w:color w:val="000000"/>
          <w:sz w:val="22"/>
        </w:rPr>
        <w:t xml:space="preserve"> and the suggestion of CITES</w:t>
      </w:r>
      <w:r w:rsidR="00FE14D7">
        <w:rPr>
          <w:rFonts w:cs="Times New Roman"/>
          <w:color w:val="000000"/>
          <w:sz w:val="22"/>
        </w:rPr>
        <w:t>. The refusal of ANPA to grant the scientific fishing permits enables the Biodiversity Directorate and rese</w:t>
      </w:r>
      <w:r w:rsidR="00AF77B2">
        <w:rPr>
          <w:rFonts w:cs="Times New Roman"/>
          <w:color w:val="000000"/>
          <w:sz w:val="22"/>
        </w:rPr>
        <w:t>arch institute to promulgate a victim</w:t>
      </w:r>
      <w:r w:rsidR="00FE14D7">
        <w:rPr>
          <w:rFonts w:cs="Times New Roman"/>
          <w:color w:val="000000"/>
          <w:sz w:val="22"/>
        </w:rPr>
        <w:t xml:space="preserve"> narrative, while at the same time shutting out NGOs and other credible research institutes from accessing these project data. Thus, the Biodiversity Directorate (Ministry of Environment) exploit the grey areas around scientific fishing permits, in order to secure exclusive access to sturgeon a</w:t>
      </w:r>
      <w:r w:rsidR="00AF77B2">
        <w:rPr>
          <w:rFonts w:cs="Times New Roman"/>
          <w:color w:val="000000"/>
          <w:sz w:val="22"/>
        </w:rPr>
        <w:t>nd secret data on sturgeon. These</w:t>
      </w:r>
      <w:r w:rsidR="00FE14D7">
        <w:rPr>
          <w:rFonts w:cs="Times New Roman"/>
          <w:color w:val="000000"/>
          <w:sz w:val="22"/>
        </w:rPr>
        <w:t xml:space="preserve"> data can be mobilised in geopolitically expedient ways. </w:t>
      </w:r>
    </w:p>
    <w:p w14:paraId="6A6BE6A2" w14:textId="4D88FF64" w:rsidR="00FE14D7" w:rsidRDefault="00FE14D7" w:rsidP="00FE14D7">
      <w:pPr>
        <w:rPr>
          <w:rFonts w:eastAsia="Times New Roman" w:cs="Times New Roman"/>
          <w:sz w:val="22"/>
        </w:rPr>
      </w:pPr>
      <w:r w:rsidRPr="00A245AA">
        <w:rPr>
          <w:rFonts w:eastAsia="Times New Roman" w:cs="Times New Roman"/>
          <w:sz w:val="22"/>
        </w:rPr>
        <w:tab/>
        <w:t>Geopolitical motivations aside, the 2018 Ministerial Order granting the research institute acces</w:t>
      </w:r>
      <w:r w:rsidR="00C211FC">
        <w:rPr>
          <w:rFonts w:eastAsia="Times New Roman" w:cs="Times New Roman"/>
          <w:sz w:val="22"/>
        </w:rPr>
        <w:t>s to and control over 375</w:t>
      </w:r>
      <w:r w:rsidRPr="00A245AA">
        <w:rPr>
          <w:rFonts w:eastAsia="Times New Roman" w:cs="Times New Roman"/>
          <w:sz w:val="22"/>
        </w:rPr>
        <w:t xml:space="preserve"> wild sturgeon, has had subsequent geopolitical impacts that go-beyond the Romanian context. </w:t>
      </w:r>
      <w:r>
        <w:rPr>
          <w:rFonts w:eastAsia="Times New Roman" w:cs="Times New Roman"/>
          <w:sz w:val="22"/>
        </w:rPr>
        <w:t xml:space="preserve">In particular, the NGO sector has drawn attention to the wider geopolitical significance of exploiting the </w:t>
      </w:r>
      <w:r w:rsidR="00AF77B2">
        <w:rPr>
          <w:rFonts w:eastAsia="Times New Roman" w:cs="Times New Roman"/>
          <w:sz w:val="22"/>
        </w:rPr>
        <w:t>ambiguities</w:t>
      </w:r>
      <w:r>
        <w:rPr>
          <w:rFonts w:eastAsia="Times New Roman" w:cs="Times New Roman"/>
          <w:sz w:val="22"/>
        </w:rPr>
        <w:t xml:space="preserve"> in legislation for scientific fishing. First, NGOs pointed to the fact that the content of the Ministerial Order discounts credible scientific knowledge, and exploits grey areas in regulations for political gain. They highlighted their concern that this could set a precedent in the EU for contravening EU-wide agreements and discrediting science. </w:t>
      </w:r>
    </w:p>
    <w:p w14:paraId="48D549CE" w14:textId="77777777" w:rsidR="008C32CE" w:rsidRDefault="00FE14D7" w:rsidP="008C32CE">
      <w:pPr>
        <w:ind w:firstLine="720"/>
        <w:rPr>
          <w:rFonts w:eastAsia="Times New Roman" w:cs="Times New Roman"/>
          <w:color w:val="000000"/>
          <w:sz w:val="22"/>
        </w:rPr>
      </w:pPr>
      <w:r w:rsidRPr="00A245AA">
        <w:rPr>
          <w:rFonts w:eastAsia="Times New Roman" w:cs="Times New Roman"/>
          <w:sz w:val="22"/>
        </w:rPr>
        <w:t xml:space="preserve">Second, NGOs highlighted what they characterised as a distinct lack of </w:t>
      </w:r>
      <w:r>
        <w:rPr>
          <w:rFonts w:eastAsia="Times New Roman" w:cs="Times New Roman"/>
          <w:sz w:val="22"/>
        </w:rPr>
        <w:t xml:space="preserve">EU </w:t>
      </w:r>
      <w:r w:rsidRPr="00A245AA">
        <w:rPr>
          <w:rFonts w:eastAsia="Times New Roman" w:cs="Times New Roman"/>
          <w:sz w:val="22"/>
        </w:rPr>
        <w:t>high-level leadership or politic</w:t>
      </w:r>
      <w:r>
        <w:rPr>
          <w:rFonts w:eastAsia="Times New Roman" w:cs="Times New Roman"/>
          <w:sz w:val="22"/>
        </w:rPr>
        <w:t>al response to the situation in Romania</w:t>
      </w:r>
      <w:r w:rsidRPr="00A245AA">
        <w:rPr>
          <w:rFonts w:eastAsia="Times New Roman" w:cs="Times New Roman"/>
          <w:sz w:val="22"/>
        </w:rPr>
        <w:t xml:space="preserve">. </w:t>
      </w:r>
      <w:r w:rsidRPr="00A245AA">
        <w:rPr>
          <w:rFonts w:eastAsia="Times New Roman" w:cs="Times New Roman"/>
          <w:color w:val="000000"/>
          <w:sz w:val="22"/>
        </w:rPr>
        <w:t>NGO representatives s</w:t>
      </w:r>
      <w:r>
        <w:rPr>
          <w:rFonts w:eastAsia="Times New Roman" w:cs="Times New Roman"/>
          <w:color w:val="000000"/>
          <w:sz w:val="22"/>
        </w:rPr>
        <w:t>uggest</w:t>
      </w:r>
      <w:r w:rsidR="00541C53">
        <w:rPr>
          <w:rFonts w:eastAsia="Times New Roman" w:cs="Times New Roman"/>
          <w:color w:val="000000"/>
          <w:sz w:val="22"/>
        </w:rPr>
        <w:t>ed that the duty falls on them “</w:t>
      </w:r>
      <w:r w:rsidRPr="00A245AA">
        <w:rPr>
          <w:rFonts w:eastAsia="Times New Roman" w:cs="Times New Roman"/>
          <w:color w:val="000000"/>
          <w:sz w:val="22"/>
        </w:rPr>
        <w:t>to remind policymakers about the fact these policies and legislations exist, that they the</w:t>
      </w:r>
      <w:r w:rsidR="00541C53">
        <w:rPr>
          <w:rFonts w:eastAsia="Times New Roman" w:cs="Times New Roman"/>
          <w:color w:val="000000"/>
          <w:sz w:val="22"/>
        </w:rPr>
        <w:t>mselves have signed off on them”, and “</w:t>
      </w:r>
      <w:r w:rsidRPr="00A245AA">
        <w:rPr>
          <w:rFonts w:eastAsia="Times New Roman" w:cs="Times New Roman"/>
          <w:color w:val="000000"/>
          <w:sz w:val="22"/>
        </w:rPr>
        <w:t>to remind them about their own obligations</w:t>
      </w:r>
      <w:r w:rsidR="00541C53">
        <w:rPr>
          <w:rFonts w:eastAsia="Times New Roman" w:cs="Times New Roman"/>
          <w:color w:val="000000"/>
          <w:sz w:val="22"/>
        </w:rPr>
        <w:t>”</w:t>
      </w:r>
      <w:r w:rsidRPr="005B292F">
        <w:rPr>
          <w:rStyle w:val="FootnoteReference"/>
        </w:rPr>
        <w:footnoteReference w:id="278"/>
      </w:r>
      <w:r w:rsidRPr="00A245AA">
        <w:rPr>
          <w:rFonts w:eastAsia="Times New Roman" w:cs="Times New Roman"/>
          <w:color w:val="000000"/>
          <w:sz w:val="22"/>
        </w:rPr>
        <w:t>. This obligation to comply with policy is multi-scalar, and involves reminding both national policymakers and EU-level policymakers. How</w:t>
      </w:r>
      <w:r w:rsidR="00541C53">
        <w:rPr>
          <w:rFonts w:eastAsia="Times New Roman" w:cs="Times New Roman"/>
          <w:color w:val="000000"/>
          <w:sz w:val="22"/>
        </w:rPr>
        <w:t>ever, it was acknowledged that “</w:t>
      </w:r>
      <w:r w:rsidRPr="00A245AA">
        <w:rPr>
          <w:rFonts w:eastAsia="Times New Roman" w:cs="Times New Roman"/>
          <w:color w:val="000000"/>
          <w:sz w:val="22"/>
        </w:rPr>
        <w:t>nowadays the NGOs and civil society opinion are not really valued in Romania and hence NGO documents could be ignored</w:t>
      </w:r>
      <w:r w:rsidR="00541C53">
        <w:rPr>
          <w:rFonts w:eastAsia="Times New Roman" w:cs="Times New Roman"/>
          <w:color w:val="000000"/>
          <w:sz w:val="22"/>
        </w:rPr>
        <w:t>”</w:t>
      </w:r>
      <w:r w:rsidRPr="005B292F">
        <w:rPr>
          <w:rStyle w:val="FootnoteReference"/>
        </w:rPr>
        <w:footnoteReference w:id="279"/>
      </w:r>
      <w:r w:rsidRPr="00A245AA">
        <w:rPr>
          <w:rFonts w:eastAsia="Times New Roman" w:cs="Times New Roman"/>
          <w:color w:val="000000"/>
          <w:sz w:val="22"/>
        </w:rPr>
        <w:t>.</w:t>
      </w:r>
      <w:r>
        <w:rPr>
          <w:rFonts w:eastAsia="Times New Roman" w:cs="Times New Roman"/>
          <w:color w:val="000000"/>
          <w:sz w:val="22"/>
        </w:rPr>
        <w:t xml:space="preserve"> Indeed, there </w:t>
      </w:r>
      <w:r w:rsidRPr="00A245AA">
        <w:rPr>
          <w:rFonts w:eastAsia="Times New Roman" w:cs="Times New Roman"/>
          <w:color w:val="000000"/>
          <w:sz w:val="22"/>
        </w:rPr>
        <w:t>was</w:t>
      </w:r>
      <w:r>
        <w:rPr>
          <w:rFonts w:eastAsia="Times New Roman" w:cs="Times New Roman"/>
          <w:color w:val="000000"/>
          <w:sz w:val="22"/>
        </w:rPr>
        <w:t xml:space="preserve"> a demonstrable sense</w:t>
      </w:r>
      <w:r w:rsidRPr="00A245AA">
        <w:rPr>
          <w:rFonts w:eastAsia="Times New Roman" w:cs="Times New Roman"/>
          <w:color w:val="000000"/>
          <w:sz w:val="22"/>
        </w:rPr>
        <w:t xml:space="preserve"> that NGO’s</w:t>
      </w:r>
      <w:r>
        <w:rPr>
          <w:rFonts w:eastAsia="Times New Roman" w:cs="Times New Roman"/>
          <w:color w:val="000000"/>
          <w:sz w:val="22"/>
        </w:rPr>
        <w:t xml:space="preserve"> – and </w:t>
      </w:r>
      <w:r w:rsidR="00140F8A">
        <w:rPr>
          <w:rFonts w:eastAsia="Times New Roman" w:cs="Times New Roman"/>
          <w:color w:val="000000"/>
          <w:sz w:val="22"/>
        </w:rPr>
        <w:t xml:space="preserve">sturgeon </w:t>
      </w:r>
      <w:r>
        <w:rPr>
          <w:rFonts w:eastAsia="Times New Roman" w:cs="Times New Roman"/>
          <w:color w:val="000000"/>
          <w:sz w:val="22"/>
        </w:rPr>
        <w:t xml:space="preserve">scientists - </w:t>
      </w:r>
      <w:r w:rsidRPr="00A245AA">
        <w:rPr>
          <w:rFonts w:eastAsia="Times New Roman" w:cs="Times New Roman"/>
          <w:color w:val="000000"/>
          <w:sz w:val="22"/>
        </w:rPr>
        <w:t xml:space="preserve">in Romania </w:t>
      </w:r>
      <w:r w:rsidRPr="00A245AA">
        <w:rPr>
          <w:rFonts w:eastAsia="Times New Roman" w:cs="Times New Roman"/>
          <w:i/>
          <w:color w:val="000000"/>
          <w:sz w:val="22"/>
        </w:rPr>
        <w:t>are</w:t>
      </w:r>
      <w:r w:rsidRPr="00A245AA">
        <w:rPr>
          <w:rFonts w:eastAsia="Times New Roman" w:cs="Times New Roman"/>
          <w:color w:val="000000"/>
          <w:sz w:val="22"/>
        </w:rPr>
        <w:t xml:space="preserve"> being ignored. As a result NGOs and concerned civil society groups are increasingly seeking to access </w:t>
      </w:r>
      <w:r w:rsidRPr="00A245AA">
        <w:rPr>
          <w:rFonts w:eastAsia="Times New Roman" w:cs="Times New Roman"/>
          <w:color w:val="000000"/>
          <w:sz w:val="22"/>
        </w:rPr>
        <w:lastRenderedPageBreak/>
        <w:t>higher levels of political influence in the European Union, by reminding the E</w:t>
      </w:r>
      <w:r w:rsidR="00541C53">
        <w:rPr>
          <w:rFonts w:eastAsia="Times New Roman" w:cs="Times New Roman"/>
          <w:color w:val="000000"/>
          <w:sz w:val="22"/>
        </w:rPr>
        <w:t>U of the obligation to support Member S</w:t>
      </w:r>
      <w:r w:rsidRPr="00A245AA">
        <w:rPr>
          <w:rFonts w:eastAsia="Times New Roman" w:cs="Times New Roman"/>
          <w:color w:val="000000"/>
          <w:sz w:val="22"/>
        </w:rPr>
        <w:t>tates i</w:t>
      </w:r>
      <w:r>
        <w:rPr>
          <w:rFonts w:eastAsia="Times New Roman" w:cs="Times New Roman"/>
          <w:color w:val="000000"/>
          <w:sz w:val="22"/>
        </w:rPr>
        <w:t>n responding to issues that should be</w:t>
      </w:r>
      <w:r w:rsidRPr="00A245AA">
        <w:rPr>
          <w:rFonts w:eastAsia="Times New Roman" w:cs="Times New Roman"/>
          <w:color w:val="000000"/>
          <w:sz w:val="22"/>
        </w:rPr>
        <w:t xml:space="preserve"> of wider concern to the EU. </w:t>
      </w:r>
    </w:p>
    <w:p w14:paraId="42FDF6D5" w14:textId="397D4BC3" w:rsidR="00A6113F" w:rsidRPr="008C32CE" w:rsidRDefault="00FE14D7" w:rsidP="008C32CE">
      <w:pPr>
        <w:ind w:firstLine="720"/>
        <w:rPr>
          <w:rFonts w:eastAsia="Times New Roman" w:cs="Times New Roman"/>
          <w:color w:val="000000"/>
          <w:sz w:val="22"/>
        </w:rPr>
      </w:pPr>
      <w:r>
        <w:rPr>
          <w:rFonts w:eastAsia="Times New Roman"/>
          <w:color w:val="000000"/>
          <w:sz w:val="22"/>
        </w:rPr>
        <w:t xml:space="preserve">That being said, </w:t>
      </w:r>
      <w:r w:rsidRPr="00A245AA">
        <w:rPr>
          <w:rFonts w:eastAsia="Times New Roman"/>
          <w:color w:val="000000"/>
          <w:sz w:val="22"/>
        </w:rPr>
        <w:t xml:space="preserve">sturgeon are on the radar of the EU. In fact, </w:t>
      </w:r>
      <w:r>
        <w:rPr>
          <w:color w:val="000000"/>
          <w:sz w:val="22"/>
        </w:rPr>
        <w:t>the EU institutions have played a central role in cementing</w:t>
      </w:r>
      <w:r w:rsidRPr="00A245AA">
        <w:rPr>
          <w:color w:val="000000"/>
          <w:sz w:val="22"/>
        </w:rPr>
        <w:t xml:space="preserve"> t</w:t>
      </w:r>
      <w:r w:rsidR="00140F8A">
        <w:rPr>
          <w:color w:val="000000"/>
          <w:sz w:val="22"/>
        </w:rPr>
        <w:t>he narrative that sturgeon are “</w:t>
      </w:r>
      <w:r w:rsidRPr="00A245AA">
        <w:rPr>
          <w:color w:val="000000"/>
          <w:sz w:val="22"/>
        </w:rPr>
        <w:t>an emblematic species</w:t>
      </w:r>
      <w:r w:rsidR="00140F8A">
        <w:rPr>
          <w:color w:val="000000"/>
          <w:sz w:val="22"/>
        </w:rPr>
        <w:t>”</w:t>
      </w:r>
      <w:r w:rsidRPr="005B292F">
        <w:rPr>
          <w:rStyle w:val="FootnoteReference"/>
        </w:rPr>
        <w:footnoteReference w:id="280"/>
      </w:r>
      <w:r w:rsidRPr="00A245AA">
        <w:rPr>
          <w:color w:val="000000"/>
          <w:sz w:val="22"/>
        </w:rPr>
        <w:t xml:space="preserve"> in Europe. The EU has provided funding for projects focused on sturgeon conservation</w:t>
      </w:r>
      <w:r>
        <w:rPr>
          <w:color w:val="000000"/>
          <w:sz w:val="22"/>
        </w:rPr>
        <w:t xml:space="preserve"> and tackling illegal caviar trade</w:t>
      </w:r>
      <w:r w:rsidRPr="00A245AA">
        <w:rPr>
          <w:color w:val="000000"/>
          <w:sz w:val="22"/>
        </w:rPr>
        <w:t>, such as the WWF Life for Danube Sturgeon</w:t>
      </w:r>
      <w:r>
        <w:rPr>
          <w:color w:val="000000"/>
          <w:sz w:val="22"/>
        </w:rPr>
        <w:t>s project. S</w:t>
      </w:r>
      <w:r w:rsidRPr="00A245AA">
        <w:rPr>
          <w:color w:val="000000"/>
          <w:sz w:val="22"/>
        </w:rPr>
        <w:t xml:space="preserve">turgeon </w:t>
      </w:r>
      <w:r>
        <w:rPr>
          <w:color w:val="000000"/>
          <w:sz w:val="22"/>
        </w:rPr>
        <w:t>conservation and trade issues</w:t>
      </w:r>
      <w:r w:rsidRPr="00A245AA">
        <w:rPr>
          <w:color w:val="000000"/>
          <w:sz w:val="22"/>
        </w:rPr>
        <w:t xml:space="preserve"> have </w:t>
      </w:r>
      <w:r>
        <w:rPr>
          <w:color w:val="000000"/>
          <w:sz w:val="22"/>
        </w:rPr>
        <w:t xml:space="preserve">also </w:t>
      </w:r>
      <w:r w:rsidRPr="00A245AA">
        <w:rPr>
          <w:color w:val="000000"/>
          <w:sz w:val="22"/>
        </w:rPr>
        <w:t xml:space="preserve">been integrated into the priority areas of the European Union co-funded EU Strategy for the Danube Region (EUSDR). However, NGOs and caviar industry representatives working in Romania, </w:t>
      </w:r>
      <w:r>
        <w:rPr>
          <w:color w:val="000000"/>
          <w:sz w:val="22"/>
        </w:rPr>
        <w:t xml:space="preserve">expressed frustration at the difficulties they have faced in eliciting EU support to challenge the </w:t>
      </w:r>
      <w:r w:rsidR="00140F8A">
        <w:rPr>
          <w:color w:val="000000"/>
          <w:sz w:val="22"/>
        </w:rPr>
        <w:t xml:space="preserve">issuing of scientific fishing permits </w:t>
      </w:r>
      <w:r>
        <w:rPr>
          <w:color w:val="000000"/>
          <w:sz w:val="22"/>
        </w:rPr>
        <w:t>for research that exists in a scientific, political and moral grey area. Aside from the ineffective letter sent by DG REGIO to the General Director of the Romanian Ministry of Regional Development, Public Administration and European Funds, the EU institutions have ma</w:t>
      </w:r>
      <w:r w:rsidR="00140F8A">
        <w:rPr>
          <w:color w:val="000000"/>
          <w:sz w:val="22"/>
        </w:rPr>
        <w:t xml:space="preserve">de no further intervening moves to date. </w:t>
      </w:r>
      <w:r>
        <w:rPr>
          <w:color w:val="000000"/>
          <w:sz w:val="22"/>
        </w:rPr>
        <w:t xml:space="preserve"> </w:t>
      </w:r>
    </w:p>
    <w:p w14:paraId="2B707E1A" w14:textId="1BBA702E" w:rsidR="008C32CE" w:rsidRPr="00C6181B" w:rsidRDefault="00140F8A" w:rsidP="008C32CE">
      <w:pPr>
        <w:pStyle w:val="NormalWeb"/>
        <w:spacing w:before="0" w:beforeAutospacing="0" w:after="0" w:afterAutospacing="0" w:line="360" w:lineRule="auto"/>
        <w:ind w:firstLine="720"/>
        <w:jc w:val="both"/>
        <w:rPr>
          <w:color w:val="000000"/>
          <w:sz w:val="22"/>
          <w:szCs w:val="22"/>
        </w:rPr>
      </w:pPr>
      <w:r>
        <w:rPr>
          <w:color w:val="000000"/>
          <w:sz w:val="22"/>
          <w:szCs w:val="22"/>
        </w:rPr>
        <w:t>Sturgeon farmer and caviar producer Danut</w:t>
      </w:r>
      <w:r w:rsidR="00FE14D7">
        <w:rPr>
          <w:color w:val="000000"/>
          <w:sz w:val="22"/>
          <w:szCs w:val="22"/>
        </w:rPr>
        <w:t xml:space="preserve"> recounted his struggles</w:t>
      </w:r>
      <w:r w:rsidR="00FE14D7" w:rsidRPr="00A245AA">
        <w:rPr>
          <w:color w:val="000000"/>
          <w:sz w:val="22"/>
          <w:szCs w:val="22"/>
        </w:rPr>
        <w:t xml:space="preserve"> to receive support from highe</w:t>
      </w:r>
      <w:r>
        <w:rPr>
          <w:color w:val="000000"/>
          <w:sz w:val="22"/>
          <w:szCs w:val="22"/>
        </w:rPr>
        <w:t xml:space="preserve">r political levels in the EU, after </w:t>
      </w:r>
      <w:r w:rsidR="00FE14D7" w:rsidRPr="00A245AA">
        <w:rPr>
          <w:color w:val="000000"/>
          <w:sz w:val="22"/>
          <w:szCs w:val="22"/>
        </w:rPr>
        <w:t>uncovering issues with the manner in which individuals in the Romanian government issued scientific fishing permits. As a result, Danut vociferously expressed his disappoin</w:t>
      </w:r>
      <w:r>
        <w:rPr>
          <w:color w:val="000000"/>
          <w:sz w:val="22"/>
          <w:szCs w:val="22"/>
        </w:rPr>
        <w:t>tment with the European Union: “</w:t>
      </w:r>
      <w:r w:rsidR="00FE14D7" w:rsidRPr="00A245AA">
        <w:rPr>
          <w:color w:val="000000"/>
          <w:sz w:val="22"/>
          <w:szCs w:val="22"/>
        </w:rPr>
        <w:t>You have to blame very strongly the EU, for stepping back on the ‘flagship of Europe’, sturgeon. If we don’t have t</w:t>
      </w:r>
      <w:r w:rsidR="00FE14D7">
        <w:rPr>
          <w:color w:val="000000"/>
          <w:sz w:val="22"/>
          <w:szCs w:val="22"/>
        </w:rPr>
        <w:t>he support of the EU, it’s over</w:t>
      </w:r>
      <w:r>
        <w:rPr>
          <w:color w:val="000000"/>
          <w:sz w:val="22"/>
          <w:szCs w:val="22"/>
        </w:rPr>
        <w:t>”</w:t>
      </w:r>
      <w:r w:rsidR="00FE14D7" w:rsidRPr="005B292F">
        <w:rPr>
          <w:rStyle w:val="FootnoteReference"/>
        </w:rPr>
        <w:footnoteReference w:id="281"/>
      </w:r>
      <w:r w:rsidR="00FE14D7" w:rsidRPr="00A245AA">
        <w:rPr>
          <w:color w:val="000000"/>
          <w:sz w:val="22"/>
          <w:szCs w:val="22"/>
        </w:rPr>
        <w:t>. Similarly, representatives of NGOs criticised t</w:t>
      </w:r>
      <w:r>
        <w:rPr>
          <w:color w:val="000000"/>
          <w:sz w:val="22"/>
          <w:szCs w:val="22"/>
        </w:rPr>
        <w:t>he EU for being too hands-off: “</w:t>
      </w:r>
      <w:r w:rsidR="00FE14D7" w:rsidRPr="00A245AA">
        <w:rPr>
          <w:color w:val="000000"/>
          <w:sz w:val="22"/>
          <w:szCs w:val="22"/>
        </w:rPr>
        <w:t>These issues are happening in Europe and not enough is being done about it… just because a new member state joins the EU, the issues they have will not just go away... it’s time to show the EU is walking the talk at home, not only pointing the finger at Asians and Africans</w:t>
      </w:r>
      <w:r>
        <w:rPr>
          <w:color w:val="000000"/>
          <w:sz w:val="22"/>
          <w:szCs w:val="22"/>
        </w:rPr>
        <w:t>”</w:t>
      </w:r>
      <w:r w:rsidR="00FE14D7" w:rsidRPr="005B292F">
        <w:rPr>
          <w:rStyle w:val="FootnoteReference"/>
        </w:rPr>
        <w:footnoteReference w:id="282"/>
      </w:r>
      <w:r w:rsidR="00FE14D7" w:rsidRPr="00A245AA">
        <w:rPr>
          <w:color w:val="000000"/>
          <w:sz w:val="22"/>
          <w:szCs w:val="22"/>
        </w:rPr>
        <w:t>. Unfortunately though, the calls for the EU to step in to more proactively influence the situation in Romania, comes at a time when sturgeon and caviar h</w:t>
      </w:r>
      <w:r>
        <w:rPr>
          <w:color w:val="000000"/>
          <w:sz w:val="22"/>
          <w:szCs w:val="22"/>
        </w:rPr>
        <w:t>ave been downgraded</w:t>
      </w:r>
      <w:r w:rsidR="00FE14D7" w:rsidRPr="00A245AA">
        <w:rPr>
          <w:color w:val="000000"/>
          <w:sz w:val="22"/>
          <w:szCs w:val="22"/>
        </w:rPr>
        <w:t xml:space="preserve"> as a European Commission CITES priority area, and when policymakers have suggested that tackling </w:t>
      </w:r>
      <w:r w:rsidR="00FE14D7">
        <w:rPr>
          <w:color w:val="000000"/>
          <w:sz w:val="22"/>
          <w:szCs w:val="22"/>
        </w:rPr>
        <w:t>sturge</w:t>
      </w:r>
      <w:r>
        <w:rPr>
          <w:color w:val="000000"/>
          <w:sz w:val="22"/>
          <w:szCs w:val="22"/>
        </w:rPr>
        <w:t>on crimes has to be a priority “</w:t>
      </w:r>
      <w:r w:rsidR="00FE14D7" w:rsidRPr="00A245AA">
        <w:rPr>
          <w:color w:val="000000"/>
          <w:sz w:val="22"/>
          <w:szCs w:val="22"/>
        </w:rPr>
        <w:t>more for the regions, within the countries, the range states concerned.</w:t>
      </w:r>
      <w:r>
        <w:rPr>
          <w:color w:val="000000"/>
          <w:sz w:val="22"/>
          <w:szCs w:val="22"/>
        </w:rPr>
        <w:t>”</w:t>
      </w:r>
      <w:r w:rsidR="00FE14D7" w:rsidRPr="005B292F">
        <w:rPr>
          <w:rStyle w:val="FootnoteReference"/>
        </w:rPr>
        <w:footnoteReference w:id="283"/>
      </w:r>
      <w:r w:rsidR="00FE14D7" w:rsidRPr="00A245AA">
        <w:rPr>
          <w:color w:val="000000"/>
          <w:sz w:val="22"/>
          <w:szCs w:val="22"/>
        </w:rPr>
        <w:t xml:space="preserve">. </w:t>
      </w:r>
    </w:p>
    <w:p w14:paraId="1820EAB8" w14:textId="5044590A" w:rsidR="00FE14D7" w:rsidRPr="00A245AA" w:rsidRDefault="00FE14D7" w:rsidP="00FE14D7">
      <w:pPr>
        <w:spacing w:after="240"/>
        <w:rPr>
          <w:rFonts w:cs="Times New Roman"/>
          <w:color w:val="000000"/>
          <w:sz w:val="22"/>
        </w:rPr>
      </w:pPr>
      <w:r w:rsidRPr="00A245AA">
        <w:rPr>
          <w:rFonts w:cs="Times New Roman"/>
          <w:color w:val="000000"/>
          <w:sz w:val="22"/>
        </w:rPr>
        <w:tab/>
      </w:r>
      <w:r>
        <w:rPr>
          <w:rFonts w:cs="Times New Roman"/>
          <w:color w:val="000000"/>
          <w:sz w:val="22"/>
        </w:rPr>
        <w:t xml:space="preserve">This example has illustrated how the issuance of scientific sturgeon fishing permits is a geopolitical issue in the EU. Scientific fishing is a regulatory grey area, and I have demonstrated how the Romanian Biodiversity Directorate exploit this grey area for geopolitical motivations. Moreover, I show how the </w:t>
      </w:r>
      <w:r w:rsidR="00AF77B2">
        <w:rPr>
          <w:rFonts w:cs="Times New Roman"/>
          <w:color w:val="000000"/>
          <w:sz w:val="22"/>
        </w:rPr>
        <w:t>legislative ambiguities</w:t>
      </w:r>
      <w:r>
        <w:rPr>
          <w:rFonts w:cs="Times New Roman"/>
          <w:color w:val="000000"/>
          <w:sz w:val="22"/>
        </w:rPr>
        <w:t xml:space="preserve"> around scientific fishing permits have had broader geopolitical consequences. Namely, NGOs and caviar industry representatives have attempted to draw international political attention to the injustices they perceive to be occurring in Romania: whereby scientific evidence and civil society voices are being side-lined in favour of practices that may be </w:t>
      </w:r>
      <w:r>
        <w:rPr>
          <w:rFonts w:cs="Times New Roman"/>
          <w:color w:val="000000"/>
          <w:sz w:val="22"/>
        </w:rPr>
        <w:lastRenderedPageBreak/>
        <w:t xml:space="preserve">destructive to sturgeon. </w:t>
      </w:r>
      <w:r w:rsidRPr="00A245AA">
        <w:rPr>
          <w:rFonts w:cs="Times New Roman"/>
          <w:color w:val="000000"/>
          <w:sz w:val="22"/>
        </w:rPr>
        <w:t xml:space="preserve">This in turn has raised </w:t>
      </w:r>
      <w:r w:rsidR="00AF77B2">
        <w:rPr>
          <w:rFonts w:cs="Times New Roman"/>
          <w:color w:val="000000"/>
          <w:sz w:val="22"/>
        </w:rPr>
        <w:t xml:space="preserve">pertinent </w:t>
      </w:r>
      <w:r w:rsidRPr="00A245AA">
        <w:rPr>
          <w:rFonts w:cs="Times New Roman"/>
          <w:color w:val="000000"/>
          <w:sz w:val="22"/>
        </w:rPr>
        <w:t>geopolitical questions about the</w:t>
      </w:r>
      <w:r w:rsidR="00AF77B2">
        <w:rPr>
          <w:rFonts w:cs="Times New Roman"/>
          <w:color w:val="000000"/>
          <w:sz w:val="22"/>
        </w:rPr>
        <w:t xml:space="preserve"> role the</w:t>
      </w:r>
      <w:r w:rsidRPr="00A245AA">
        <w:rPr>
          <w:rFonts w:cs="Times New Roman"/>
          <w:color w:val="000000"/>
          <w:sz w:val="22"/>
        </w:rPr>
        <w:t xml:space="preserve"> EU should have in investigating or challenging thes</w:t>
      </w:r>
      <w:r>
        <w:rPr>
          <w:rFonts w:cs="Times New Roman"/>
          <w:color w:val="000000"/>
          <w:sz w:val="22"/>
        </w:rPr>
        <w:t>e potentially unjust practices</w:t>
      </w:r>
      <w:r w:rsidR="00140F8A" w:rsidRPr="005B292F">
        <w:rPr>
          <w:rStyle w:val="FootnoteReference"/>
        </w:rPr>
        <w:footnoteReference w:id="284"/>
      </w:r>
      <w:r>
        <w:rPr>
          <w:rFonts w:cs="Times New Roman"/>
          <w:color w:val="000000"/>
          <w:sz w:val="22"/>
        </w:rPr>
        <w:t xml:space="preserve">. </w:t>
      </w:r>
      <w:r w:rsidRPr="00A245AA">
        <w:rPr>
          <w:rFonts w:cs="Times New Roman"/>
          <w:color w:val="000000"/>
          <w:sz w:val="22"/>
        </w:rPr>
        <w:t>However, the narrative the Romanian government is able to deploy through their access to sturgeon and scientific data about sturgeon, fits with the stance of the EU: that the range states should be taking primary responsibility for their sturgeo</w:t>
      </w:r>
      <w:r>
        <w:rPr>
          <w:rFonts w:cs="Times New Roman"/>
          <w:color w:val="000000"/>
          <w:sz w:val="22"/>
        </w:rPr>
        <w:t xml:space="preserve">n </w:t>
      </w:r>
      <w:r w:rsidR="008C32CE">
        <w:rPr>
          <w:rFonts w:cs="Times New Roman"/>
          <w:color w:val="000000"/>
          <w:sz w:val="22"/>
        </w:rPr>
        <w:t xml:space="preserve">stocks. As a result, dissenting </w:t>
      </w:r>
      <w:r>
        <w:rPr>
          <w:rFonts w:cs="Times New Roman"/>
          <w:color w:val="000000"/>
          <w:sz w:val="22"/>
        </w:rPr>
        <w:t>voices in Romania and beyond felt that the EU is overlooking their concerns</w:t>
      </w:r>
      <w:r w:rsidR="008C32CE">
        <w:rPr>
          <w:rFonts w:cs="Times New Roman"/>
          <w:color w:val="000000"/>
          <w:sz w:val="22"/>
        </w:rPr>
        <w:t xml:space="preserve"> and obligation to sturgeon</w:t>
      </w:r>
      <w:r>
        <w:rPr>
          <w:rFonts w:cs="Times New Roman"/>
          <w:color w:val="000000"/>
          <w:sz w:val="22"/>
        </w:rPr>
        <w:t xml:space="preserve">. Thus, I demonstrate how the impacts of the regulatory grey areas around scientific fishing result in sturgeon becoming the subject of </w:t>
      </w:r>
      <w:r w:rsidRPr="00A245AA">
        <w:rPr>
          <w:rFonts w:cs="Times New Roman"/>
          <w:color w:val="000000"/>
          <w:sz w:val="22"/>
        </w:rPr>
        <w:t>complex</w:t>
      </w:r>
      <w:r>
        <w:rPr>
          <w:rFonts w:cs="Times New Roman"/>
          <w:color w:val="000000"/>
          <w:sz w:val="22"/>
        </w:rPr>
        <w:t xml:space="preserve"> power politics in the EU.  </w:t>
      </w:r>
    </w:p>
    <w:p w14:paraId="41D95A87" w14:textId="56C811F2" w:rsidR="00FE14D7" w:rsidRDefault="00FE14D7" w:rsidP="00FE14D7">
      <w:pPr>
        <w:pStyle w:val="Heading3"/>
      </w:pPr>
      <w:bookmarkStart w:id="98" w:name="_Toc453224255"/>
      <w:r>
        <w:t>8.</w:t>
      </w:r>
      <w:r w:rsidR="000B0084">
        <w:t>1</w:t>
      </w:r>
      <w:r w:rsidRPr="00A245AA">
        <w:t>.2 Designation of shared stocks in the Black Sea</w:t>
      </w:r>
      <w:bookmarkEnd w:id="98"/>
    </w:p>
    <w:p w14:paraId="4A72C409" w14:textId="1364D2C9" w:rsidR="00FE14D7" w:rsidRDefault="00FE14D7" w:rsidP="003B354F">
      <w:pPr>
        <w:rPr>
          <w:rFonts w:cs="Times New Roman"/>
          <w:color w:val="000000"/>
          <w:sz w:val="22"/>
        </w:rPr>
      </w:pPr>
      <w:r w:rsidRPr="00A245AA">
        <w:rPr>
          <w:rFonts w:cs="Times New Roman"/>
          <w:color w:val="000000"/>
          <w:sz w:val="22"/>
        </w:rPr>
        <w:t>Geopolitics has long underwritten the conservation of sturgeon</w:t>
      </w:r>
      <w:r>
        <w:rPr>
          <w:rFonts w:cs="Times New Roman"/>
          <w:color w:val="000000"/>
          <w:sz w:val="22"/>
        </w:rPr>
        <w:t xml:space="preserve"> and the regulation of the caviar trade. For example </w:t>
      </w:r>
      <w:r w:rsidR="000B0084">
        <w:rPr>
          <w:rFonts w:cs="Times New Roman"/>
          <w:color w:val="000000"/>
          <w:sz w:val="22"/>
        </w:rPr>
        <w:t>ex-</w:t>
      </w:r>
      <w:r w:rsidRPr="00A245AA">
        <w:rPr>
          <w:rFonts w:cs="Times New Roman"/>
          <w:color w:val="000000"/>
          <w:sz w:val="22"/>
        </w:rPr>
        <w:t xml:space="preserve">enforcement officer </w:t>
      </w:r>
      <w:r w:rsidR="000B0084">
        <w:rPr>
          <w:rFonts w:cs="Times New Roman"/>
          <w:color w:val="000000"/>
          <w:sz w:val="22"/>
        </w:rPr>
        <w:t xml:space="preserve">Michael, </w:t>
      </w:r>
      <w:r w:rsidRPr="00A245AA">
        <w:rPr>
          <w:rFonts w:cs="Times New Roman"/>
          <w:color w:val="000000"/>
          <w:sz w:val="22"/>
        </w:rPr>
        <w:t>explain</w:t>
      </w:r>
      <w:r w:rsidR="0025142A">
        <w:rPr>
          <w:rFonts w:cs="Times New Roman"/>
          <w:color w:val="000000"/>
          <w:sz w:val="22"/>
        </w:rPr>
        <w:t>ed that “</w:t>
      </w:r>
      <w:r w:rsidRPr="00A245AA">
        <w:rPr>
          <w:rFonts w:cs="Times New Roman"/>
          <w:color w:val="000000"/>
          <w:sz w:val="22"/>
        </w:rPr>
        <w:t>the thing the CITES Secretariat was constantly battling against… was just the geopolitics</w:t>
      </w:r>
      <w:r w:rsidR="0025142A">
        <w:rPr>
          <w:rFonts w:cs="Times New Roman"/>
          <w:color w:val="000000"/>
          <w:sz w:val="22"/>
        </w:rPr>
        <w:t>”</w:t>
      </w:r>
      <w:r w:rsidRPr="005B292F">
        <w:rPr>
          <w:rStyle w:val="FootnoteReference"/>
        </w:rPr>
        <w:footnoteReference w:id="285"/>
      </w:r>
      <w:r w:rsidRPr="00A245AA">
        <w:rPr>
          <w:rFonts w:cs="Times New Roman"/>
          <w:color w:val="000000"/>
          <w:sz w:val="22"/>
        </w:rPr>
        <w:t>.</w:t>
      </w:r>
      <w:r>
        <w:rPr>
          <w:rFonts w:cs="Times New Roman"/>
          <w:color w:val="000000"/>
          <w:sz w:val="22"/>
        </w:rPr>
        <w:t xml:space="preserve"> In this second empirical example I continue to focus on how geopolitical actors capitalise upon </w:t>
      </w:r>
      <w:r w:rsidR="000B0084">
        <w:rPr>
          <w:rFonts w:cs="Times New Roman"/>
          <w:color w:val="000000"/>
          <w:sz w:val="22"/>
        </w:rPr>
        <w:t>ambiguities</w:t>
      </w:r>
      <w:r>
        <w:rPr>
          <w:rFonts w:cs="Times New Roman"/>
          <w:color w:val="000000"/>
          <w:sz w:val="22"/>
        </w:rPr>
        <w:t xml:space="preserve"> in caviar trade regulations for implicit geopolitical purposes. I further my argument that sturgeon are unlikely geopolitical subjects, by examining how actors use sturgeon conservation as a way of initiating geopolitical moves in the Black Sea. I demonstrate how at their core, these geopolitical moves are linked to issues of territory and sovereignty. </w:t>
      </w:r>
    </w:p>
    <w:p w14:paraId="2FD762B0" w14:textId="77535368" w:rsidR="00FE14D7" w:rsidRDefault="00FE14D7" w:rsidP="003B354F">
      <w:pPr>
        <w:rPr>
          <w:rFonts w:cs="Times New Roman"/>
          <w:color w:val="000000"/>
          <w:sz w:val="22"/>
        </w:rPr>
      </w:pPr>
      <w:r>
        <w:rPr>
          <w:rFonts w:cs="Times New Roman"/>
          <w:color w:val="000000"/>
          <w:sz w:val="22"/>
        </w:rPr>
        <w:tab/>
        <w:t xml:space="preserve"> The situation regarding sturgeon management </w:t>
      </w:r>
      <w:r w:rsidR="0025142A">
        <w:rPr>
          <w:rFonts w:cs="Times New Roman"/>
          <w:color w:val="000000"/>
          <w:sz w:val="22"/>
        </w:rPr>
        <w:t>in the Black Sea is said to be “</w:t>
      </w:r>
      <w:r>
        <w:rPr>
          <w:rFonts w:cs="Times New Roman"/>
          <w:color w:val="000000"/>
          <w:sz w:val="22"/>
        </w:rPr>
        <w:t>a complete disaster. In terms of sturgeon conservation… the Black Sea is the ‘Wild East’</w:t>
      </w:r>
      <w:r w:rsidR="0025142A">
        <w:rPr>
          <w:rFonts w:cs="Times New Roman"/>
          <w:color w:val="000000"/>
          <w:sz w:val="22"/>
        </w:rPr>
        <w:t>”</w:t>
      </w:r>
      <w:r w:rsidRPr="005B292F">
        <w:rPr>
          <w:rStyle w:val="FootnoteReference"/>
        </w:rPr>
        <w:footnoteReference w:id="286"/>
      </w:r>
      <w:r w:rsidRPr="00A245AA">
        <w:rPr>
          <w:rFonts w:cs="Times New Roman"/>
          <w:color w:val="000000"/>
          <w:sz w:val="22"/>
        </w:rPr>
        <w:t>. Indeed, a representative of the Romanian National Agency for Fisheries and Aquaculture (ANPA) further emphasised the sensitive geopolitical nature of mana</w:t>
      </w:r>
      <w:r>
        <w:rPr>
          <w:rFonts w:cs="Times New Roman"/>
          <w:color w:val="000000"/>
          <w:sz w:val="22"/>
        </w:rPr>
        <w:t>ging fisheries in the Black Sea:</w:t>
      </w:r>
    </w:p>
    <w:p w14:paraId="74F1D679" w14:textId="2E580929" w:rsidR="00FE14D7" w:rsidRDefault="00FE14D7" w:rsidP="003B354F">
      <w:pPr>
        <w:pStyle w:val="Quote"/>
      </w:pPr>
      <w:r w:rsidRPr="0023100E">
        <w:t>The problem of the Black sea is strategic... and more important than we could imagine. There are lots of problems politically speaking for the management of species in the Black Sea… it’s very hot water</w:t>
      </w:r>
      <w:r w:rsidRPr="005B292F">
        <w:rPr>
          <w:rStyle w:val="FootnoteReference"/>
        </w:rPr>
        <w:footnoteReference w:id="287"/>
      </w:r>
      <w:r w:rsidRPr="00A245AA">
        <w:t xml:space="preserve">. </w:t>
      </w:r>
    </w:p>
    <w:p w14:paraId="7CBDC64E" w14:textId="2CE1BC3D" w:rsidR="00FE14D7" w:rsidRDefault="00FE14D7" w:rsidP="003B354F">
      <w:pPr>
        <w:rPr>
          <w:rFonts w:cs="Times New Roman"/>
          <w:color w:val="000000"/>
          <w:sz w:val="22"/>
        </w:rPr>
      </w:pPr>
      <w:r w:rsidRPr="00A245AA">
        <w:rPr>
          <w:rFonts w:cs="Times New Roman"/>
          <w:color w:val="000000"/>
          <w:sz w:val="22"/>
        </w:rPr>
        <w:t xml:space="preserve">The following empirical material deftly demonstrates the hot water and icy </w:t>
      </w:r>
      <w:r>
        <w:rPr>
          <w:rFonts w:cs="Times New Roman"/>
          <w:color w:val="000000"/>
          <w:sz w:val="22"/>
        </w:rPr>
        <w:t>geopolitical relations that have u</w:t>
      </w:r>
      <w:r w:rsidR="000B0084">
        <w:rPr>
          <w:rFonts w:cs="Times New Roman"/>
          <w:color w:val="000000"/>
          <w:sz w:val="22"/>
        </w:rPr>
        <w:t>nfolded following the implementation</w:t>
      </w:r>
      <w:r>
        <w:rPr>
          <w:rFonts w:cs="Times New Roman"/>
          <w:color w:val="000000"/>
          <w:sz w:val="22"/>
        </w:rPr>
        <w:t xml:space="preserve"> of caviar trade regulations in the Black Sea region.</w:t>
      </w:r>
    </w:p>
    <w:p w14:paraId="4D241C50" w14:textId="34766CA4" w:rsidR="00181DE3" w:rsidRDefault="00317EC1" w:rsidP="00FE14D7">
      <w:pPr>
        <w:spacing w:after="240"/>
        <w:rPr>
          <w:rFonts w:cs="Times New Roman"/>
          <w:color w:val="000000"/>
          <w:sz w:val="22"/>
        </w:rPr>
      </w:pPr>
      <w:r>
        <w:rPr>
          <w:rFonts w:cs="Times New Roman"/>
          <w:noProof/>
          <w:color w:val="000000"/>
          <w:sz w:val="22"/>
          <w:lang w:val="en-US" w:eastAsia="en-US"/>
        </w:rPr>
        <w:lastRenderedPageBreak/>
        <w:drawing>
          <wp:inline distT="0" distB="0" distL="0" distR="0" wp14:anchorId="3E3292DD" wp14:editId="67FCD5A8">
            <wp:extent cx="5731510" cy="4368165"/>
            <wp:effectExtent l="0" t="0" r="889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 Sea.png"/>
                    <pic:cNvPicPr/>
                  </pic:nvPicPr>
                  <pic:blipFill>
                    <a:blip r:embed="rId26">
                      <a:extLst>
                        <a:ext uri="{28A0092B-C50C-407E-A947-70E740481C1C}">
                          <a14:useLocalDpi xmlns:a14="http://schemas.microsoft.com/office/drawing/2010/main" val="0"/>
                        </a:ext>
                      </a:extLst>
                    </a:blip>
                    <a:stretch>
                      <a:fillRect/>
                    </a:stretch>
                  </pic:blipFill>
                  <pic:spPr>
                    <a:xfrm>
                      <a:off x="0" y="0"/>
                      <a:ext cx="5731510" cy="4368165"/>
                    </a:xfrm>
                    <a:prstGeom prst="rect">
                      <a:avLst/>
                    </a:prstGeom>
                  </pic:spPr>
                </pic:pic>
              </a:graphicData>
            </a:graphic>
          </wp:inline>
        </w:drawing>
      </w:r>
    </w:p>
    <w:p w14:paraId="2D71C655" w14:textId="22DF0AB2" w:rsidR="00317EC1" w:rsidRDefault="00317EC1" w:rsidP="00317EC1">
      <w:pPr>
        <w:pStyle w:val="Heading4"/>
      </w:pPr>
      <w:bookmarkStart w:id="99" w:name="_Toc453224284"/>
      <w:r>
        <w:t>Figure 8.1: Map of the Black Sea and Black Sea littoral states</w:t>
      </w:r>
      <w:bookmarkEnd w:id="99"/>
    </w:p>
    <w:p w14:paraId="61AA1BC4" w14:textId="21F4B560" w:rsidR="00317EC1" w:rsidRPr="00317EC1" w:rsidRDefault="00317EC1" w:rsidP="00FE14D7">
      <w:pPr>
        <w:spacing w:after="240"/>
        <w:rPr>
          <w:rFonts w:cs="Times New Roman"/>
          <w:color w:val="000000"/>
          <w:sz w:val="20"/>
          <w:szCs w:val="20"/>
        </w:rPr>
      </w:pPr>
      <w:r w:rsidRPr="00317EC1">
        <w:rPr>
          <w:rFonts w:cs="Times New Roman"/>
          <w:color w:val="000000"/>
          <w:sz w:val="20"/>
          <w:szCs w:val="20"/>
        </w:rPr>
        <w:t xml:space="preserve">Source: </w:t>
      </w:r>
      <w:hyperlink r:id="rId27" w:history="1">
        <w:r w:rsidRPr="00317EC1">
          <w:rPr>
            <w:rStyle w:val="Hyperlink"/>
            <w:rFonts w:cs="Times New Roman"/>
            <w:sz w:val="20"/>
            <w:szCs w:val="20"/>
          </w:rPr>
          <w:t>https://upload.wikimedia.org/wikipedia/commons/5/52/Black_Sea_map.png</w:t>
        </w:r>
      </w:hyperlink>
      <w:r w:rsidRPr="00317EC1">
        <w:rPr>
          <w:rFonts w:cs="Times New Roman"/>
          <w:color w:val="000000"/>
          <w:sz w:val="20"/>
          <w:szCs w:val="20"/>
        </w:rPr>
        <w:t xml:space="preserve"> </w:t>
      </w:r>
    </w:p>
    <w:p w14:paraId="176DA356" w14:textId="5F003115" w:rsidR="00FE14D7" w:rsidRDefault="00FE14D7" w:rsidP="00FE14D7">
      <w:pPr>
        <w:rPr>
          <w:rFonts w:cs="Times New Roman"/>
          <w:color w:val="000000"/>
          <w:sz w:val="22"/>
        </w:rPr>
      </w:pPr>
      <w:r w:rsidRPr="00A245AA">
        <w:rPr>
          <w:rFonts w:cs="Times New Roman"/>
          <w:color w:val="000000"/>
          <w:sz w:val="22"/>
        </w:rPr>
        <w:tab/>
        <w:t>At CITES CoP16 held in Bangkok, Thailand in 2013, the CITES Standing Committee were mandated to review</w:t>
      </w:r>
      <w:r>
        <w:rPr>
          <w:rFonts w:cs="Times New Roman"/>
          <w:color w:val="000000"/>
          <w:sz w:val="22"/>
        </w:rPr>
        <w:t xml:space="preserve"> CITES Resolution Conf. </w:t>
      </w:r>
      <w:r w:rsidRPr="00A245AA">
        <w:rPr>
          <w:rFonts w:cs="Times New Roman"/>
          <w:color w:val="000000"/>
          <w:sz w:val="22"/>
        </w:rPr>
        <w:t>12.7</w:t>
      </w:r>
      <w:r>
        <w:rPr>
          <w:rFonts w:cs="Times New Roman"/>
          <w:color w:val="000000"/>
          <w:sz w:val="22"/>
        </w:rPr>
        <w:t xml:space="preserve">, which outlines the mechanisms for regulating international trade in sturgeon and paddlefish. This review was deemed necessary in order to account for the dramatic global changes to the caviar industry that had occurred over the last decade - </w:t>
      </w:r>
      <w:r w:rsidRPr="00A245AA">
        <w:rPr>
          <w:rFonts w:cs="Times New Roman"/>
          <w:color w:val="000000"/>
          <w:sz w:val="22"/>
        </w:rPr>
        <w:t>most notably the shift to aquaculture.</w:t>
      </w:r>
      <w:r w:rsidRPr="00A245AA">
        <w:rPr>
          <w:rFonts w:ascii="-webkit-standard" w:hAnsi="-webkit-standard" w:cs="Times New Roman"/>
          <w:color w:val="000000"/>
          <w:sz w:val="22"/>
        </w:rPr>
        <w:t xml:space="preserve"> </w:t>
      </w:r>
      <w:r>
        <w:rPr>
          <w:rFonts w:ascii="-webkit-standard" w:hAnsi="-webkit-standard" w:cs="Times New Roman"/>
          <w:color w:val="000000"/>
          <w:sz w:val="22"/>
        </w:rPr>
        <w:t xml:space="preserve">The Standing Committee included a table entitled </w:t>
      </w:r>
      <w:r w:rsidRPr="00A245AA">
        <w:rPr>
          <w:rFonts w:cs="Times New Roman"/>
          <w:color w:val="000000"/>
          <w:sz w:val="22"/>
        </w:rPr>
        <w:t>‘</w:t>
      </w:r>
      <w:r w:rsidRPr="00A245AA">
        <w:rPr>
          <w:rFonts w:cs="Times New Roman"/>
          <w:i/>
          <w:iCs/>
          <w:color w:val="000000"/>
          <w:sz w:val="22"/>
        </w:rPr>
        <w:t>Overview about stocks shared by range states and the respective species</w:t>
      </w:r>
      <w:r w:rsidRPr="00A245AA">
        <w:rPr>
          <w:rFonts w:cs="Times New Roman"/>
          <w:color w:val="000000"/>
          <w:sz w:val="22"/>
        </w:rPr>
        <w:t>’,</w:t>
      </w:r>
      <w:r>
        <w:rPr>
          <w:rFonts w:cs="Times New Roman"/>
          <w:color w:val="000000"/>
          <w:sz w:val="22"/>
        </w:rPr>
        <w:t xml:space="preserve"> as Annex 3 in the revised versio</w:t>
      </w:r>
      <w:r w:rsidR="000922EF">
        <w:rPr>
          <w:rFonts w:cs="Times New Roman"/>
          <w:color w:val="000000"/>
          <w:sz w:val="22"/>
        </w:rPr>
        <w:t xml:space="preserve">n of </w:t>
      </w:r>
      <w:r w:rsidR="000B0084">
        <w:rPr>
          <w:rFonts w:cs="Times New Roman"/>
          <w:color w:val="000000"/>
          <w:sz w:val="22"/>
        </w:rPr>
        <w:t xml:space="preserve">CITES </w:t>
      </w:r>
      <w:r w:rsidR="000922EF">
        <w:rPr>
          <w:rFonts w:cs="Times New Roman"/>
          <w:color w:val="000000"/>
          <w:sz w:val="22"/>
        </w:rPr>
        <w:t>Resolution 12.7 (see table</w:t>
      </w:r>
      <w:r>
        <w:rPr>
          <w:rFonts w:cs="Times New Roman"/>
          <w:color w:val="000000"/>
          <w:sz w:val="22"/>
        </w:rPr>
        <w:t xml:space="preserve"> 8.1). This table outlines which sturgeon stocks are viewed as ‘shared stocks’ by CITES</w:t>
      </w:r>
      <w:r>
        <w:rPr>
          <w:rFonts w:ascii="-webkit-standard" w:hAnsi="-webkit-standard" w:cs="Times New Roman"/>
          <w:color w:val="000000"/>
          <w:sz w:val="22"/>
        </w:rPr>
        <w:t>,</w:t>
      </w:r>
      <w:r>
        <w:rPr>
          <w:rFonts w:cs="Times New Roman"/>
          <w:color w:val="000000"/>
          <w:sz w:val="22"/>
        </w:rPr>
        <w:t xml:space="preserve"> as well as identifying:</w:t>
      </w:r>
      <w:r w:rsidRPr="00A245AA">
        <w:rPr>
          <w:rFonts w:cs="Times New Roman"/>
          <w:color w:val="000000"/>
          <w:sz w:val="22"/>
        </w:rPr>
        <w:t xml:space="preserve"> the ge</w:t>
      </w:r>
      <w:r>
        <w:rPr>
          <w:rFonts w:cs="Times New Roman"/>
          <w:color w:val="000000"/>
          <w:sz w:val="22"/>
        </w:rPr>
        <w:t>ographic location of each stock;</w:t>
      </w:r>
      <w:r w:rsidRPr="00A245AA">
        <w:rPr>
          <w:rFonts w:cs="Times New Roman"/>
          <w:color w:val="000000"/>
          <w:sz w:val="22"/>
        </w:rPr>
        <w:t xml:space="preserve"> the range states to t</w:t>
      </w:r>
      <w:r>
        <w:rPr>
          <w:rFonts w:cs="Times New Roman"/>
          <w:color w:val="000000"/>
          <w:sz w:val="22"/>
        </w:rPr>
        <w:t>he stock;</w:t>
      </w:r>
      <w:r w:rsidRPr="00A245AA">
        <w:rPr>
          <w:rFonts w:cs="Times New Roman"/>
          <w:color w:val="000000"/>
          <w:sz w:val="22"/>
        </w:rPr>
        <w:t xml:space="preserve"> and the species of sturgeon that are found in that particular body of water and/or river. The table was included as a way to clarify </w:t>
      </w:r>
      <w:r>
        <w:rPr>
          <w:rFonts w:cs="Times New Roman"/>
          <w:color w:val="000000"/>
          <w:sz w:val="22"/>
        </w:rPr>
        <w:t xml:space="preserve">the </w:t>
      </w:r>
      <w:r w:rsidRPr="00A245AA">
        <w:rPr>
          <w:rFonts w:cs="Times New Roman"/>
          <w:color w:val="000000"/>
          <w:sz w:val="22"/>
        </w:rPr>
        <w:t xml:space="preserve">existing regulations, and to support and complement CITES decisions regarding sturgeon. However, the table was not a new creation: it was originally created for the CITES Animals Committee for a different use, and not intended to be included in the revisions to the resolution. Despite this, the table was inserted </w:t>
      </w:r>
      <w:r>
        <w:rPr>
          <w:rFonts w:cs="Times New Roman"/>
          <w:color w:val="000000"/>
          <w:sz w:val="22"/>
        </w:rPr>
        <w:t>in</w:t>
      </w:r>
      <w:r w:rsidRPr="00A245AA">
        <w:rPr>
          <w:rFonts w:cs="Times New Roman"/>
          <w:color w:val="000000"/>
          <w:sz w:val="22"/>
        </w:rPr>
        <w:t xml:space="preserve"> the revised </w:t>
      </w:r>
      <w:r w:rsidR="000B0084">
        <w:rPr>
          <w:rFonts w:cs="Times New Roman"/>
          <w:color w:val="000000"/>
          <w:sz w:val="22"/>
        </w:rPr>
        <w:t xml:space="preserve">CITES </w:t>
      </w:r>
      <w:r w:rsidRPr="00A245AA">
        <w:rPr>
          <w:rFonts w:cs="Times New Roman"/>
          <w:color w:val="000000"/>
          <w:sz w:val="22"/>
        </w:rPr>
        <w:t xml:space="preserve">Resolution 12.7. </w:t>
      </w:r>
      <w:r>
        <w:rPr>
          <w:rFonts w:cs="Times New Roman"/>
          <w:color w:val="000000"/>
          <w:sz w:val="22"/>
        </w:rPr>
        <w:t xml:space="preserve">Wilhelm </w:t>
      </w:r>
      <w:r w:rsidRPr="00A245AA">
        <w:rPr>
          <w:rFonts w:cs="Times New Roman"/>
          <w:color w:val="000000"/>
          <w:sz w:val="22"/>
        </w:rPr>
        <w:t xml:space="preserve">of </w:t>
      </w:r>
      <w:r w:rsidRPr="00A245AA">
        <w:rPr>
          <w:rFonts w:cs="Times New Roman"/>
          <w:color w:val="000000"/>
          <w:sz w:val="22"/>
        </w:rPr>
        <w:lastRenderedPageBreak/>
        <w:t xml:space="preserve">the CITES Secretariat </w:t>
      </w:r>
      <w:r w:rsidR="0025142A">
        <w:rPr>
          <w:rFonts w:cs="Times New Roman"/>
          <w:color w:val="000000"/>
          <w:sz w:val="22"/>
        </w:rPr>
        <w:t>divulged: “</w:t>
      </w:r>
      <w:r w:rsidRPr="00A245AA">
        <w:rPr>
          <w:rFonts w:cs="Times New Roman"/>
          <w:color w:val="000000"/>
          <w:sz w:val="22"/>
        </w:rPr>
        <w:t xml:space="preserve">I actually </w:t>
      </w:r>
      <w:r w:rsidRPr="00A245AA">
        <w:rPr>
          <w:rFonts w:cs="Times New Roman"/>
          <w:i/>
          <w:iCs/>
          <w:color w:val="000000"/>
          <w:sz w:val="22"/>
        </w:rPr>
        <w:t>know</w:t>
      </w:r>
      <w:r w:rsidRPr="00A245AA">
        <w:rPr>
          <w:rFonts w:cs="Times New Roman"/>
          <w:color w:val="000000"/>
          <w:sz w:val="22"/>
        </w:rPr>
        <w:t xml:space="preserve"> there wasn’t a consultation of the Animals Committee [by the working group of the Standing Committee] to say ‘is that table complet</w:t>
      </w:r>
      <w:r w:rsidR="0025142A">
        <w:rPr>
          <w:rFonts w:cs="Times New Roman"/>
          <w:color w:val="000000"/>
          <w:sz w:val="22"/>
        </w:rPr>
        <w:t>e?’”</w:t>
      </w:r>
      <w:r w:rsidRPr="005B292F">
        <w:rPr>
          <w:rStyle w:val="FootnoteReference"/>
        </w:rPr>
        <w:footnoteReference w:id="288"/>
      </w:r>
      <w:r w:rsidRPr="00A245AA">
        <w:rPr>
          <w:rFonts w:cs="Times New Roman"/>
          <w:color w:val="000000"/>
          <w:sz w:val="22"/>
        </w:rPr>
        <w:t xml:space="preserve">. </w:t>
      </w:r>
    </w:p>
    <w:p w14:paraId="12D38CAF" w14:textId="4BA35EC3" w:rsidR="00317EC1" w:rsidRDefault="00FE14D7" w:rsidP="003B354F">
      <w:pPr>
        <w:ind w:firstLine="720"/>
        <w:rPr>
          <w:rFonts w:cs="Times New Roman"/>
          <w:color w:val="000000"/>
          <w:sz w:val="22"/>
        </w:rPr>
      </w:pPr>
      <w:r>
        <w:rPr>
          <w:rFonts w:cs="Times New Roman"/>
          <w:color w:val="000000"/>
          <w:sz w:val="22"/>
        </w:rPr>
        <w:t>Grey areas inbuilt in this table are the root</w:t>
      </w:r>
      <w:r w:rsidR="0025142A">
        <w:rPr>
          <w:rFonts w:cs="Times New Roman"/>
          <w:color w:val="000000"/>
          <w:sz w:val="22"/>
        </w:rPr>
        <w:t xml:space="preserve"> cause</w:t>
      </w:r>
      <w:r>
        <w:rPr>
          <w:rFonts w:cs="Times New Roman"/>
          <w:color w:val="000000"/>
          <w:sz w:val="22"/>
        </w:rPr>
        <w:t xml:space="preserve"> of </w:t>
      </w:r>
      <w:r w:rsidR="000B0084">
        <w:rPr>
          <w:rFonts w:cs="Times New Roman"/>
          <w:color w:val="000000"/>
          <w:sz w:val="22"/>
        </w:rPr>
        <w:t xml:space="preserve">some </w:t>
      </w:r>
      <w:r w:rsidR="0025142A">
        <w:rPr>
          <w:rFonts w:cs="Times New Roman"/>
          <w:color w:val="000000"/>
          <w:sz w:val="22"/>
        </w:rPr>
        <w:t>geopolitical issues emerging between Black Sea range states.</w:t>
      </w:r>
      <w:r>
        <w:rPr>
          <w:rFonts w:cs="Times New Roman"/>
          <w:color w:val="000000"/>
          <w:sz w:val="22"/>
        </w:rPr>
        <w:t xml:space="preserve"> In fact, </w:t>
      </w:r>
      <w:r w:rsidRPr="00A245AA">
        <w:rPr>
          <w:rFonts w:cs="Times New Roman"/>
          <w:color w:val="000000"/>
          <w:sz w:val="22"/>
        </w:rPr>
        <w:t>the ‘</w:t>
      </w:r>
      <w:r w:rsidRPr="00A245AA">
        <w:rPr>
          <w:rFonts w:cs="Times New Roman"/>
          <w:i/>
          <w:iCs/>
          <w:color w:val="000000"/>
          <w:sz w:val="22"/>
        </w:rPr>
        <w:t>North-West Black Sea and Lower Danube</w:t>
      </w:r>
      <w:r w:rsidRPr="00A245AA">
        <w:rPr>
          <w:rFonts w:cs="Times New Roman"/>
          <w:color w:val="000000"/>
          <w:sz w:val="22"/>
        </w:rPr>
        <w:t>’</w:t>
      </w:r>
      <w:r>
        <w:rPr>
          <w:rFonts w:cs="Times New Roman"/>
          <w:color w:val="000000"/>
          <w:sz w:val="22"/>
        </w:rPr>
        <w:t xml:space="preserve"> shared stock outlined in this table, is highly geopolitically contentious. </w:t>
      </w:r>
      <w:r w:rsidRPr="00A245AA">
        <w:rPr>
          <w:rFonts w:cs="Times New Roman"/>
          <w:color w:val="000000"/>
          <w:sz w:val="22"/>
        </w:rPr>
        <w:t xml:space="preserve">The range states listed under this stock are Bulgaria, Romania, Serbia and Ukraine. Notably, </w:t>
      </w:r>
      <w:r>
        <w:rPr>
          <w:rFonts w:cs="Times New Roman"/>
          <w:color w:val="000000"/>
          <w:sz w:val="22"/>
        </w:rPr>
        <w:t xml:space="preserve">this </w:t>
      </w:r>
      <w:r w:rsidRPr="00A245AA">
        <w:rPr>
          <w:rFonts w:cs="Times New Roman"/>
          <w:color w:val="000000"/>
          <w:sz w:val="22"/>
        </w:rPr>
        <w:t xml:space="preserve">does not cover the </w:t>
      </w:r>
      <w:r w:rsidR="000922EF">
        <w:rPr>
          <w:rFonts w:cs="Times New Roman"/>
          <w:color w:val="000000"/>
          <w:sz w:val="22"/>
        </w:rPr>
        <w:t xml:space="preserve">geographical </w:t>
      </w:r>
      <w:r w:rsidRPr="00A245AA">
        <w:rPr>
          <w:rFonts w:cs="Times New Roman"/>
          <w:color w:val="000000"/>
          <w:sz w:val="22"/>
        </w:rPr>
        <w:t>entirety</w:t>
      </w:r>
      <w:r w:rsidR="000B0084">
        <w:rPr>
          <w:rFonts w:cs="Times New Roman"/>
          <w:color w:val="000000"/>
          <w:sz w:val="22"/>
        </w:rPr>
        <w:t xml:space="preserve"> </w:t>
      </w:r>
      <w:r w:rsidRPr="00A245AA">
        <w:rPr>
          <w:rFonts w:cs="Times New Roman"/>
          <w:color w:val="000000"/>
          <w:sz w:val="22"/>
        </w:rPr>
        <w:t>of the Black Sea</w:t>
      </w:r>
      <w:r w:rsidR="000B0084">
        <w:rPr>
          <w:rFonts w:cs="Times New Roman"/>
          <w:color w:val="000000"/>
          <w:sz w:val="22"/>
        </w:rPr>
        <w:t xml:space="preserve"> (see figure 8.1)</w:t>
      </w:r>
      <w:r w:rsidRPr="00A245AA">
        <w:rPr>
          <w:rFonts w:cs="Times New Roman"/>
          <w:color w:val="000000"/>
          <w:sz w:val="22"/>
        </w:rPr>
        <w:t xml:space="preserve">, </w:t>
      </w:r>
      <w:r w:rsidR="000922EF">
        <w:rPr>
          <w:rFonts w:cs="Times New Roman"/>
          <w:color w:val="000000"/>
          <w:sz w:val="22"/>
        </w:rPr>
        <w:t xml:space="preserve">as it </w:t>
      </w:r>
      <w:r w:rsidRPr="00A245AA">
        <w:rPr>
          <w:rFonts w:cs="Times New Roman"/>
          <w:color w:val="000000"/>
          <w:sz w:val="22"/>
        </w:rPr>
        <w:t>does not include Georgia, Turkey</w:t>
      </w:r>
      <w:r w:rsidR="000922EF">
        <w:rPr>
          <w:rFonts w:cs="Times New Roman"/>
          <w:color w:val="000000"/>
          <w:sz w:val="22"/>
        </w:rPr>
        <w:t>,</w:t>
      </w:r>
      <w:r w:rsidRPr="00A245AA">
        <w:rPr>
          <w:rFonts w:cs="Times New Roman"/>
          <w:color w:val="000000"/>
          <w:sz w:val="22"/>
        </w:rPr>
        <w:t xml:space="preserve"> or the Russian Federation as a range state. </w:t>
      </w:r>
      <w:r w:rsidR="000B0084">
        <w:rPr>
          <w:rFonts w:cs="Times New Roman"/>
          <w:color w:val="000000"/>
          <w:sz w:val="22"/>
        </w:rPr>
        <w:t>T</w:t>
      </w:r>
      <w:r w:rsidR="000922EF">
        <w:rPr>
          <w:rFonts w:cs="Times New Roman"/>
          <w:color w:val="000000"/>
          <w:sz w:val="22"/>
        </w:rPr>
        <w:t xml:space="preserve">he table has </w:t>
      </w:r>
      <w:r w:rsidR="000B0084">
        <w:rPr>
          <w:rFonts w:cs="Times New Roman"/>
          <w:color w:val="000000"/>
          <w:sz w:val="22"/>
        </w:rPr>
        <w:t xml:space="preserve">therefore </w:t>
      </w:r>
      <w:r w:rsidR="000922EF">
        <w:rPr>
          <w:rFonts w:cs="Times New Roman"/>
          <w:color w:val="000000"/>
          <w:sz w:val="22"/>
        </w:rPr>
        <w:t>been described as “</w:t>
      </w:r>
      <w:r w:rsidRPr="00A245AA">
        <w:rPr>
          <w:rFonts w:cs="Times New Roman"/>
          <w:color w:val="000000"/>
          <w:sz w:val="22"/>
        </w:rPr>
        <w:t>a bit of a strange beast</w:t>
      </w:r>
      <w:r w:rsidR="000922EF">
        <w:rPr>
          <w:rFonts w:cs="Times New Roman"/>
          <w:color w:val="000000"/>
          <w:sz w:val="22"/>
        </w:rPr>
        <w:t>”</w:t>
      </w:r>
      <w:r w:rsidRPr="005B292F">
        <w:rPr>
          <w:rStyle w:val="FootnoteReference"/>
        </w:rPr>
        <w:footnoteReference w:id="289"/>
      </w:r>
      <w:r>
        <w:rPr>
          <w:rFonts w:cs="Times New Roman"/>
          <w:color w:val="000000"/>
          <w:sz w:val="22"/>
        </w:rPr>
        <w:t>, given that it does not designate the other half of the Black Sea (and the other Black Sea littoral states) into another shared stock. Thus, d</w:t>
      </w:r>
      <w:r w:rsidRPr="00A245AA">
        <w:rPr>
          <w:rFonts w:cs="Times New Roman"/>
          <w:color w:val="000000"/>
          <w:sz w:val="22"/>
        </w:rPr>
        <w:t xml:space="preserve">espite the table only being included in </w:t>
      </w:r>
      <w:r w:rsidR="000922EF">
        <w:rPr>
          <w:rFonts w:cs="Times New Roman"/>
          <w:color w:val="000000"/>
          <w:sz w:val="22"/>
        </w:rPr>
        <w:t xml:space="preserve">CITES </w:t>
      </w:r>
      <w:r w:rsidRPr="00A245AA">
        <w:rPr>
          <w:rFonts w:cs="Times New Roman"/>
          <w:color w:val="000000"/>
          <w:sz w:val="22"/>
        </w:rPr>
        <w:t xml:space="preserve">Resolution 12.7 for illustrative purposes - and not to substantively change the regulations </w:t>
      </w:r>
      <w:r>
        <w:rPr>
          <w:rFonts w:cs="Times New Roman"/>
          <w:color w:val="000000"/>
          <w:sz w:val="22"/>
        </w:rPr>
        <w:t>–</w:t>
      </w:r>
      <w:r w:rsidRPr="00A245AA">
        <w:rPr>
          <w:rFonts w:cs="Times New Roman"/>
          <w:color w:val="000000"/>
          <w:sz w:val="22"/>
        </w:rPr>
        <w:t xml:space="preserve"> </w:t>
      </w:r>
      <w:r>
        <w:rPr>
          <w:rFonts w:cs="Times New Roman"/>
          <w:color w:val="000000"/>
          <w:sz w:val="22"/>
        </w:rPr>
        <w:t xml:space="preserve">the </w:t>
      </w:r>
      <w:r w:rsidR="000B0084">
        <w:rPr>
          <w:rFonts w:cs="Times New Roman"/>
          <w:color w:val="000000"/>
          <w:sz w:val="22"/>
        </w:rPr>
        <w:t>irregularities</w:t>
      </w:r>
      <w:r>
        <w:rPr>
          <w:rFonts w:cs="Times New Roman"/>
          <w:color w:val="000000"/>
          <w:sz w:val="22"/>
        </w:rPr>
        <w:t xml:space="preserve"> </w:t>
      </w:r>
      <w:r w:rsidR="000B0084">
        <w:rPr>
          <w:rFonts w:cs="Times New Roman"/>
          <w:color w:val="000000"/>
          <w:sz w:val="22"/>
        </w:rPr>
        <w:t xml:space="preserve">in the content of </w:t>
      </w:r>
      <w:r>
        <w:rPr>
          <w:rFonts w:cs="Times New Roman"/>
          <w:color w:val="000000"/>
          <w:sz w:val="22"/>
        </w:rPr>
        <w:t xml:space="preserve">this table have had prominent geopolitical effects. </w:t>
      </w:r>
    </w:p>
    <w:p w14:paraId="13BE44B5" w14:textId="77777777" w:rsidR="00765797" w:rsidRDefault="00765797" w:rsidP="003B354F">
      <w:pPr>
        <w:ind w:firstLine="720"/>
        <w:rPr>
          <w:rFonts w:cs="Times New Roman"/>
          <w:color w:val="000000"/>
          <w:sz w:val="22"/>
        </w:rPr>
      </w:pPr>
    </w:p>
    <w:p w14:paraId="58C8CA79" w14:textId="1989C815" w:rsidR="00317EC1" w:rsidRDefault="00317EC1" w:rsidP="0025142A">
      <w:pPr>
        <w:ind w:firstLine="720"/>
        <w:rPr>
          <w:rFonts w:cs="Times New Roman"/>
          <w:color w:val="000000"/>
          <w:sz w:val="22"/>
        </w:rPr>
      </w:pPr>
      <w:r w:rsidRPr="000F5CC2">
        <w:rPr>
          <w:rFonts w:cs="Times New Roman"/>
          <w:noProof/>
          <w:color w:val="000000"/>
          <w:sz w:val="22"/>
          <w:lang w:val="en-US" w:eastAsia="en-US"/>
        </w:rPr>
        <w:drawing>
          <wp:inline distT="0" distB="0" distL="0" distR="0" wp14:anchorId="55CD8E5E" wp14:editId="14133DCD">
            <wp:extent cx="5257247" cy="3924890"/>
            <wp:effectExtent l="0" t="0" r="635"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20-02-14 at 16.22.12.png"/>
                    <pic:cNvPicPr/>
                  </pic:nvPicPr>
                  <pic:blipFill rotWithShape="1">
                    <a:blip r:embed="rId28">
                      <a:extLst>
                        <a:ext uri="{28A0092B-C50C-407E-A947-70E740481C1C}">
                          <a14:useLocalDpi xmlns:a14="http://schemas.microsoft.com/office/drawing/2010/main" val="0"/>
                        </a:ext>
                      </a:extLst>
                    </a:blip>
                    <a:srcRect l="5945" t="5821" r="4731" b="7900"/>
                    <a:stretch/>
                  </pic:blipFill>
                  <pic:spPr bwMode="auto">
                    <a:xfrm>
                      <a:off x="0" y="0"/>
                      <a:ext cx="5257839" cy="3925332"/>
                    </a:xfrm>
                    <a:prstGeom prst="rect">
                      <a:avLst/>
                    </a:prstGeom>
                    <a:ln>
                      <a:noFill/>
                    </a:ln>
                    <a:extLst>
                      <a:ext uri="{53640926-AAD7-44d8-BBD7-CCE9431645EC}">
                        <a14:shadowObscured xmlns:a14="http://schemas.microsoft.com/office/drawing/2010/main"/>
                      </a:ext>
                    </a:extLst>
                  </pic:spPr>
                </pic:pic>
              </a:graphicData>
            </a:graphic>
          </wp:inline>
        </w:drawing>
      </w:r>
    </w:p>
    <w:p w14:paraId="78283139" w14:textId="77777777" w:rsidR="00317EC1" w:rsidRDefault="00317EC1" w:rsidP="00317EC1">
      <w:pPr>
        <w:pStyle w:val="Heading6"/>
      </w:pPr>
      <w:bookmarkStart w:id="100" w:name="_Toc453224288"/>
      <w:r>
        <w:t>Table</w:t>
      </w:r>
      <w:r w:rsidRPr="00BB1D9C">
        <w:t xml:space="preserve"> 8.1: Annex </w:t>
      </w:r>
      <w:r>
        <w:t>3 of CITES Resolution Conf 12.7 - Overview about stocks shared by range States and respective species</w:t>
      </w:r>
      <w:bookmarkEnd w:id="100"/>
    </w:p>
    <w:p w14:paraId="168D37E9" w14:textId="4136A6C8" w:rsidR="00317EC1" w:rsidRPr="00317EC1" w:rsidRDefault="00317EC1" w:rsidP="00317EC1">
      <w:pPr>
        <w:rPr>
          <w:rFonts w:cs="Times New Roman"/>
          <w:color w:val="000000"/>
          <w:sz w:val="20"/>
          <w:szCs w:val="20"/>
        </w:rPr>
      </w:pPr>
      <w:r w:rsidRPr="000922EF">
        <w:rPr>
          <w:rFonts w:cs="Times New Roman"/>
          <w:color w:val="000000"/>
          <w:sz w:val="20"/>
          <w:szCs w:val="20"/>
        </w:rPr>
        <w:t xml:space="preserve">Source: CITES Resolution Conf 12.7 </w:t>
      </w:r>
    </w:p>
    <w:p w14:paraId="33B48296" w14:textId="1682768A" w:rsidR="000F5CC2" w:rsidRDefault="00317EC1" w:rsidP="00317EC1">
      <w:pPr>
        <w:ind w:firstLine="720"/>
        <w:rPr>
          <w:rFonts w:cs="Times New Roman"/>
          <w:color w:val="000000"/>
          <w:sz w:val="22"/>
        </w:rPr>
      </w:pPr>
      <w:r>
        <w:rPr>
          <w:rFonts w:ascii="-webkit-standard" w:hAnsi="-webkit-standard" w:cs="Times New Roman" w:hint="eastAsia"/>
          <w:noProof/>
          <w:color w:val="000000"/>
          <w:sz w:val="22"/>
          <w:lang w:val="en-US" w:eastAsia="en-US"/>
        </w:rPr>
        <w:lastRenderedPageBreak/>
        <w:drawing>
          <wp:anchor distT="0" distB="0" distL="114300" distR="114300" simplePos="0" relativeHeight="251664384" behindDoc="0" locked="0" layoutInCell="1" allowOverlap="1" wp14:anchorId="6D9C8FCC" wp14:editId="3F4288AD">
            <wp:simplePos x="0" y="0"/>
            <wp:positionH relativeFrom="column">
              <wp:posOffset>-229235</wp:posOffset>
            </wp:positionH>
            <wp:positionV relativeFrom="paragraph">
              <wp:posOffset>3314700</wp:posOffset>
            </wp:positionV>
            <wp:extent cx="6103620" cy="365760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20-02-14 at 16.51.52.png"/>
                    <pic:cNvPicPr/>
                  </pic:nvPicPr>
                  <pic:blipFill>
                    <a:blip r:embed="rId29">
                      <a:extLst>
                        <a:ext uri="{28A0092B-C50C-407E-A947-70E740481C1C}">
                          <a14:useLocalDpi xmlns:a14="http://schemas.microsoft.com/office/drawing/2010/main" val="0"/>
                        </a:ext>
                      </a:extLst>
                    </a:blip>
                    <a:stretch>
                      <a:fillRect/>
                    </a:stretch>
                  </pic:blipFill>
                  <pic:spPr>
                    <a:xfrm>
                      <a:off x="0" y="0"/>
                      <a:ext cx="6103620" cy="3657600"/>
                    </a:xfrm>
                    <a:prstGeom prst="rect">
                      <a:avLst/>
                    </a:prstGeom>
                  </pic:spPr>
                </pic:pic>
              </a:graphicData>
            </a:graphic>
            <wp14:sizeRelH relativeFrom="page">
              <wp14:pctWidth>0</wp14:pctWidth>
            </wp14:sizeRelH>
            <wp14:sizeRelV relativeFrom="page">
              <wp14:pctHeight>0</wp14:pctHeight>
            </wp14:sizeRelV>
          </wp:anchor>
        </w:drawing>
      </w:r>
      <w:r w:rsidR="0025142A">
        <w:rPr>
          <w:rFonts w:cs="Times New Roman"/>
          <w:color w:val="000000"/>
          <w:sz w:val="22"/>
        </w:rPr>
        <w:t xml:space="preserve">The </w:t>
      </w:r>
      <w:r w:rsidR="0025142A" w:rsidRPr="00A245AA">
        <w:rPr>
          <w:rFonts w:cs="Times New Roman"/>
          <w:color w:val="000000"/>
          <w:sz w:val="22"/>
        </w:rPr>
        <w:t xml:space="preserve">omission of the Eastern part of the Black Sea from the shared stocks table has proven to be </w:t>
      </w:r>
      <w:r w:rsidR="000B0084">
        <w:rPr>
          <w:rFonts w:cs="Times New Roman"/>
          <w:color w:val="000000"/>
          <w:sz w:val="22"/>
        </w:rPr>
        <w:t>geo</w:t>
      </w:r>
      <w:r w:rsidR="0025142A" w:rsidRPr="00A245AA">
        <w:rPr>
          <w:rFonts w:cs="Times New Roman"/>
          <w:color w:val="000000"/>
          <w:sz w:val="22"/>
        </w:rPr>
        <w:t>politically provocative, culminating in the Russian Federation putting forward their own amendment</w:t>
      </w:r>
      <w:r w:rsidR="0025142A">
        <w:rPr>
          <w:rFonts w:cs="Times New Roman"/>
          <w:color w:val="000000"/>
          <w:sz w:val="22"/>
        </w:rPr>
        <w:t xml:space="preserve"> to Annex 3 of </w:t>
      </w:r>
      <w:r w:rsidR="000922EF">
        <w:rPr>
          <w:rFonts w:cs="Times New Roman"/>
          <w:color w:val="000000"/>
          <w:sz w:val="22"/>
        </w:rPr>
        <w:t xml:space="preserve">CITES </w:t>
      </w:r>
      <w:r w:rsidR="0025142A">
        <w:rPr>
          <w:rFonts w:cs="Times New Roman"/>
          <w:color w:val="000000"/>
          <w:sz w:val="22"/>
        </w:rPr>
        <w:t xml:space="preserve">Resolution 12.7. </w:t>
      </w:r>
      <w:r w:rsidR="0025142A" w:rsidRPr="00A245AA">
        <w:rPr>
          <w:rFonts w:cs="Times New Roman"/>
          <w:color w:val="000000"/>
          <w:sz w:val="22"/>
        </w:rPr>
        <w:t>The amendment put forward by the Russian Federation for discussion at CITES CoP17 on 3rd October 2016 in Johannesburg, inclu</w:t>
      </w:r>
      <w:r w:rsidR="000922EF">
        <w:rPr>
          <w:rFonts w:cs="Times New Roman"/>
          <w:color w:val="000000"/>
          <w:sz w:val="22"/>
        </w:rPr>
        <w:t>ded an altered table (see table</w:t>
      </w:r>
      <w:r w:rsidR="0025142A">
        <w:rPr>
          <w:rFonts w:cs="Times New Roman"/>
          <w:color w:val="000000"/>
          <w:sz w:val="22"/>
        </w:rPr>
        <w:t xml:space="preserve"> 8.2</w:t>
      </w:r>
      <w:r w:rsidR="0025142A" w:rsidRPr="00A245AA">
        <w:rPr>
          <w:rFonts w:cs="Times New Roman"/>
          <w:color w:val="000000"/>
          <w:sz w:val="22"/>
        </w:rPr>
        <w:t xml:space="preserve">) which </w:t>
      </w:r>
      <w:r w:rsidR="003C519C">
        <w:rPr>
          <w:rFonts w:cs="Times New Roman"/>
          <w:color w:val="000000"/>
          <w:sz w:val="22"/>
        </w:rPr>
        <w:t>split the current shared stock ‘</w:t>
      </w:r>
      <w:r w:rsidR="0025142A" w:rsidRPr="00A245AA">
        <w:rPr>
          <w:rFonts w:cs="Times New Roman"/>
          <w:i/>
          <w:iCs/>
          <w:color w:val="000000"/>
          <w:sz w:val="22"/>
        </w:rPr>
        <w:t>North-West Black Sea and Lower Danube</w:t>
      </w:r>
      <w:r w:rsidR="0025142A" w:rsidRPr="00A245AA">
        <w:rPr>
          <w:rFonts w:cs="Times New Roman"/>
          <w:color w:val="000000"/>
          <w:sz w:val="22"/>
        </w:rPr>
        <w:t>’ into two shared stocks: ‘</w:t>
      </w:r>
      <w:r w:rsidR="0025142A" w:rsidRPr="00A245AA">
        <w:rPr>
          <w:rFonts w:cs="Times New Roman"/>
          <w:i/>
          <w:iCs/>
          <w:color w:val="000000"/>
          <w:sz w:val="22"/>
        </w:rPr>
        <w:t>Black Sea</w:t>
      </w:r>
      <w:r w:rsidR="0025142A" w:rsidRPr="00A245AA">
        <w:rPr>
          <w:rFonts w:cs="Times New Roman"/>
          <w:color w:val="000000"/>
          <w:sz w:val="22"/>
        </w:rPr>
        <w:t>’ and ‘</w:t>
      </w:r>
      <w:r w:rsidR="0025142A" w:rsidRPr="00A245AA">
        <w:rPr>
          <w:rFonts w:cs="Times New Roman"/>
          <w:i/>
          <w:iCs/>
          <w:color w:val="000000"/>
          <w:sz w:val="22"/>
        </w:rPr>
        <w:t>Danube Rive</w:t>
      </w:r>
      <w:r w:rsidR="0025142A" w:rsidRPr="00A245AA">
        <w:rPr>
          <w:rFonts w:cs="Times New Roman"/>
          <w:color w:val="000000"/>
          <w:sz w:val="22"/>
        </w:rPr>
        <w:t>r’. Under the Russian Federation’s proposed amendment, the ‘</w:t>
      </w:r>
      <w:r w:rsidR="0025142A" w:rsidRPr="00A245AA">
        <w:rPr>
          <w:rFonts w:cs="Times New Roman"/>
          <w:i/>
          <w:iCs/>
          <w:color w:val="000000"/>
          <w:sz w:val="22"/>
        </w:rPr>
        <w:t>Black Sea</w:t>
      </w:r>
      <w:r w:rsidR="0025142A" w:rsidRPr="00A245AA">
        <w:rPr>
          <w:rFonts w:cs="Times New Roman"/>
          <w:color w:val="000000"/>
          <w:sz w:val="22"/>
        </w:rPr>
        <w:t>’ shared stock would now</w:t>
      </w:r>
      <w:r w:rsidR="0025142A">
        <w:rPr>
          <w:rFonts w:cs="Times New Roman"/>
          <w:color w:val="000000"/>
          <w:sz w:val="22"/>
        </w:rPr>
        <w:t xml:space="preserve"> also include Turkey, Georgia, </w:t>
      </w:r>
      <w:r w:rsidR="0025142A" w:rsidRPr="00A245AA">
        <w:rPr>
          <w:rFonts w:cs="Times New Roman"/>
          <w:color w:val="000000"/>
          <w:sz w:val="22"/>
        </w:rPr>
        <w:t>and the Russian Federation alongside the previously listed Bulgaria, Romania and Ukraine</w:t>
      </w:r>
      <w:r w:rsidR="0025142A">
        <w:rPr>
          <w:rFonts w:cs="Times New Roman"/>
          <w:color w:val="000000"/>
          <w:sz w:val="22"/>
        </w:rPr>
        <w:t xml:space="preserve"> (Serbia would now be listed under the proposed Danube River shared stock)</w:t>
      </w:r>
      <w:r w:rsidR="0025142A" w:rsidRPr="00A245AA">
        <w:rPr>
          <w:rFonts w:cs="Times New Roman"/>
          <w:color w:val="000000"/>
          <w:sz w:val="22"/>
        </w:rPr>
        <w:t>. The Russian Federation</w:t>
      </w:r>
      <w:r w:rsidR="0025142A">
        <w:rPr>
          <w:rFonts w:cs="Times New Roman"/>
          <w:color w:val="000000"/>
          <w:sz w:val="22"/>
        </w:rPr>
        <w:t xml:space="preserve"> argued the necessity of </w:t>
      </w:r>
      <w:r w:rsidR="0025142A" w:rsidRPr="00A245AA">
        <w:rPr>
          <w:rFonts w:cs="Times New Roman"/>
          <w:color w:val="000000"/>
          <w:sz w:val="22"/>
        </w:rPr>
        <w:t>recognising the whol</w:t>
      </w:r>
      <w:r w:rsidR="0025142A">
        <w:rPr>
          <w:rFonts w:cs="Times New Roman"/>
          <w:color w:val="000000"/>
          <w:sz w:val="22"/>
        </w:rPr>
        <w:t>e Black Sea as a sturgeon stock that is</w:t>
      </w:r>
      <w:r w:rsidR="0025142A" w:rsidRPr="00A245AA">
        <w:rPr>
          <w:rFonts w:cs="Times New Roman"/>
          <w:color w:val="000000"/>
          <w:sz w:val="22"/>
        </w:rPr>
        <w:t xml:space="preserve"> distinct from the Danube River. In the </w:t>
      </w:r>
      <w:r w:rsidR="0025142A">
        <w:rPr>
          <w:rFonts w:cs="Times New Roman"/>
          <w:color w:val="000000"/>
          <w:sz w:val="22"/>
        </w:rPr>
        <w:t xml:space="preserve">proposal </w:t>
      </w:r>
      <w:r w:rsidR="0025142A" w:rsidRPr="00A245AA">
        <w:rPr>
          <w:rFonts w:cs="Times New Roman"/>
          <w:color w:val="000000"/>
          <w:sz w:val="22"/>
        </w:rPr>
        <w:t>delivered to the CITES Secretariat, the Ru</w:t>
      </w:r>
      <w:r w:rsidR="0025142A">
        <w:rPr>
          <w:rFonts w:cs="Times New Roman"/>
          <w:color w:val="000000"/>
          <w:sz w:val="22"/>
        </w:rPr>
        <w:t>ssian</w:t>
      </w:r>
      <w:r w:rsidR="009201BC">
        <w:rPr>
          <w:rFonts w:cs="Times New Roman"/>
          <w:color w:val="000000"/>
          <w:sz w:val="22"/>
        </w:rPr>
        <w:t xml:space="preserve"> Federation stated that </w:t>
      </w:r>
      <w:r w:rsidR="0025142A">
        <w:rPr>
          <w:rFonts w:cs="Times New Roman"/>
          <w:color w:val="000000"/>
          <w:sz w:val="22"/>
        </w:rPr>
        <w:t>“a</w:t>
      </w:r>
      <w:r w:rsidR="0025142A" w:rsidRPr="00A245AA">
        <w:rPr>
          <w:rFonts w:cs="Times New Roman"/>
          <w:color w:val="000000"/>
          <w:sz w:val="22"/>
        </w:rPr>
        <w:t>nadramous Sturgeons are transboundary species and can be caught near the shores of any Black Sea littoral country, not only in the North-West Black Sea”</w:t>
      </w:r>
      <w:r w:rsidR="000B0084">
        <w:rPr>
          <w:rFonts w:cs="Times New Roman"/>
          <w:color w:val="000000"/>
          <w:sz w:val="22"/>
        </w:rPr>
        <w:t xml:space="preserve"> </w:t>
      </w:r>
      <w:r w:rsidR="000B0084">
        <w:rPr>
          <w:rFonts w:cs="Times New Roman"/>
          <w:color w:val="000000"/>
          <w:sz w:val="22"/>
        </w:rPr>
        <w:fldChar w:fldCharType="begin" w:fldLock="1"/>
      </w:r>
      <w:r w:rsidR="000B0084">
        <w:rPr>
          <w:rFonts w:cs="Times New Roman"/>
          <w:color w:val="000000"/>
          <w:sz w:val="22"/>
        </w:rPr>
        <w:instrText>ADDIN CSL_CITATION {"citationItems":[{"id":"ITEM-1","itemData":{"author":[{"dropping-particle":"","family":"CITES","given":"","non-dropping-particle":"","parse-names":false,"suffix":""}],"id":"ITEM-1","issued":{"date-parts":[["2017"]]},"page":"5-6","title":"SC69 Doc. 46.2 – p. 1","type":"article-journal"},"uris":["http://www.mendeley.com/documents/?uuid=d7d67033-682b-480c-9cd2-816a0bc97f57"]}],"mendeley":{"formattedCitation":"(CITES, 2017)","plainTextFormattedCitation":"(CITES, 2017)"},"properties":{"noteIndex":0},"schema":"https://github.com/citation-style-language/schema/raw/master/csl-citation.json"}</w:instrText>
      </w:r>
      <w:r w:rsidR="000B0084">
        <w:rPr>
          <w:rFonts w:cs="Times New Roman"/>
          <w:color w:val="000000"/>
          <w:sz w:val="22"/>
        </w:rPr>
        <w:fldChar w:fldCharType="separate"/>
      </w:r>
      <w:r w:rsidR="000B0084" w:rsidRPr="000B0084">
        <w:rPr>
          <w:rFonts w:cs="Times New Roman"/>
          <w:noProof/>
          <w:color w:val="000000"/>
          <w:sz w:val="22"/>
        </w:rPr>
        <w:t>(CITES, 2017</w:t>
      </w:r>
      <w:r w:rsidR="000B0084">
        <w:rPr>
          <w:rFonts w:cs="Times New Roman"/>
          <w:noProof/>
          <w:color w:val="000000"/>
          <w:sz w:val="22"/>
        </w:rPr>
        <w:t>: 2</w:t>
      </w:r>
      <w:r w:rsidR="000B0084" w:rsidRPr="000B0084">
        <w:rPr>
          <w:rFonts w:cs="Times New Roman"/>
          <w:noProof/>
          <w:color w:val="000000"/>
          <w:sz w:val="22"/>
        </w:rPr>
        <w:t>)</w:t>
      </w:r>
      <w:r w:rsidR="000B0084">
        <w:rPr>
          <w:rFonts w:cs="Times New Roman"/>
          <w:color w:val="000000"/>
          <w:sz w:val="22"/>
        </w:rPr>
        <w:fldChar w:fldCharType="end"/>
      </w:r>
      <w:r w:rsidR="000B0084">
        <w:t>.</w:t>
      </w:r>
    </w:p>
    <w:p w14:paraId="0A0E6320" w14:textId="77777777" w:rsidR="000922EF" w:rsidRDefault="000922EF" w:rsidP="000F5CC2">
      <w:pPr>
        <w:rPr>
          <w:rFonts w:cs="Times New Roman"/>
          <w:b/>
          <w:color w:val="000000"/>
          <w:sz w:val="20"/>
          <w:szCs w:val="20"/>
        </w:rPr>
      </w:pPr>
    </w:p>
    <w:p w14:paraId="0729FB39" w14:textId="6B0273C6" w:rsidR="000922EF" w:rsidRPr="00181DE3" w:rsidRDefault="000922EF" w:rsidP="00317EC1">
      <w:pPr>
        <w:pStyle w:val="Heading6"/>
        <w:rPr>
          <w:rFonts w:cs="Times New Roman"/>
          <w:color w:val="000000"/>
          <w:sz w:val="22"/>
        </w:rPr>
      </w:pPr>
      <w:bookmarkStart w:id="101" w:name="_Toc453224289"/>
      <w:r>
        <w:t>Table</w:t>
      </w:r>
      <w:r w:rsidR="00FE14D7" w:rsidRPr="00E80EDC">
        <w:t xml:space="preserve"> 8.2: The proposed changes to Annex 3 of CITES Resolution 12.7 put forward by the Russian Federation at CITES CoP17</w:t>
      </w:r>
      <w:bookmarkEnd w:id="101"/>
      <w:r w:rsidR="00FE14D7" w:rsidRPr="00E80EDC">
        <w:t xml:space="preserve"> </w:t>
      </w:r>
    </w:p>
    <w:p w14:paraId="4550FCB6" w14:textId="66754418" w:rsidR="00FE14D7" w:rsidRDefault="00FE14D7" w:rsidP="00181DE3">
      <w:pPr>
        <w:rPr>
          <w:rFonts w:cs="Times New Roman"/>
          <w:color w:val="000000"/>
          <w:sz w:val="20"/>
          <w:szCs w:val="20"/>
        </w:rPr>
      </w:pPr>
      <w:r w:rsidRPr="000922EF">
        <w:rPr>
          <w:rFonts w:cs="Times New Roman"/>
          <w:color w:val="000000"/>
          <w:sz w:val="20"/>
          <w:szCs w:val="20"/>
        </w:rPr>
        <w:t xml:space="preserve">Source: </w:t>
      </w:r>
      <w:hyperlink r:id="rId30" w:history="1">
        <w:r w:rsidRPr="000922EF">
          <w:rPr>
            <w:rStyle w:val="Hyperlink"/>
            <w:rFonts w:cs="Times New Roman"/>
            <w:sz w:val="20"/>
            <w:szCs w:val="20"/>
          </w:rPr>
          <w:t>https://cites.org/sites/default/files/eng/com/sc/67/E-SC67-18-R1.pdf</w:t>
        </w:r>
      </w:hyperlink>
      <w:r w:rsidRPr="000922EF">
        <w:rPr>
          <w:rFonts w:cs="Times New Roman"/>
          <w:color w:val="000000"/>
          <w:sz w:val="20"/>
          <w:szCs w:val="20"/>
        </w:rPr>
        <w:t xml:space="preserve"> </w:t>
      </w:r>
    </w:p>
    <w:p w14:paraId="5F7634BA" w14:textId="70016402" w:rsidR="00181DE3" w:rsidRDefault="00181DE3" w:rsidP="00181DE3">
      <w:pPr>
        <w:ind w:firstLine="720"/>
        <w:rPr>
          <w:rFonts w:cs="Times New Roman"/>
          <w:color w:val="000000"/>
          <w:sz w:val="22"/>
        </w:rPr>
      </w:pPr>
      <w:r w:rsidRPr="00A245AA">
        <w:rPr>
          <w:rFonts w:cs="Times New Roman"/>
          <w:color w:val="000000"/>
          <w:sz w:val="22"/>
        </w:rPr>
        <w:lastRenderedPageBreak/>
        <w:t xml:space="preserve">The proposal by the Russian Federation </w:t>
      </w:r>
      <w:r>
        <w:rPr>
          <w:rFonts w:cs="Times New Roman"/>
          <w:color w:val="000000"/>
          <w:sz w:val="22"/>
        </w:rPr>
        <w:t>has echoes of the precautionary principle</w:t>
      </w:r>
      <w:r w:rsidRPr="005B292F">
        <w:rPr>
          <w:rStyle w:val="FootnoteReference"/>
        </w:rPr>
        <w:footnoteReference w:id="290"/>
      </w:r>
      <w:r>
        <w:rPr>
          <w:rFonts w:cs="Times New Roman"/>
          <w:color w:val="000000"/>
          <w:sz w:val="22"/>
        </w:rPr>
        <w:t>: mobilising the scientific uncertainty that exists around determining how geographically discrete the sturgeon populations in the Black Sea are, as a justification for the inclusion of all Black Sea range states in stronger sturgeon management arrangements in the meantime. A</w:t>
      </w:r>
      <w:r w:rsidRPr="00A245AA">
        <w:rPr>
          <w:rFonts w:cs="Times New Roman"/>
          <w:color w:val="000000"/>
          <w:sz w:val="22"/>
        </w:rPr>
        <w:t xml:space="preserve"> representative of the CITES Secretariat explained that there </w:t>
      </w:r>
      <w:r w:rsidR="008410EA">
        <w:rPr>
          <w:rFonts w:cs="Times New Roman"/>
          <w:color w:val="000000"/>
          <w:sz w:val="22"/>
        </w:rPr>
        <w:t>exists</w:t>
      </w:r>
      <w:r w:rsidRPr="00A245AA">
        <w:rPr>
          <w:rFonts w:cs="Times New Roman"/>
          <w:color w:val="000000"/>
          <w:sz w:val="22"/>
        </w:rPr>
        <w:t xml:space="preserve"> </w:t>
      </w:r>
      <w:r w:rsidR="008410EA">
        <w:rPr>
          <w:rFonts w:cs="Times New Roman"/>
          <w:color w:val="000000"/>
          <w:sz w:val="22"/>
        </w:rPr>
        <w:t xml:space="preserve">on-going </w:t>
      </w:r>
      <w:r w:rsidRPr="00A245AA">
        <w:rPr>
          <w:rFonts w:cs="Times New Roman"/>
          <w:color w:val="000000"/>
          <w:sz w:val="22"/>
        </w:rPr>
        <w:t xml:space="preserve">difficulty in establishing the extent of ecological separation between sturgeon stocks in the Black Sea. Ecologically, there are two main current systems in the West and East, and although there is some exchange between the two eddies, essentially they act as a natural ecological borderline </w:t>
      </w:r>
      <w:r>
        <w:rPr>
          <w:rFonts w:cs="Times New Roman"/>
          <w:color w:val="000000"/>
          <w:sz w:val="22"/>
        </w:rPr>
        <w:t>in the inland sea (see figure 8.2). D</w:t>
      </w:r>
      <w:r w:rsidRPr="00A245AA">
        <w:rPr>
          <w:rFonts w:cs="Times New Roman"/>
          <w:color w:val="000000"/>
          <w:sz w:val="22"/>
        </w:rPr>
        <w:t xml:space="preserve">espite this natural border, </w:t>
      </w:r>
      <w:r w:rsidR="008410EA">
        <w:rPr>
          <w:rFonts w:cs="Times New Roman"/>
          <w:color w:val="000000"/>
          <w:sz w:val="22"/>
        </w:rPr>
        <w:t>the question remains “</w:t>
      </w:r>
      <w:r>
        <w:rPr>
          <w:rFonts w:cs="Times New Roman"/>
          <w:color w:val="000000"/>
          <w:sz w:val="22"/>
        </w:rPr>
        <w:t>h</w:t>
      </w:r>
      <w:r w:rsidRPr="00A245AA">
        <w:rPr>
          <w:rFonts w:cs="Times New Roman"/>
          <w:color w:val="000000"/>
          <w:sz w:val="22"/>
        </w:rPr>
        <w:t>ow true are the sturgeon to these two eddies?</w:t>
      </w:r>
      <w:r w:rsidR="008410EA">
        <w:rPr>
          <w:rFonts w:cs="Times New Roman"/>
          <w:color w:val="000000"/>
          <w:sz w:val="22"/>
        </w:rPr>
        <w:t>”</w:t>
      </w:r>
      <w:r w:rsidRPr="005B292F">
        <w:rPr>
          <w:rStyle w:val="FootnoteReference"/>
        </w:rPr>
        <w:footnoteReference w:id="291"/>
      </w:r>
      <w:r>
        <w:rPr>
          <w:rFonts w:cs="Times New Roman"/>
          <w:color w:val="000000"/>
          <w:sz w:val="22"/>
        </w:rPr>
        <w:t>. The answer to this is ecologically and geopolitically important for determining the shared stocks.</w:t>
      </w:r>
    </w:p>
    <w:p w14:paraId="1097026A" w14:textId="0C445A54" w:rsidR="00F3238A" w:rsidRDefault="00F3238A" w:rsidP="00F3238A">
      <w:pPr>
        <w:rPr>
          <w:rFonts w:cs="Times New Roman"/>
          <w:color w:val="000000"/>
          <w:sz w:val="22"/>
        </w:rPr>
      </w:pPr>
      <w:r>
        <w:rPr>
          <w:rFonts w:cs="Times New Roman"/>
          <w:noProof/>
          <w:color w:val="000000"/>
          <w:sz w:val="22"/>
          <w:lang w:val="en-US" w:eastAsia="en-US"/>
        </w:rPr>
        <w:drawing>
          <wp:inline distT="0" distB="0" distL="0" distR="0" wp14:anchorId="3549F65F" wp14:editId="43C4E235">
            <wp:extent cx="5731510" cy="3104515"/>
            <wp:effectExtent l="0" t="0" r="889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20-06-02 at 17.27.24.png"/>
                    <pic:cNvPicPr/>
                  </pic:nvPicPr>
                  <pic:blipFill>
                    <a:blip r:embed="rId31">
                      <a:extLst>
                        <a:ext uri="{28A0092B-C50C-407E-A947-70E740481C1C}">
                          <a14:useLocalDpi xmlns:a14="http://schemas.microsoft.com/office/drawing/2010/main" val="0"/>
                        </a:ext>
                      </a:extLst>
                    </a:blip>
                    <a:stretch>
                      <a:fillRect/>
                    </a:stretch>
                  </pic:blipFill>
                  <pic:spPr>
                    <a:xfrm>
                      <a:off x="0" y="0"/>
                      <a:ext cx="5731510" cy="3104515"/>
                    </a:xfrm>
                    <a:prstGeom prst="rect">
                      <a:avLst/>
                    </a:prstGeom>
                  </pic:spPr>
                </pic:pic>
              </a:graphicData>
            </a:graphic>
          </wp:inline>
        </w:drawing>
      </w:r>
    </w:p>
    <w:p w14:paraId="42BC22AA" w14:textId="77777777" w:rsidR="00F3238A" w:rsidRDefault="00F3238A" w:rsidP="00F3238A">
      <w:pPr>
        <w:pStyle w:val="Heading4"/>
      </w:pPr>
      <w:bookmarkStart w:id="102" w:name="_Toc453224285"/>
      <w:r>
        <w:t>Figure 8.2: Scheme of the Black Sea circulation and eddy system</w:t>
      </w:r>
      <w:bookmarkEnd w:id="102"/>
    </w:p>
    <w:p w14:paraId="73717A0E" w14:textId="78220193" w:rsidR="00F3238A" w:rsidRPr="00F3238A" w:rsidRDefault="00F3238A" w:rsidP="00F3238A">
      <w:pPr>
        <w:rPr>
          <w:sz w:val="20"/>
          <w:szCs w:val="20"/>
        </w:rPr>
      </w:pPr>
      <w:r w:rsidRPr="00181DE3">
        <w:rPr>
          <w:sz w:val="20"/>
          <w:szCs w:val="20"/>
        </w:rPr>
        <w:t xml:space="preserve">Source: </w:t>
      </w:r>
      <w:r w:rsidRPr="00181DE3">
        <w:rPr>
          <w:sz w:val="20"/>
          <w:szCs w:val="20"/>
        </w:rPr>
        <w:fldChar w:fldCharType="begin" w:fldLock="1"/>
      </w:r>
      <w:r w:rsidR="00AB618C">
        <w:rPr>
          <w:sz w:val="20"/>
          <w:szCs w:val="20"/>
        </w:rPr>
        <w:instrText>ADDIN CSL_CITATION {"citationItems":[{"id":"ITEM-1","itemData":{"DOI":"10.1016/j.dsr.2014.12.002","ISSN":"09670637","abstract":"Mesoscale eddies in the Black Sea basin are investigated by automated eddy identification method (winding angle) using satellite altimetry data for 1992-2011. Seasonal and interannual eddy variability is strongly affected by the intensity of basin-scale circulation. Weakening of large-scale circulation in response to the decrease of the wind curl leads to the baroclinic instability of the Rim current and enhanced formation of mesoscale anticyclones. Increasing wind curl and circulation induce intensive formation of mesoscale cyclones. Intense developed large-scale circulation leads to the decrease in the number of both cyclonic and anticyclonic eddies. Eddies properties (orbital velocity, energy and lifetime) on the interannual time scales also depend on the intensity of the large-scale circulation. It was shown that the most powerful and long-lived anticyclones are generated in years with intense currents, right after the currents begin slowing down, which is related to the transfer of energy from large- to meso-spatial scales. Mechanisms of eddies formation and dissipation are discussed.","author":[{"dropping-particle":"","family":"Kubryakov","given":"A. A.","non-dropping-particle":"","parse-names":false,"suffix":""},{"dropping-particle":"V.","family":"Stanichny","given":"S.","non-dropping-particle":"","parse-names":false,"suffix":""}],"container-title":"Deep-Sea Research Part I: Oceanographic Research Papers","id":"ITEM-1","issued":{"date-parts":[["2015"]]},"page":"80-91","publisher":"Elsevier","title":"Seasonal and interannual variability of the Black Sea eddies and its dependence on characteristics of the large-scale circulation","type":"article-journal","volume":"97"},"uris":["http://www.mendeley.com/documents/?uuid=7838aac7-a0bd-46ec-8178-e655644069bb"]}],"mendeley":{"formattedCitation":"(Kubryakov and Stanichny, 2015)","manualFormatting":"Kubryakov and Stanichny (2015)","plainTextFormattedCitation":"(Kubryakov and Stanichny, 2015)","previouslyFormattedCitation":"(Kubryakov and Stanichny, 2015)"},"properties":{"noteIndex":0},"schema":"https://github.com/citation-style-language/schema/raw/master/csl-citation.json"}</w:instrText>
      </w:r>
      <w:r w:rsidRPr="00181DE3">
        <w:rPr>
          <w:sz w:val="20"/>
          <w:szCs w:val="20"/>
        </w:rPr>
        <w:fldChar w:fldCharType="separate"/>
      </w:r>
      <w:r w:rsidRPr="00181DE3">
        <w:rPr>
          <w:noProof/>
          <w:sz w:val="20"/>
          <w:szCs w:val="20"/>
        </w:rPr>
        <w:t>Kubryakov and Stanichny (2015)</w:t>
      </w:r>
      <w:r w:rsidRPr="00181DE3">
        <w:rPr>
          <w:sz w:val="20"/>
          <w:szCs w:val="20"/>
        </w:rPr>
        <w:fldChar w:fldCharType="end"/>
      </w:r>
    </w:p>
    <w:p w14:paraId="72956E3B" w14:textId="77777777" w:rsidR="008410EA" w:rsidRDefault="00FE14D7" w:rsidP="00FE14D7">
      <w:pPr>
        <w:rPr>
          <w:rFonts w:cs="Times New Roman"/>
          <w:color w:val="000000"/>
          <w:sz w:val="22"/>
        </w:rPr>
      </w:pPr>
      <w:r w:rsidRPr="00A245AA">
        <w:rPr>
          <w:rFonts w:cs="Times New Roman"/>
          <w:color w:val="000000"/>
          <w:sz w:val="22"/>
        </w:rPr>
        <w:tab/>
        <w:t>The la</w:t>
      </w:r>
      <w:r>
        <w:rPr>
          <w:rFonts w:cs="Times New Roman"/>
          <w:color w:val="000000"/>
          <w:sz w:val="22"/>
        </w:rPr>
        <w:t>ck of progress on resolving the shared-stoc</w:t>
      </w:r>
      <w:r w:rsidR="00F3238A">
        <w:rPr>
          <w:rFonts w:cs="Times New Roman"/>
          <w:color w:val="000000"/>
          <w:sz w:val="22"/>
        </w:rPr>
        <w:t>k question resides in the fact “</w:t>
      </w:r>
      <w:r w:rsidRPr="00A245AA">
        <w:rPr>
          <w:rFonts w:cs="Times New Roman"/>
          <w:color w:val="000000"/>
          <w:sz w:val="22"/>
        </w:rPr>
        <w:t>that the range states in the region, they’re not super keen to cooperate with each other</w:t>
      </w:r>
      <w:r w:rsidR="00F3238A">
        <w:rPr>
          <w:rFonts w:cs="Times New Roman"/>
          <w:color w:val="000000"/>
          <w:sz w:val="22"/>
        </w:rPr>
        <w:t>”</w:t>
      </w:r>
      <w:r w:rsidRPr="005B292F">
        <w:rPr>
          <w:rStyle w:val="FootnoteReference"/>
        </w:rPr>
        <w:footnoteReference w:id="292"/>
      </w:r>
      <w:r w:rsidRPr="00A245AA">
        <w:rPr>
          <w:rFonts w:cs="Times New Roman"/>
          <w:color w:val="000000"/>
          <w:sz w:val="22"/>
        </w:rPr>
        <w:t xml:space="preserve">. Wilhelm </w:t>
      </w:r>
      <w:r>
        <w:rPr>
          <w:rFonts w:cs="Times New Roman"/>
          <w:color w:val="000000"/>
          <w:sz w:val="22"/>
        </w:rPr>
        <w:t>explained</w:t>
      </w:r>
      <w:r w:rsidRPr="00A245AA">
        <w:rPr>
          <w:rFonts w:cs="Times New Roman"/>
          <w:color w:val="000000"/>
          <w:sz w:val="22"/>
        </w:rPr>
        <w:t xml:space="preserve"> that the Russian Federation have put </w:t>
      </w:r>
      <w:r>
        <w:rPr>
          <w:rFonts w:cs="Times New Roman"/>
          <w:color w:val="000000"/>
          <w:sz w:val="22"/>
        </w:rPr>
        <w:t xml:space="preserve">together restocking programmes, </w:t>
      </w:r>
      <w:r w:rsidRPr="00A245AA">
        <w:rPr>
          <w:rFonts w:cs="Times New Roman"/>
          <w:color w:val="000000"/>
          <w:sz w:val="22"/>
        </w:rPr>
        <w:t xml:space="preserve">and established what they describe as ‘Genetic Passports’ for all sturgeon fingerlings that they have released into the Black Sea. The Russian Federation are cognisant of the fact that </w:t>
      </w:r>
      <w:r>
        <w:rPr>
          <w:rFonts w:cs="Times New Roman"/>
          <w:color w:val="000000"/>
          <w:sz w:val="22"/>
        </w:rPr>
        <w:t xml:space="preserve">the Lower Danube countries bordering the Black Sea </w:t>
      </w:r>
      <w:r w:rsidR="008410EA">
        <w:rPr>
          <w:rFonts w:cs="Times New Roman"/>
          <w:color w:val="000000"/>
          <w:sz w:val="22"/>
        </w:rPr>
        <w:t xml:space="preserve">are </w:t>
      </w:r>
      <w:r w:rsidRPr="00A245AA">
        <w:rPr>
          <w:rFonts w:cs="Times New Roman"/>
          <w:color w:val="000000"/>
          <w:sz w:val="22"/>
        </w:rPr>
        <w:t>also engaged in ongoing restocking prog</w:t>
      </w:r>
      <w:r w:rsidR="008410EA">
        <w:rPr>
          <w:rFonts w:cs="Times New Roman"/>
          <w:color w:val="000000"/>
          <w:sz w:val="22"/>
        </w:rPr>
        <w:t xml:space="preserve">rammes and </w:t>
      </w:r>
      <w:r>
        <w:rPr>
          <w:rFonts w:cs="Times New Roman"/>
          <w:color w:val="000000"/>
          <w:sz w:val="22"/>
        </w:rPr>
        <w:t>scientific</w:t>
      </w:r>
      <w:r w:rsidRPr="00A245AA">
        <w:rPr>
          <w:rFonts w:cs="Times New Roman"/>
          <w:color w:val="000000"/>
          <w:sz w:val="22"/>
        </w:rPr>
        <w:t xml:space="preserve"> research activities. As such, the information these countries possess</w:t>
      </w:r>
      <w:r>
        <w:rPr>
          <w:rFonts w:cs="Times New Roman"/>
          <w:color w:val="000000"/>
          <w:sz w:val="22"/>
        </w:rPr>
        <w:t xml:space="preserve"> is seen as valuable</w:t>
      </w:r>
      <w:r w:rsidR="00F3238A">
        <w:rPr>
          <w:rFonts w:cs="Times New Roman"/>
          <w:color w:val="000000"/>
          <w:sz w:val="22"/>
        </w:rPr>
        <w:t xml:space="preserve"> for conservation, and “</w:t>
      </w:r>
      <w:r w:rsidRPr="00A245AA">
        <w:rPr>
          <w:rFonts w:cs="Times New Roman"/>
          <w:color w:val="000000"/>
          <w:sz w:val="22"/>
        </w:rPr>
        <w:t xml:space="preserve">so what they’re </w:t>
      </w:r>
      <w:r w:rsidRPr="00A245AA">
        <w:rPr>
          <w:rFonts w:cs="Times New Roman"/>
          <w:color w:val="000000"/>
          <w:sz w:val="22"/>
        </w:rPr>
        <w:lastRenderedPageBreak/>
        <w:t>[Russian Federation] saying is ‘Give us access to your data, we give you access to our data, and let’s try to solve this scientifically’</w:t>
      </w:r>
      <w:r w:rsidR="00F3238A">
        <w:rPr>
          <w:rFonts w:cs="Times New Roman"/>
          <w:color w:val="000000"/>
          <w:sz w:val="22"/>
        </w:rPr>
        <w:t>”</w:t>
      </w:r>
      <w:r w:rsidRPr="005B292F">
        <w:rPr>
          <w:rStyle w:val="FootnoteReference"/>
        </w:rPr>
        <w:footnoteReference w:id="293"/>
      </w:r>
      <w:r>
        <w:rPr>
          <w:rFonts w:cs="Times New Roman"/>
          <w:color w:val="000000"/>
          <w:sz w:val="22"/>
        </w:rPr>
        <w:t>.  </w:t>
      </w:r>
    </w:p>
    <w:p w14:paraId="2F3E3C7E" w14:textId="56A939CE" w:rsidR="00F3238A" w:rsidRPr="00F3238A" w:rsidRDefault="00FE14D7" w:rsidP="008410EA">
      <w:pPr>
        <w:ind w:firstLine="720"/>
        <w:rPr>
          <w:rFonts w:cs="Times New Roman"/>
          <w:color w:val="000000"/>
          <w:sz w:val="22"/>
        </w:rPr>
      </w:pPr>
      <w:r>
        <w:rPr>
          <w:rFonts w:cs="Times New Roman"/>
          <w:color w:val="000000"/>
          <w:sz w:val="22"/>
        </w:rPr>
        <w:t xml:space="preserve">However, there has been </w:t>
      </w:r>
      <w:r w:rsidR="008410EA">
        <w:rPr>
          <w:rFonts w:cs="Times New Roman"/>
          <w:color w:val="000000"/>
          <w:sz w:val="22"/>
        </w:rPr>
        <w:t xml:space="preserve">mounting </w:t>
      </w:r>
      <w:r>
        <w:rPr>
          <w:rFonts w:cs="Times New Roman"/>
          <w:color w:val="000000"/>
          <w:sz w:val="22"/>
        </w:rPr>
        <w:t xml:space="preserve">speculation that the motivations behind the push to amend the shared stock listing is less about sharing data, and more a question of resources and territory. </w:t>
      </w:r>
      <w:r w:rsidRPr="00A245AA">
        <w:rPr>
          <w:rFonts w:cs="Times New Roman"/>
          <w:color w:val="000000"/>
          <w:sz w:val="22"/>
        </w:rPr>
        <w:t>If the Russian Federation were to be included (alongside other countries) as part of a singular Black Sea shared stock, given the future possibility that zero-</w:t>
      </w:r>
      <w:r>
        <w:rPr>
          <w:rFonts w:cs="Times New Roman"/>
          <w:color w:val="000000"/>
          <w:sz w:val="22"/>
        </w:rPr>
        <w:t>export</w:t>
      </w:r>
      <w:r w:rsidRPr="00A245AA">
        <w:rPr>
          <w:rFonts w:cs="Times New Roman"/>
          <w:color w:val="000000"/>
          <w:sz w:val="22"/>
        </w:rPr>
        <w:t xml:space="preserve"> quotas</w:t>
      </w:r>
      <w:r>
        <w:rPr>
          <w:rFonts w:cs="Times New Roman"/>
          <w:color w:val="000000"/>
          <w:sz w:val="22"/>
        </w:rPr>
        <w:t xml:space="preserve"> and fishing bans</w:t>
      </w:r>
      <w:r w:rsidRPr="00A245AA">
        <w:rPr>
          <w:rFonts w:cs="Times New Roman"/>
          <w:color w:val="000000"/>
          <w:sz w:val="22"/>
        </w:rPr>
        <w:t xml:space="preserve"> may be lifted, this would grant them access to fishing rights and any future sturgeon resources. </w:t>
      </w:r>
      <w:r w:rsidR="00317EC1" w:rsidRPr="00A245AA">
        <w:rPr>
          <w:rFonts w:cs="Times New Roman"/>
          <w:color w:val="000000"/>
          <w:sz w:val="22"/>
        </w:rPr>
        <w:t>Moreover, the Black Sea region is of strategic importance in terms of Russian foreign politics - particularly related to the Russian annexation of Crimea</w:t>
      </w:r>
      <w:r w:rsidR="00317EC1" w:rsidRPr="005B292F">
        <w:rPr>
          <w:rStyle w:val="FootnoteReference"/>
        </w:rPr>
        <w:footnoteReference w:id="294"/>
      </w:r>
      <w:r w:rsidR="00317EC1" w:rsidRPr="00A245AA">
        <w:rPr>
          <w:rFonts w:cs="Times New Roman"/>
          <w:color w:val="000000"/>
          <w:sz w:val="22"/>
        </w:rPr>
        <w:t xml:space="preserve">. From the Russian perspective Crimea is Russian rather than Ukrainian territory, and this would </w:t>
      </w:r>
      <w:r w:rsidR="008410EA">
        <w:rPr>
          <w:rFonts w:cs="Times New Roman"/>
          <w:color w:val="000000"/>
          <w:sz w:val="22"/>
        </w:rPr>
        <w:t xml:space="preserve">therefore </w:t>
      </w:r>
      <w:r w:rsidR="00317EC1" w:rsidRPr="00A245AA">
        <w:rPr>
          <w:rFonts w:cs="Times New Roman"/>
          <w:color w:val="000000"/>
          <w:sz w:val="22"/>
        </w:rPr>
        <w:t>position Russia as a range state under the existing ‘</w:t>
      </w:r>
      <w:r w:rsidR="00317EC1" w:rsidRPr="00A245AA">
        <w:rPr>
          <w:rFonts w:cs="Times New Roman"/>
          <w:i/>
          <w:iCs/>
          <w:color w:val="000000"/>
          <w:sz w:val="22"/>
        </w:rPr>
        <w:t>North-West Black Sea and Lower Danube</w:t>
      </w:r>
      <w:r w:rsidR="00317EC1" w:rsidRPr="00A245AA">
        <w:rPr>
          <w:rFonts w:cs="Times New Roman"/>
          <w:color w:val="000000"/>
          <w:sz w:val="22"/>
        </w:rPr>
        <w:t>’ shared stock. However, the majority of international governments dispute this annexation, and organisations such as NATO have described Ru</w:t>
      </w:r>
      <w:r w:rsidR="00F3238A">
        <w:rPr>
          <w:rFonts w:cs="Times New Roman"/>
          <w:color w:val="000000"/>
          <w:sz w:val="22"/>
        </w:rPr>
        <w:t>ssia’s annexation of Crimea as “</w:t>
      </w:r>
      <w:r w:rsidR="00317EC1" w:rsidRPr="00A245AA">
        <w:rPr>
          <w:rFonts w:cs="Times New Roman"/>
          <w:color w:val="000000"/>
          <w:sz w:val="22"/>
        </w:rPr>
        <w:t>illegal and illegitimate</w:t>
      </w:r>
      <w:r w:rsidR="00F3238A">
        <w:rPr>
          <w:rFonts w:cs="Times New Roman"/>
          <w:color w:val="000000"/>
          <w:sz w:val="22"/>
        </w:rPr>
        <w:t>”</w:t>
      </w:r>
      <w:r w:rsidR="00F3238A" w:rsidRPr="005B292F">
        <w:rPr>
          <w:rStyle w:val="FootnoteReference"/>
        </w:rPr>
        <w:footnoteReference w:id="295"/>
      </w:r>
      <w:r w:rsidR="00317EC1" w:rsidRPr="00A245AA">
        <w:rPr>
          <w:rFonts w:cs="Times New Roman"/>
          <w:color w:val="000000"/>
          <w:sz w:val="22"/>
        </w:rPr>
        <w:t>. As such, a proposed amendment to be included under the existing shared stock designation would not be possible. Instead, the Russian Federation made a unilateral decision to attempt to persuade the CITES Secretariat to declare the Black Sea a single shared stock, thereby giving Russia greater legitimacy to a presence in the Crimean Peninsula, under the guise of</w:t>
      </w:r>
      <w:r w:rsidR="00317EC1">
        <w:rPr>
          <w:rFonts w:cs="Times New Roman"/>
          <w:color w:val="000000"/>
          <w:sz w:val="22"/>
        </w:rPr>
        <w:t xml:space="preserve"> sturgeon management</w:t>
      </w:r>
      <w:r w:rsidR="00317EC1" w:rsidRPr="00A245AA">
        <w:rPr>
          <w:rFonts w:cs="Times New Roman"/>
          <w:color w:val="000000"/>
          <w:sz w:val="22"/>
        </w:rPr>
        <w:t>.</w:t>
      </w:r>
    </w:p>
    <w:p w14:paraId="35FC509E" w14:textId="5B8F1DAE" w:rsidR="00FE14D7" w:rsidRPr="00A245AA" w:rsidRDefault="00FE14D7" w:rsidP="00FE14D7">
      <w:pPr>
        <w:ind w:firstLine="720"/>
        <w:rPr>
          <w:rFonts w:ascii="-webkit-standard" w:hAnsi="-webkit-standard" w:cs="Times New Roman"/>
          <w:color w:val="000000"/>
          <w:sz w:val="22"/>
        </w:rPr>
      </w:pPr>
      <w:r w:rsidRPr="00A245AA">
        <w:rPr>
          <w:rFonts w:cs="Times New Roman"/>
          <w:color w:val="000000"/>
          <w:sz w:val="22"/>
        </w:rPr>
        <w:t>Thus, the CITES Secretariat acknowledge that the controversy around the contents of the</w:t>
      </w:r>
      <w:r w:rsidR="00F3238A">
        <w:rPr>
          <w:rFonts w:cs="Times New Roman"/>
          <w:color w:val="000000"/>
          <w:sz w:val="22"/>
        </w:rPr>
        <w:t xml:space="preserve"> table is not just ecological, “</w:t>
      </w:r>
      <w:r w:rsidRPr="00A245AA">
        <w:rPr>
          <w:rFonts w:cs="Times New Roman"/>
          <w:color w:val="000000"/>
          <w:sz w:val="22"/>
        </w:rPr>
        <w:t>but it also has a political component</w:t>
      </w:r>
      <w:r w:rsidR="00F3238A">
        <w:rPr>
          <w:rFonts w:cs="Times New Roman"/>
          <w:color w:val="000000"/>
          <w:sz w:val="22"/>
        </w:rPr>
        <w:t>”</w:t>
      </w:r>
      <w:r w:rsidRPr="005B292F">
        <w:rPr>
          <w:rStyle w:val="FootnoteReference"/>
        </w:rPr>
        <w:footnoteReference w:id="296"/>
      </w:r>
      <w:r w:rsidRPr="00A245AA">
        <w:rPr>
          <w:rFonts w:cs="Times New Roman"/>
          <w:color w:val="000000"/>
          <w:sz w:val="22"/>
        </w:rPr>
        <w:t xml:space="preserve">. This came to a head at the CITES 69th Standing Committee held in Geneva, Switzerland between 27th November and 1st December 2017. A representative of the </w:t>
      </w:r>
      <w:r w:rsidR="003C0645">
        <w:rPr>
          <w:rFonts w:cs="Times New Roman"/>
          <w:color w:val="000000"/>
          <w:sz w:val="22"/>
        </w:rPr>
        <w:t>CITES Secretariat</w:t>
      </w:r>
      <w:r w:rsidRPr="00A245AA">
        <w:rPr>
          <w:rFonts w:cs="Times New Roman"/>
          <w:color w:val="000000"/>
          <w:sz w:val="22"/>
        </w:rPr>
        <w:t xml:space="preserve"> present at this meeting</w:t>
      </w:r>
      <w:r w:rsidR="003C0645">
        <w:rPr>
          <w:rFonts w:cs="Times New Roman"/>
          <w:color w:val="000000"/>
          <w:sz w:val="22"/>
        </w:rPr>
        <w:t>,</w:t>
      </w:r>
      <w:r w:rsidRPr="00A245AA">
        <w:rPr>
          <w:rFonts w:cs="Times New Roman"/>
          <w:color w:val="000000"/>
          <w:sz w:val="22"/>
        </w:rPr>
        <w:t xml:space="preserve"> described the events as they unfolded:</w:t>
      </w:r>
    </w:p>
    <w:p w14:paraId="2BAD9E35" w14:textId="1C728FFA" w:rsidR="00FE14D7" w:rsidRPr="00A245AA" w:rsidRDefault="00FE14D7" w:rsidP="00C91642">
      <w:pPr>
        <w:pStyle w:val="Quote"/>
        <w:rPr>
          <w:rFonts w:ascii="-webkit-standard" w:hAnsi="-webkit-standard"/>
        </w:rPr>
      </w:pPr>
      <w:r w:rsidRPr="00A245AA">
        <w:t>We actually had a very tense political discussion between Ukraine and Russia, because Russia in their information document where they were outlining their reasoning for why it should be the entire Black Sea, they decided not to mention Ukraine, but to just describe geographical features. But then Ukraine intervened at that very high-level and said this is violating the United Nations General Assembly Resolution on the inviolability of the Ukrainian territory</w:t>
      </w:r>
      <w:r w:rsidRPr="005B292F">
        <w:rPr>
          <w:rStyle w:val="FootnoteReference"/>
        </w:rPr>
        <w:footnoteReference w:id="297"/>
      </w:r>
      <w:r w:rsidRPr="00A245AA">
        <w:t>.</w:t>
      </w:r>
    </w:p>
    <w:p w14:paraId="799A19FC" w14:textId="77777777" w:rsidR="008410EA" w:rsidRDefault="00FE14D7" w:rsidP="00FE14D7">
      <w:pPr>
        <w:rPr>
          <w:rFonts w:cs="Times New Roman"/>
          <w:color w:val="000000"/>
          <w:sz w:val="22"/>
        </w:rPr>
      </w:pPr>
      <w:r w:rsidRPr="00A245AA">
        <w:rPr>
          <w:rFonts w:cs="Times New Roman"/>
          <w:color w:val="000000"/>
          <w:sz w:val="22"/>
        </w:rPr>
        <w:tab/>
        <w:t>These developments and protracted discussions highlight how the question of determining shared sturgeon stocks is not solely about the conservation</w:t>
      </w:r>
      <w:r>
        <w:rPr>
          <w:rFonts w:cs="Times New Roman"/>
          <w:color w:val="000000"/>
          <w:sz w:val="22"/>
        </w:rPr>
        <w:t xml:space="preserve"> and management</w:t>
      </w:r>
      <w:r w:rsidRPr="00A245AA">
        <w:rPr>
          <w:rFonts w:cs="Times New Roman"/>
          <w:color w:val="000000"/>
          <w:sz w:val="22"/>
        </w:rPr>
        <w:t xml:space="preserve"> of sturgeon, but has clear </w:t>
      </w:r>
      <w:r w:rsidRPr="00A245AA">
        <w:rPr>
          <w:rFonts w:cs="Times New Roman"/>
          <w:color w:val="000000"/>
          <w:sz w:val="22"/>
        </w:rPr>
        <w:lastRenderedPageBreak/>
        <w:t xml:space="preserve">geopolitical undertones. By proposing the creation of a new shared stock, which positions the Russian Federation as a legitimate range state to the entirety of the Black Sea, the Russian Federation thereby attempt to capitalise upon the gaps in scientific knowledge around the </w:t>
      </w:r>
      <w:r w:rsidR="008410EA">
        <w:rPr>
          <w:rFonts w:cs="Times New Roman"/>
          <w:color w:val="000000"/>
          <w:sz w:val="22"/>
        </w:rPr>
        <w:t>sturgeon ecologies and</w:t>
      </w:r>
      <w:r w:rsidR="003C0645">
        <w:rPr>
          <w:rFonts w:cs="Times New Roman"/>
          <w:color w:val="000000"/>
          <w:sz w:val="22"/>
        </w:rPr>
        <w:t xml:space="preserve"> the current systems of</w:t>
      </w:r>
      <w:r w:rsidRPr="00A245AA">
        <w:rPr>
          <w:rFonts w:cs="Times New Roman"/>
          <w:color w:val="000000"/>
          <w:sz w:val="22"/>
        </w:rPr>
        <w:t xml:space="preserve"> the Black Sea. By putting forward their own proposed amendments to the resolution, the Russian Federation seek to both gain access to sturgeon in the Black Sea and use this as a vehicle to legitimately establish control and influence in a geopolitically contested territory. </w:t>
      </w:r>
    </w:p>
    <w:p w14:paraId="3E9B24CE" w14:textId="27E3DE39" w:rsidR="00FE14D7" w:rsidRPr="00A245AA" w:rsidRDefault="008410EA" w:rsidP="008410EA">
      <w:pPr>
        <w:ind w:firstLine="720"/>
        <w:rPr>
          <w:rFonts w:cs="Times New Roman"/>
          <w:color w:val="000000"/>
          <w:sz w:val="22"/>
        </w:rPr>
      </w:pPr>
      <w:r>
        <w:rPr>
          <w:rFonts w:cs="Times New Roman"/>
          <w:color w:val="000000"/>
          <w:sz w:val="22"/>
        </w:rPr>
        <w:t>Thus, in r</w:t>
      </w:r>
      <w:r w:rsidR="00FE14D7">
        <w:rPr>
          <w:rFonts w:cs="Times New Roman"/>
          <w:color w:val="000000"/>
          <w:sz w:val="22"/>
        </w:rPr>
        <w:t xml:space="preserve">eturning </w:t>
      </w:r>
      <w:r w:rsidR="00FE14D7" w:rsidRPr="00A245AA">
        <w:rPr>
          <w:rFonts w:cs="Times New Roman"/>
          <w:color w:val="000000"/>
          <w:sz w:val="22"/>
        </w:rPr>
        <w:t>to Rose’s assertion that the Black Sea is the ‘Wild East’</w:t>
      </w:r>
      <w:r w:rsidR="00FE14D7">
        <w:rPr>
          <w:rFonts w:cs="Times New Roman"/>
          <w:color w:val="000000"/>
          <w:sz w:val="22"/>
        </w:rPr>
        <w:t xml:space="preserve">, this statement directly plays upon and alludes to the </w:t>
      </w:r>
      <w:r w:rsidR="003C0645">
        <w:rPr>
          <w:rFonts w:cs="Times New Roman"/>
          <w:color w:val="000000"/>
          <w:sz w:val="22"/>
        </w:rPr>
        <w:t xml:space="preserve">frontier </w:t>
      </w:r>
      <w:r w:rsidR="00FE14D7">
        <w:rPr>
          <w:rFonts w:cs="Times New Roman"/>
          <w:color w:val="000000"/>
          <w:sz w:val="22"/>
        </w:rPr>
        <w:t xml:space="preserve">politics of the ‘Wild West’. In reality, the Black Sea </w:t>
      </w:r>
      <w:r w:rsidR="00FE14D7" w:rsidRPr="00284027">
        <w:rPr>
          <w:rFonts w:cs="Times New Roman"/>
          <w:i/>
          <w:color w:val="000000"/>
          <w:sz w:val="22"/>
        </w:rPr>
        <w:t>has</w:t>
      </w:r>
      <w:r w:rsidR="00FE14D7">
        <w:rPr>
          <w:rFonts w:cs="Times New Roman"/>
          <w:color w:val="000000"/>
          <w:sz w:val="22"/>
        </w:rPr>
        <w:t xml:space="preserve"> been refigured as a frontier space with littoral states vying for access to and control of the resources in its waters. </w:t>
      </w:r>
      <w:r w:rsidR="00FE14D7" w:rsidRPr="00A245AA">
        <w:rPr>
          <w:rFonts w:cs="Times New Roman"/>
          <w:color w:val="000000"/>
          <w:sz w:val="22"/>
        </w:rPr>
        <w:t xml:space="preserve">By adapting grey areas in regulations to suit their geopolitical motivations, </w:t>
      </w:r>
      <w:r w:rsidR="00FE14D7">
        <w:rPr>
          <w:rFonts w:cs="Times New Roman"/>
          <w:color w:val="000000"/>
          <w:sz w:val="22"/>
        </w:rPr>
        <w:t xml:space="preserve">the Russian Federation attempt to use sturgeon as a mechanism </w:t>
      </w:r>
      <w:r w:rsidR="00FE14D7" w:rsidRPr="00A245AA">
        <w:rPr>
          <w:rFonts w:cs="Times New Roman"/>
          <w:color w:val="000000"/>
          <w:sz w:val="22"/>
        </w:rPr>
        <w:t>by which they can gain control and influence in the region</w:t>
      </w:r>
      <w:r w:rsidR="00FE14D7">
        <w:rPr>
          <w:rFonts w:cs="Times New Roman"/>
          <w:color w:val="000000"/>
          <w:sz w:val="22"/>
        </w:rPr>
        <w:t xml:space="preserve">. </w:t>
      </w:r>
    </w:p>
    <w:p w14:paraId="60DFCC99" w14:textId="6BD0E5FB" w:rsidR="00FE14D7" w:rsidRPr="00A245AA" w:rsidRDefault="00FE14D7" w:rsidP="00FE14D7">
      <w:pPr>
        <w:rPr>
          <w:rFonts w:ascii="-webkit-standard" w:hAnsi="-webkit-standard" w:cs="Times New Roman"/>
          <w:color w:val="000000"/>
          <w:sz w:val="22"/>
        </w:rPr>
      </w:pPr>
      <w:r w:rsidRPr="00A245AA">
        <w:rPr>
          <w:rFonts w:cs="Times New Roman"/>
          <w:color w:val="000000"/>
          <w:sz w:val="22"/>
        </w:rPr>
        <w:tab/>
        <w:t>Nevertheless, regarding the discussions</w:t>
      </w:r>
      <w:r>
        <w:rPr>
          <w:rFonts w:cs="Times New Roman"/>
          <w:color w:val="000000"/>
          <w:sz w:val="22"/>
        </w:rPr>
        <w:t xml:space="preserve"> over the designation of shared stocks</w:t>
      </w:r>
      <w:r w:rsidRPr="00A245AA">
        <w:rPr>
          <w:rFonts w:cs="Times New Roman"/>
          <w:color w:val="000000"/>
          <w:sz w:val="22"/>
        </w:rPr>
        <w:t xml:space="preserve"> at CITES Cop17 and later Standing Committee meetings, no consensus could be reached amongst the parties. As such, Annex 3 of </w:t>
      </w:r>
      <w:r w:rsidR="003C0645">
        <w:rPr>
          <w:rFonts w:cs="Times New Roman"/>
          <w:color w:val="000000"/>
          <w:sz w:val="22"/>
        </w:rPr>
        <w:t xml:space="preserve">CITES </w:t>
      </w:r>
      <w:r w:rsidRPr="00A245AA">
        <w:rPr>
          <w:rFonts w:cs="Times New Roman"/>
          <w:color w:val="000000"/>
          <w:sz w:val="22"/>
        </w:rPr>
        <w:t xml:space="preserve">Resolution 12.7 detailing the shared stocks currently remains unchanged. But, further investigation into the scientific basis of the delimitation of shared stocks is </w:t>
      </w:r>
      <w:r>
        <w:rPr>
          <w:rFonts w:cs="Times New Roman"/>
          <w:color w:val="000000"/>
          <w:sz w:val="22"/>
        </w:rPr>
        <w:t>on</w:t>
      </w:r>
      <w:r w:rsidR="008410EA">
        <w:rPr>
          <w:rFonts w:cs="Times New Roman"/>
          <w:color w:val="000000"/>
          <w:sz w:val="22"/>
        </w:rPr>
        <w:t>-</w:t>
      </w:r>
      <w:r w:rsidRPr="00A245AA">
        <w:rPr>
          <w:rFonts w:cs="Times New Roman"/>
          <w:color w:val="000000"/>
          <w:sz w:val="22"/>
        </w:rPr>
        <w:t>going. The CITES Animals Committee have subsequently encouraged:</w:t>
      </w:r>
    </w:p>
    <w:p w14:paraId="1367BA39" w14:textId="4813ADA4" w:rsidR="00AB618C" w:rsidRDefault="00FE14D7" w:rsidP="00A5330E">
      <w:pPr>
        <w:pStyle w:val="Quote"/>
      </w:pPr>
      <w:r w:rsidRPr="00A245AA">
        <w:t xml:space="preserve">All CITES parties bordering the Black Sea and Danube river to collaborate on research to address knowledge gaps regarding the </w:t>
      </w:r>
      <w:r w:rsidRPr="00B5074E">
        <w:rPr>
          <w:b/>
        </w:rPr>
        <w:t>distribution and migration</w:t>
      </w:r>
      <w:r w:rsidRPr="00A245AA">
        <w:t xml:space="preserve"> of stocks of sturgeon species in their respective jurisdiction… to establish the basis for science-based delimitation of stoc</w:t>
      </w:r>
      <w:r w:rsidR="003C0645">
        <w:t>ks in the Danube and Black Sea.</w:t>
      </w:r>
      <w:r w:rsidRPr="00A245AA">
        <w:t xml:space="preserve"> </w:t>
      </w:r>
      <w:r w:rsidR="00AB618C">
        <w:fldChar w:fldCharType="begin" w:fldLock="1"/>
      </w:r>
      <w:r w:rsidR="001B579C">
        <w:instrText>ADDIN CSL_CITATION {"citationItems":[{"id":"ITEM-1","itemData":{"author":[{"dropping-particle":"","family":"CITES","given":"","non-dropping-particle":"","parse-names":false,"suffix":""}],"id":"ITEM-1","issued":{"date-parts":[["2017"]]},"page":"5-6","title":"SC69 Doc. 46.2 – p. 1","type":"article-journal"},"uris":["http://www.mendeley.com/documents/?uuid=d7d67033-682b-480c-9cd2-816a0bc97f57"]}],"mendeley":{"formattedCitation":"(CITES, 2017)","manualFormatting":"(CITES, 2017: 2)","plainTextFormattedCitation":"(CITES, 2017)","previouslyFormattedCitation":"(CITES, 2017)"},"properties":{"noteIndex":0},"schema":"https://github.com/citation-style-language/schema/raw/master/csl-citation.json"}</w:instrText>
      </w:r>
      <w:r w:rsidR="00AB618C">
        <w:fldChar w:fldCharType="separate"/>
      </w:r>
      <w:r w:rsidR="00AB618C" w:rsidRPr="00AB618C">
        <w:rPr>
          <w:noProof/>
        </w:rPr>
        <w:t>(CITES, 2017</w:t>
      </w:r>
      <w:r w:rsidR="00AB618C">
        <w:rPr>
          <w:noProof/>
        </w:rPr>
        <w:t>: 2</w:t>
      </w:r>
      <w:r w:rsidR="008410EA">
        <w:rPr>
          <w:noProof/>
        </w:rPr>
        <w:t xml:space="preserve"> emphasis added</w:t>
      </w:r>
      <w:r w:rsidR="00AB618C" w:rsidRPr="00AB618C">
        <w:rPr>
          <w:noProof/>
        </w:rPr>
        <w:t>)</w:t>
      </w:r>
      <w:r w:rsidR="00AB618C">
        <w:fldChar w:fldCharType="end"/>
      </w:r>
    </w:p>
    <w:p w14:paraId="47748FD1" w14:textId="77777777" w:rsidR="00FE14D7" w:rsidRPr="00A245AA" w:rsidRDefault="00FE14D7" w:rsidP="00FE14D7">
      <w:pPr>
        <w:rPr>
          <w:rFonts w:ascii="-webkit-standard" w:hAnsi="-webkit-standard" w:cs="Times New Roman"/>
          <w:color w:val="000000"/>
          <w:sz w:val="22"/>
        </w:rPr>
      </w:pPr>
      <w:r w:rsidRPr="00A245AA">
        <w:rPr>
          <w:rFonts w:cs="Times New Roman"/>
          <w:color w:val="000000"/>
          <w:sz w:val="22"/>
        </w:rPr>
        <w:t>However, with existing geopolitical tensions running high in the region, it is unclear to what extent the Black Sea range states will be willing to collaborate; particularly when changes to the status quo</w:t>
      </w:r>
      <w:r>
        <w:rPr>
          <w:rFonts w:cs="Times New Roman"/>
          <w:color w:val="000000"/>
          <w:sz w:val="22"/>
        </w:rPr>
        <w:t xml:space="preserve"> could have far reaching implications</w:t>
      </w:r>
      <w:r w:rsidRPr="00A245AA">
        <w:rPr>
          <w:rFonts w:cs="Times New Roman"/>
          <w:color w:val="000000"/>
          <w:sz w:val="22"/>
        </w:rPr>
        <w:t xml:space="preserve"> related to sovereignty and territory. </w:t>
      </w:r>
    </w:p>
    <w:p w14:paraId="35F9564E" w14:textId="329A6DB4" w:rsidR="008410EA" w:rsidRDefault="00FE14D7" w:rsidP="003B354F">
      <w:pPr>
        <w:ind w:firstLine="720"/>
        <w:rPr>
          <w:rFonts w:eastAsia="Times New Roman" w:cs="Times New Roman"/>
          <w:color w:val="000000"/>
          <w:sz w:val="22"/>
        </w:rPr>
      </w:pPr>
      <w:r>
        <w:rPr>
          <w:rFonts w:eastAsia="Times New Roman" w:cs="Times New Roman"/>
          <w:color w:val="000000"/>
          <w:sz w:val="22"/>
        </w:rPr>
        <w:t>The above statement from the CITES Animals Committee points to the transformative potential of sturgeon ‘</w:t>
      </w:r>
      <w:r w:rsidRPr="00A245AA">
        <w:rPr>
          <w:rFonts w:eastAsia="Times New Roman" w:cs="Times New Roman"/>
          <w:color w:val="000000"/>
          <w:sz w:val="22"/>
        </w:rPr>
        <w:t>distribution and migration</w:t>
      </w:r>
      <w:r>
        <w:rPr>
          <w:rFonts w:eastAsia="Times New Roman" w:cs="Times New Roman"/>
          <w:color w:val="000000"/>
          <w:sz w:val="22"/>
        </w:rPr>
        <w:t>’</w:t>
      </w:r>
      <w:r w:rsidRPr="00A245AA">
        <w:rPr>
          <w:rFonts w:eastAsia="Times New Roman" w:cs="Times New Roman"/>
          <w:color w:val="000000"/>
          <w:sz w:val="22"/>
        </w:rPr>
        <w:t xml:space="preserve"> in determining the delineation of shared stocks in the Black Sea. In order to establish the boundaries of the shared stocks, CITES parties must pay sustained scientific attention to the mobility of </w:t>
      </w:r>
      <w:r w:rsidR="00AB618C">
        <w:rPr>
          <w:rFonts w:eastAsia="Times New Roman" w:cs="Times New Roman"/>
          <w:color w:val="000000"/>
          <w:sz w:val="22"/>
        </w:rPr>
        <w:t>sturgeon and investigate: “</w:t>
      </w:r>
      <w:r w:rsidRPr="00A245AA">
        <w:rPr>
          <w:rFonts w:eastAsia="Times New Roman" w:cs="Times New Roman"/>
          <w:color w:val="000000"/>
          <w:sz w:val="22"/>
        </w:rPr>
        <w:t>How true are the sturgeon to these two eddies? Are they staying entirely within their own current system? Or? … They’re active swimmers so it could also be that they just don’t care?</w:t>
      </w:r>
      <w:r w:rsidR="00AB618C">
        <w:rPr>
          <w:rFonts w:eastAsia="Times New Roman" w:cs="Times New Roman"/>
          <w:color w:val="000000"/>
          <w:sz w:val="22"/>
        </w:rPr>
        <w:t>”</w:t>
      </w:r>
      <w:r w:rsidRPr="005B292F">
        <w:rPr>
          <w:rStyle w:val="FootnoteReference"/>
        </w:rPr>
        <w:footnoteReference w:id="298"/>
      </w:r>
      <w:r w:rsidRPr="00A245AA">
        <w:rPr>
          <w:rFonts w:eastAsia="Times New Roman" w:cs="Times New Roman"/>
          <w:color w:val="000000"/>
          <w:sz w:val="22"/>
        </w:rPr>
        <w:t xml:space="preserve">.  Thus, I argue that </w:t>
      </w:r>
      <w:r>
        <w:rPr>
          <w:rFonts w:eastAsia="Times New Roman" w:cs="Times New Roman"/>
          <w:color w:val="000000"/>
          <w:sz w:val="22"/>
        </w:rPr>
        <w:t xml:space="preserve">sturgeon migration and mobility is </w:t>
      </w:r>
      <w:r w:rsidR="00AB618C">
        <w:rPr>
          <w:rFonts w:eastAsia="Times New Roman" w:cs="Times New Roman"/>
          <w:color w:val="000000"/>
          <w:sz w:val="22"/>
        </w:rPr>
        <w:t>geo</w:t>
      </w:r>
      <w:r>
        <w:rPr>
          <w:rFonts w:eastAsia="Times New Roman" w:cs="Times New Roman"/>
          <w:color w:val="000000"/>
          <w:sz w:val="22"/>
        </w:rPr>
        <w:t xml:space="preserve">politically and ecologically important: through their movement and mobility they have the potential to remove the grey areas in the shared-stock table of </w:t>
      </w:r>
      <w:r w:rsidR="00AB618C">
        <w:rPr>
          <w:rFonts w:eastAsia="Times New Roman" w:cs="Times New Roman"/>
          <w:color w:val="000000"/>
          <w:sz w:val="22"/>
        </w:rPr>
        <w:t xml:space="preserve">CITES </w:t>
      </w:r>
      <w:r>
        <w:rPr>
          <w:rFonts w:eastAsia="Times New Roman" w:cs="Times New Roman"/>
          <w:color w:val="000000"/>
          <w:sz w:val="22"/>
        </w:rPr>
        <w:t xml:space="preserve">Resolution Conf 12.7. In doing so, sturgeon may therefore fundamentally alter the geopolitics of sturgeon management in the EU and beyond, or entrench the current reality. This I argue, positions sturgeon as geopolitical actors. </w:t>
      </w:r>
      <w:r w:rsidRPr="00A245AA">
        <w:rPr>
          <w:rFonts w:eastAsia="Times New Roman" w:cs="Times New Roman"/>
          <w:color w:val="000000"/>
          <w:sz w:val="22"/>
        </w:rPr>
        <w:t xml:space="preserve">In the following section I demonstrate the necessity of rethinking sturgeon as part of the assemblage </w:t>
      </w:r>
      <w:r w:rsidRPr="00A245AA">
        <w:rPr>
          <w:rFonts w:eastAsia="Times New Roman" w:cs="Times New Roman"/>
          <w:color w:val="000000"/>
          <w:sz w:val="22"/>
        </w:rPr>
        <w:lastRenderedPageBreak/>
        <w:t xml:space="preserve">of actors and forces that actively </w:t>
      </w:r>
      <w:r>
        <w:rPr>
          <w:rFonts w:eastAsia="Times New Roman" w:cs="Times New Roman"/>
          <w:color w:val="000000"/>
          <w:sz w:val="22"/>
        </w:rPr>
        <w:t xml:space="preserve">co-produce </w:t>
      </w:r>
      <w:r w:rsidR="00AB618C">
        <w:rPr>
          <w:rFonts w:eastAsia="Times New Roman" w:cs="Times New Roman"/>
          <w:color w:val="000000"/>
          <w:sz w:val="22"/>
        </w:rPr>
        <w:t xml:space="preserve">the </w:t>
      </w:r>
      <w:r w:rsidRPr="00A245AA">
        <w:rPr>
          <w:rFonts w:eastAsia="Times New Roman" w:cs="Times New Roman"/>
          <w:color w:val="000000"/>
          <w:sz w:val="22"/>
        </w:rPr>
        <w:t xml:space="preserve">geopolitical </w:t>
      </w:r>
      <w:r>
        <w:rPr>
          <w:rFonts w:eastAsia="Times New Roman" w:cs="Times New Roman"/>
          <w:color w:val="000000"/>
          <w:sz w:val="22"/>
        </w:rPr>
        <w:t>rea</w:t>
      </w:r>
      <w:r w:rsidR="00AB618C">
        <w:rPr>
          <w:rFonts w:eastAsia="Times New Roman" w:cs="Times New Roman"/>
          <w:color w:val="000000"/>
          <w:sz w:val="22"/>
        </w:rPr>
        <w:t>lities arising</w:t>
      </w:r>
      <w:r>
        <w:rPr>
          <w:rFonts w:eastAsia="Times New Roman" w:cs="Times New Roman"/>
          <w:color w:val="000000"/>
          <w:sz w:val="22"/>
        </w:rPr>
        <w:t xml:space="preserve"> from </w:t>
      </w:r>
      <w:r w:rsidR="008410EA">
        <w:rPr>
          <w:rFonts w:eastAsia="Times New Roman" w:cs="Times New Roman"/>
          <w:color w:val="000000"/>
          <w:sz w:val="22"/>
        </w:rPr>
        <w:t xml:space="preserve">inconsistencies </w:t>
      </w:r>
      <w:r>
        <w:rPr>
          <w:rFonts w:eastAsia="Times New Roman" w:cs="Times New Roman"/>
          <w:color w:val="000000"/>
          <w:sz w:val="22"/>
        </w:rPr>
        <w:t>in caviar trade regulations.</w:t>
      </w:r>
    </w:p>
    <w:p w14:paraId="696F5FA4" w14:textId="77777777" w:rsidR="003B354F" w:rsidRPr="00A245AA" w:rsidRDefault="003B354F" w:rsidP="003B354F">
      <w:pPr>
        <w:ind w:firstLine="720"/>
        <w:rPr>
          <w:rFonts w:eastAsia="Times New Roman" w:cs="Times New Roman"/>
          <w:color w:val="000000"/>
          <w:sz w:val="22"/>
        </w:rPr>
      </w:pPr>
    </w:p>
    <w:p w14:paraId="290B3A43" w14:textId="77777777" w:rsidR="00FE14D7" w:rsidRDefault="00FE14D7" w:rsidP="00A5330E">
      <w:pPr>
        <w:pStyle w:val="Heading2"/>
        <w:rPr>
          <w:color w:val="000000"/>
        </w:rPr>
      </w:pPr>
      <w:bookmarkStart w:id="103" w:name="_Toc453224256"/>
      <w:r>
        <w:rPr>
          <w:color w:val="000000"/>
        </w:rPr>
        <w:t>8</w:t>
      </w:r>
      <w:r w:rsidRPr="00A245AA">
        <w:rPr>
          <w:color w:val="000000"/>
        </w:rPr>
        <w:t>.</w:t>
      </w:r>
      <w:r>
        <w:rPr>
          <w:color w:val="000000"/>
        </w:rPr>
        <w:t>2</w:t>
      </w:r>
      <w:r w:rsidRPr="00A245AA">
        <w:rPr>
          <w:color w:val="000000"/>
        </w:rPr>
        <w:t xml:space="preserve"> Sturgeon as Geopolitical Actors</w:t>
      </w:r>
      <w:bookmarkEnd w:id="103"/>
      <w:r w:rsidRPr="00A245AA">
        <w:rPr>
          <w:color w:val="000000"/>
        </w:rPr>
        <w:t xml:space="preserve"> </w:t>
      </w:r>
    </w:p>
    <w:p w14:paraId="2EC6D4FD" w14:textId="77777777" w:rsidR="00FE14D7" w:rsidRDefault="00FE14D7" w:rsidP="00FE14D7">
      <w:pPr>
        <w:spacing w:after="240"/>
        <w:rPr>
          <w:rFonts w:cs="Times New Roman"/>
          <w:color w:val="000000"/>
          <w:sz w:val="22"/>
        </w:rPr>
      </w:pPr>
      <w:r>
        <w:rPr>
          <w:rFonts w:cs="Times New Roman"/>
          <w:color w:val="000000"/>
          <w:sz w:val="22"/>
        </w:rPr>
        <w:t xml:space="preserve">Building upon previous discussion that points to the multiple ways in which sturgeon are made subjects of geopolitics in the European Union, this section develops my argument that sturgeon are not just inert geopolitical objects – or living fossils – acted upon by human forces. Rather, I argue that sturgeon are geopolitical actors, and that their actions as living beings have a demonstrable impact upon geopolitical configurations in the EU. Centring discussion around the impacts of gaps and grey areas in caviar trade regulations, I show how sturgeons reveal some of these regulatory gaps and grey areas through their mobility and immobility; and illustrate how bringing these gaps to light has geopolitical ramifications. By demonstrating that sturgeon mobilities play an active part in the co-production of environmental geopolitics in the EU, I subsequently argue that sturgeons should be conceptualised as geopolitical actors. This discussion paves the way for considering the agentic role of nonhumans in shaping geopolitics more broadly. </w:t>
      </w:r>
    </w:p>
    <w:p w14:paraId="1CE5ADAD" w14:textId="77777777" w:rsidR="00FE14D7" w:rsidRPr="00A245AA" w:rsidRDefault="00FE14D7" w:rsidP="00A5330E">
      <w:pPr>
        <w:pStyle w:val="Heading3"/>
      </w:pPr>
      <w:bookmarkStart w:id="104" w:name="_Toc453224257"/>
      <w:r>
        <w:t>8.2</w:t>
      </w:r>
      <w:r w:rsidRPr="00A245AA">
        <w:t>.1 ‘Delocalizati</w:t>
      </w:r>
      <w:r>
        <w:t>on’ of the caviar industry and escaped</w:t>
      </w:r>
      <w:r w:rsidRPr="00A245AA">
        <w:t xml:space="preserve"> sturgeon</w:t>
      </w:r>
      <w:bookmarkEnd w:id="104"/>
      <w:r w:rsidRPr="00A245AA">
        <w:t xml:space="preserve"> </w:t>
      </w:r>
    </w:p>
    <w:p w14:paraId="32448F6E" w14:textId="37037572" w:rsidR="00FE14D7" w:rsidRPr="00A245AA" w:rsidRDefault="00FE14D7" w:rsidP="00FE14D7">
      <w:pPr>
        <w:rPr>
          <w:rFonts w:cs="Times New Roman"/>
          <w:color w:val="000000"/>
          <w:sz w:val="22"/>
        </w:rPr>
      </w:pPr>
      <w:r w:rsidRPr="00A245AA">
        <w:rPr>
          <w:rFonts w:cs="Times New Roman"/>
          <w:color w:val="000000"/>
          <w:sz w:val="22"/>
        </w:rPr>
        <w:t>The definitive shift to sturgeon aquaculture for c</w:t>
      </w:r>
      <w:r>
        <w:rPr>
          <w:rFonts w:cs="Times New Roman"/>
          <w:color w:val="000000"/>
          <w:sz w:val="22"/>
        </w:rPr>
        <w:t>aviar production has resulted in</w:t>
      </w:r>
      <w:r w:rsidRPr="00A245AA">
        <w:rPr>
          <w:rFonts w:cs="Times New Roman"/>
          <w:color w:val="000000"/>
          <w:sz w:val="22"/>
        </w:rPr>
        <w:t xml:space="preserve"> a ‘delocalization’ of production, whereby sturgeon farms have flo</w:t>
      </w:r>
      <w:r>
        <w:rPr>
          <w:rFonts w:cs="Times New Roman"/>
          <w:color w:val="000000"/>
          <w:sz w:val="22"/>
        </w:rPr>
        <w:t xml:space="preserve">urished in locations outside </w:t>
      </w:r>
      <w:r w:rsidRPr="00A245AA">
        <w:rPr>
          <w:rFonts w:cs="Times New Roman"/>
          <w:color w:val="000000"/>
          <w:sz w:val="22"/>
        </w:rPr>
        <w:t xml:space="preserve">the </w:t>
      </w:r>
      <w:r>
        <w:rPr>
          <w:rFonts w:cs="Times New Roman"/>
          <w:color w:val="000000"/>
          <w:sz w:val="22"/>
        </w:rPr>
        <w:t>ecological</w:t>
      </w:r>
      <w:r w:rsidRPr="00A245AA">
        <w:rPr>
          <w:rFonts w:cs="Times New Roman"/>
          <w:color w:val="000000"/>
          <w:sz w:val="22"/>
        </w:rPr>
        <w:t xml:space="preserve"> range of </w:t>
      </w:r>
      <w:r>
        <w:rPr>
          <w:rFonts w:cs="Times New Roman"/>
          <w:color w:val="000000"/>
          <w:sz w:val="22"/>
        </w:rPr>
        <w:t xml:space="preserve">wild </w:t>
      </w:r>
      <w:r w:rsidRPr="00A245AA">
        <w:rPr>
          <w:rFonts w:cs="Times New Roman"/>
          <w:color w:val="000000"/>
          <w:sz w:val="22"/>
        </w:rPr>
        <w:t xml:space="preserve">sturgeon </w:t>
      </w:r>
      <w:r w:rsidRPr="00A245AA">
        <w:rPr>
          <w:rFonts w:cs="Times New Roman"/>
          <w:color w:val="000000"/>
          <w:sz w:val="22"/>
        </w:rPr>
        <w:fldChar w:fldCharType="begin" w:fldLock="1"/>
      </w:r>
      <w:r w:rsidRPr="00A245AA">
        <w:rPr>
          <w:rFonts w:cs="Times New Roman"/>
          <w:color w:val="000000"/>
          <w:sz w:val="22"/>
        </w:rPr>
        <w:instrText>ADDIN CSL_CITATION {"citationItems":[{"id":"ITEM-1","itemData":{"DOI":"10.1111/raq.12235","ISSN":"17535123","author":[{"dropping-particle":"","family":"Sicuro","given":"Benedetto","non-dropping-particle":"","parse-names":false,"suffix":""}],"container-title":"Reviews in Aquaculture","id":"ITEM-1","issue":"January","issued":{"date-parts":[["2018"]]},"title":"The future of caviar production on the light of social changes: a new dawn for caviar?","type":"article-journal"},"uris":["http://www.mendeley.com/documents/?uuid=20d044f7-7aa0-4c92-b0d6-044f1cb59820"]}],"mendeley":{"formattedCitation":"(Sicuro, 2018)","manualFormatting":"(Sicuro, 2018: 205)","plainTextFormattedCitation":"(Sicuro, 2018)","previouslyFormattedCitation":"(Sicuro, 2018)"},"properties":{"noteIndex":0},"schema":"https://github.com/citation-style-language/schema/raw/master/csl-citation.json"}</w:instrText>
      </w:r>
      <w:r w:rsidRPr="00A245AA">
        <w:rPr>
          <w:rFonts w:cs="Times New Roman"/>
          <w:color w:val="000000"/>
          <w:sz w:val="22"/>
        </w:rPr>
        <w:fldChar w:fldCharType="separate"/>
      </w:r>
      <w:r w:rsidRPr="00A245AA">
        <w:rPr>
          <w:rFonts w:cs="Times New Roman"/>
          <w:noProof/>
          <w:color w:val="000000"/>
          <w:sz w:val="22"/>
        </w:rPr>
        <w:t>(Sicuro, 2018: 205)</w:t>
      </w:r>
      <w:r w:rsidRPr="00A245AA">
        <w:rPr>
          <w:rFonts w:cs="Times New Roman"/>
          <w:color w:val="000000"/>
          <w:sz w:val="22"/>
        </w:rPr>
        <w:fldChar w:fldCharType="end"/>
      </w:r>
      <w:r w:rsidRPr="00A245AA">
        <w:rPr>
          <w:rFonts w:cs="Times New Roman"/>
          <w:color w:val="000000"/>
          <w:sz w:val="22"/>
        </w:rPr>
        <w:t>. Technological developments in farming mean that sturgeon can be raised in indoor ponds in facilities in unlikely locations, such as the world’s largest caviar farm in Abu Dhabi</w:t>
      </w:r>
      <w:r w:rsidR="00BB303F" w:rsidRPr="005B292F">
        <w:rPr>
          <w:rStyle w:val="FootnoteReference"/>
        </w:rPr>
        <w:footnoteReference w:id="299"/>
      </w:r>
      <w:r w:rsidRPr="00A245AA">
        <w:rPr>
          <w:rFonts w:cs="Times New Roman"/>
          <w:color w:val="000000"/>
          <w:sz w:val="22"/>
        </w:rPr>
        <w:t>. Sturgeon are also farmed in extensive pond-systems located in aquatic environments such as China’s Qiando lake, which has 300 steel pens suspended in the lake housing over 30,000 sturgeon</w:t>
      </w:r>
      <w:r w:rsidR="000254EA" w:rsidRPr="005B292F">
        <w:rPr>
          <w:rStyle w:val="FootnoteReference"/>
        </w:rPr>
        <w:footnoteReference w:id="300"/>
      </w:r>
      <w:r w:rsidRPr="00A245AA">
        <w:rPr>
          <w:rFonts w:cs="Times New Roman"/>
          <w:color w:val="000000"/>
          <w:sz w:val="22"/>
        </w:rPr>
        <w:t>. This dramatic delocalization of caviar production has had distinct geopolitical implications, whereby caviar ‘superpowers’ such as Russia</w:t>
      </w:r>
      <w:r w:rsidR="002F329C" w:rsidRPr="005B292F">
        <w:rPr>
          <w:rStyle w:val="FootnoteReference"/>
        </w:rPr>
        <w:footnoteReference w:id="301"/>
      </w:r>
      <w:r w:rsidRPr="00A245AA">
        <w:rPr>
          <w:rFonts w:cs="Times New Roman"/>
          <w:color w:val="000000"/>
          <w:sz w:val="22"/>
        </w:rPr>
        <w:t xml:space="preserve"> and Iran have seen their market share of the caviar industr</w:t>
      </w:r>
      <w:r>
        <w:rPr>
          <w:rFonts w:cs="Times New Roman"/>
          <w:color w:val="000000"/>
          <w:sz w:val="22"/>
        </w:rPr>
        <w:t>y waning</w:t>
      </w:r>
      <w:r w:rsidR="001B579C">
        <w:rPr>
          <w:rFonts w:cs="Times New Roman"/>
          <w:color w:val="000000"/>
          <w:sz w:val="22"/>
        </w:rPr>
        <w:t xml:space="preserve"> </w:t>
      </w:r>
      <w:r w:rsidR="001B579C">
        <w:rPr>
          <w:rFonts w:cs="Times New Roman"/>
          <w:color w:val="000000"/>
          <w:sz w:val="22"/>
        </w:rPr>
        <w:fldChar w:fldCharType="begin" w:fldLock="1"/>
      </w:r>
      <w:r w:rsidR="0054787A">
        <w:rPr>
          <w:rFonts w:cs="Times New Roman"/>
          <w:color w:val="000000"/>
          <w:sz w:val="22"/>
        </w:rPr>
        <w:instrText>ADDIN CSL_CITATION {"citationItems":[{"id":"ITEM-1","itemData":{"abstract":"World production of caviar from the farmed sturgeon has recently so increased that in addition to compensate reduction of natural resources of sturgeon, it has also increased its share in the world market for caviar and its substitutes. Although Belarus, China and Norway are currently considered as the main exporting countries of caviar and its substitutes but, Iran solely exports caviar from sturgeon species. Having a world reputation in caviar brand, as well as the decreased natural resources, Iran aims to develop sturgeon rearing as well as modern marketing along with global standards to stand its brand and reputation as well as its world market share. The present paper reviewed the caviar and caviar substitutes market with emphasis on sturgeon caviar. During 1991-2013, caviar export from Iran decreased by 21.2 % in quantity and decreased income by about 17.2 %. However, the caviar value increased from 231000 to 680000 USD per ton.","author":[{"dropping-particle":"","family":"Adeli","given":"Afshin","non-dropping-particle":"","parse-names":false,"suffix":""},{"dropping-particle":"","family":"Namdar","given":"Mahya","non-dropping-particle":"","parse-names":false,"suffix":""}],"container-title":"Ecopersia","id":"ITEM-1","issue":"1","issued":{"date-parts":[["2015"]]},"page":"933-944","title":"The Iranian Caviar and its Substitutes in the World Market","type":"article-journal","volume":"3"},"uris":["http://www.mendeley.com/documents/?uuid=ee6cca1f-f4f8-40b7-8847-f1f26b7ec610"]}],"mendeley":{"formattedCitation":"(Adeli and Namdar, 2015)","plainTextFormattedCitation":"(Adeli and Namdar, 2015)","previouslyFormattedCitation":"(Adeli and Namdar, 2015)"},"properties":{"noteIndex":0},"schema":"https://github.com/citation-style-language/schema/raw/master/csl-citation.json"}</w:instrText>
      </w:r>
      <w:r w:rsidR="001B579C">
        <w:rPr>
          <w:rFonts w:cs="Times New Roman"/>
          <w:color w:val="000000"/>
          <w:sz w:val="22"/>
        </w:rPr>
        <w:fldChar w:fldCharType="separate"/>
      </w:r>
      <w:r w:rsidR="001B579C" w:rsidRPr="001B579C">
        <w:rPr>
          <w:rFonts w:cs="Times New Roman"/>
          <w:noProof/>
          <w:color w:val="000000"/>
          <w:sz w:val="22"/>
        </w:rPr>
        <w:t>(Adeli and Namdar, 2015)</w:t>
      </w:r>
      <w:r w:rsidR="001B579C">
        <w:rPr>
          <w:rFonts w:cs="Times New Roman"/>
          <w:color w:val="000000"/>
          <w:sz w:val="22"/>
        </w:rPr>
        <w:fldChar w:fldCharType="end"/>
      </w:r>
      <w:r>
        <w:rPr>
          <w:rFonts w:cs="Times New Roman"/>
          <w:color w:val="000000"/>
          <w:sz w:val="22"/>
        </w:rPr>
        <w:t xml:space="preserve">, with competitors from </w:t>
      </w:r>
      <w:r w:rsidRPr="00A245AA">
        <w:rPr>
          <w:rFonts w:cs="Times New Roman"/>
          <w:color w:val="000000"/>
          <w:sz w:val="22"/>
        </w:rPr>
        <w:t>China</w:t>
      </w:r>
      <w:r>
        <w:rPr>
          <w:rFonts w:cs="Times New Roman"/>
          <w:color w:val="000000"/>
          <w:sz w:val="22"/>
        </w:rPr>
        <w:t xml:space="preserve"> and Europe</w:t>
      </w:r>
      <w:r w:rsidRPr="00A245AA">
        <w:rPr>
          <w:rFonts w:cs="Times New Roman"/>
          <w:color w:val="000000"/>
          <w:sz w:val="22"/>
        </w:rPr>
        <w:t xml:space="preserve"> taking larger proportions of the industry income. </w:t>
      </w:r>
      <w:r>
        <w:rPr>
          <w:rFonts w:cs="Times New Roman"/>
          <w:color w:val="000000"/>
          <w:sz w:val="22"/>
        </w:rPr>
        <w:t xml:space="preserve">For example in 2017, 364 tonnes of farmed caviar was produced globally. Of this 364 tonnes, China produced in excess of 100t, while Russia produced 49t. European countries such as Italy and France produced less caviar than Russia, producing 43t and 37 t respectively in 2017; however these statistics point to the growing market share of caviar produced in the EU (Bronzi </w:t>
      </w:r>
      <w:r w:rsidRPr="00C6158D">
        <w:rPr>
          <w:rFonts w:cs="Times New Roman"/>
          <w:i/>
          <w:color w:val="000000"/>
          <w:sz w:val="22"/>
        </w:rPr>
        <w:t>et al</w:t>
      </w:r>
      <w:r w:rsidR="00C6158D">
        <w:rPr>
          <w:rFonts w:cs="Times New Roman"/>
          <w:i/>
          <w:color w:val="000000"/>
          <w:sz w:val="22"/>
        </w:rPr>
        <w:t>.</w:t>
      </w:r>
      <w:r>
        <w:rPr>
          <w:rFonts w:cs="Times New Roman"/>
          <w:color w:val="000000"/>
          <w:sz w:val="22"/>
        </w:rPr>
        <w:t xml:space="preserve">, 2019). </w:t>
      </w:r>
    </w:p>
    <w:p w14:paraId="0B3F30AD" w14:textId="6EEE28D9" w:rsidR="00FE14D7" w:rsidRDefault="00FE14D7" w:rsidP="00FE14D7">
      <w:pPr>
        <w:ind w:firstLine="720"/>
        <w:rPr>
          <w:rFonts w:cs="Times New Roman"/>
          <w:color w:val="000000"/>
          <w:sz w:val="22"/>
        </w:rPr>
      </w:pPr>
      <w:r>
        <w:rPr>
          <w:rFonts w:cs="Times New Roman"/>
          <w:color w:val="000000"/>
          <w:sz w:val="22"/>
        </w:rPr>
        <w:lastRenderedPageBreak/>
        <w:t>T</w:t>
      </w:r>
      <w:r w:rsidRPr="00A245AA">
        <w:rPr>
          <w:rFonts w:cs="Times New Roman"/>
          <w:color w:val="000000"/>
          <w:sz w:val="22"/>
        </w:rPr>
        <w:t>he rapid delocalization of the caviar industry has unfolded with relatively little oversight from regulators</w:t>
      </w:r>
      <w:r>
        <w:rPr>
          <w:rFonts w:cs="Times New Roman"/>
          <w:color w:val="000000"/>
          <w:sz w:val="22"/>
        </w:rPr>
        <w:t>. This is partly because aquaculture has been seen as the silver-bullet solution for many of the problems inhere</w:t>
      </w:r>
      <w:r w:rsidR="001B579C">
        <w:rPr>
          <w:rFonts w:cs="Times New Roman"/>
          <w:color w:val="000000"/>
          <w:sz w:val="22"/>
        </w:rPr>
        <w:t>nt to the caviar trade</w:t>
      </w:r>
      <w:r w:rsidR="004D287D">
        <w:rPr>
          <w:rFonts w:cs="Times New Roman"/>
          <w:color w:val="000000"/>
          <w:sz w:val="22"/>
        </w:rPr>
        <w:t xml:space="preserve"> (as discussed in chapter six);</w:t>
      </w:r>
      <w:r w:rsidR="001B579C">
        <w:rPr>
          <w:rFonts w:cs="Times New Roman"/>
          <w:color w:val="000000"/>
          <w:sz w:val="22"/>
        </w:rPr>
        <w:t xml:space="preserve"> and so “</w:t>
      </w:r>
      <w:r>
        <w:rPr>
          <w:rFonts w:cs="Times New Roman"/>
          <w:color w:val="000000"/>
          <w:sz w:val="22"/>
        </w:rPr>
        <w:t>it’s easy for everyone to say aquaculture is legal so it’s all sorted</w:t>
      </w:r>
      <w:r w:rsidR="001B579C">
        <w:rPr>
          <w:rFonts w:cs="Times New Roman"/>
          <w:color w:val="000000"/>
          <w:sz w:val="22"/>
        </w:rPr>
        <w:t>”</w:t>
      </w:r>
      <w:r w:rsidRPr="005B292F">
        <w:rPr>
          <w:rStyle w:val="FootnoteReference"/>
        </w:rPr>
        <w:footnoteReference w:id="302"/>
      </w:r>
      <w:r>
        <w:rPr>
          <w:rFonts w:cs="Times New Roman"/>
          <w:color w:val="000000"/>
          <w:sz w:val="22"/>
        </w:rPr>
        <w:t xml:space="preserve"> and turn a blind-eye to the broader impacts of caviar aquaculture. The unparalleled geographical expansion of caviar aquaculture prompted ex-enforcement officer </w:t>
      </w:r>
      <w:r w:rsidR="001B579C">
        <w:rPr>
          <w:rFonts w:cs="Times New Roman"/>
          <w:color w:val="000000"/>
          <w:sz w:val="22"/>
        </w:rPr>
        <w:t>Michael to express his concern “</w:t>
      </w:r>
      <w:r w:rsidRPr="00A245AA">
        <w:rPr>
          <w:rFonts w:cs="Times New Roman"/>
          <w:color w:val="000000"/>
          <w:sz w:val="22"/>
        </w:rPr>
        <w:t>that insufficient attention was being given to aquaculture</w:t>
      </w:r>
      <w:r w:rsidR="001B579C">
        <w:rPr>
          <w:rFonts w:cs="Times New Roman"/>
          <w:color w:val="000000"/>
          <w:sz w:val="22"/>
        </w:rPr>
        <w:t>”</w:t>
      </w:r>
      <w:r w:rsidRPr="005B292F">
        <w:rPr>
          <w:rStyle w:val="FootnoteReference"/>
        </w:rPr>
        <w:footnoteReference w:id="303"/>
      </w:r>
      <w:r>
        <w:rPr>
          <w:rFonts w:cs="Times New Roman"/>
          <w:color w:val="000000"/>
          <w:sz w:val="22"/>
        </w:rPr>
        <w:t xml:space="preserve">. Indeed, as described in chapter five, the relative lack of monitoring of sturgeon aquaculture facilities has produced opportunities for illicit caviar trade. Furthermore, the delocalization of caviar aquaculture has had </w:t>
      </w:r>
      <w:r w:rsidR="004D287D">
        <w:rPr>
          <w:rFonts w:cs="Times New Roman"/>
          <w:color w:val="000000"/>
          <w:sz w:val="22"/>
        </w:rPr>
        <w:t>geopolitical consequences</w:t>
      </w:r>
      <w:r>
        <w:rPr>
          <w:rFonts w:cs="Times New Roman"/>
          <w:color w:val="000000"/>
          <w:sz w:val="22"/>
        </w:rPr>
        <w:t xml:space="preserve"> that result from grey areas in regulations.</w:t>
      </w:r>
    </w:p>
    <w:p w14:paraId="4312F2B8" w14:textId="2DC439A3" w:rsidR="007A2C4D" w:rsidRDefault="00FE14D7" w:rsidP="00FE14D7">
      <w:pPr>
        <w:ind w:firstLine="720"/>
        <w:rPr>
          <w:rFonts w:cs="Times New Roman"/>
          <w:color w:val="000000"/>
          <w:sz w:val="22"/>
        </w:rPr>
      </w:pPr>
      <w:r>
        <w:rPr>
          <w:rFonts w:cs="Times New Roman"/>
          <w:color w:val="000000"/>
          <w:sz w:val="22"/>
        </w:rPr>
        <w:t xml:space="preserve">Whilst the caviar trade regulations mandate that caviar must come from farmed sources as a way of lessening the environmental impact of caviar trade upon sturgeon; I suggest that the delocalization of caviar farming catalysed by the caviar trade regulations, has produced unintended environmental </w:t>
      </w:r>
      <w:r w:rsidR="004D287D">
        <w:rPr>
          <w:rFonts w:cs="Times New Roman"/>
          <w:color w:val="000000"/>
          <w:sz w:val="22"/>
        </w:rPr>
        <w:t xml:space="preserve">and geopolitical </w:t>
      </w:r>
      <w:r>
        <w:rPr>
          <w:rFonts w:cs="Times New Roman"/>
          <w:color w:val="000000"/>
          <w:sz w:val="22"/>
        </w:rPr>
        <w:t xml:space="preserve">impacts. The unintended environmental impacts of delocalized caviar production exist in a legislative grey area, and are largely unmonitored. I show how through their natural behaviours sturgeon have brought attention to some of the </w:t>
      </w:r>
      <w:r w:rsidR="00AD66F6">
        <w:rPr>
          <w:rFonts w:cs="Times New Roman"/>
          <w:color w:val="000000"/>
          <w:sz w:val="22"/>
        </w:rPr>
        <w:t xml:space="preserve">legislative </w:t>
      </w:r>
      <w:r w:rsidR="004D287D">
        <w:rPr>
          <w:rFonts w:cs="Times New Roman"/>
          <w:color w:val="000000"/>
          <w:sz w:val="22"/>
        </w:rPr>
        <w:t>grey gaps</w:t>
      </w:r>
      <w:r>
        <w:rPr>
          <w:rFonts w:cs="Times New Roman"/>
          <w:color w:val="000000"/>
          <w:sz w:val="22"/>
        </w:rPr>
        <w:t xml:space="preserve"> around monitoring of sturgeon aquaculture facilities. In </w:t>
      </w:r>
      <w:r w:rsidR="007A2C4D">
        <w:rPr>
          <w:rFonts w:cs="Times New Roman"/>
          <w:color w:val="000000"/>
          <w:sz w:val="22"/>
        </w:rPr>
        <w:t xml:space="preserve">particular I examine sturgeon ‘escape’ events as an unintended environmental implication of caviar farming; and I examine how such escapes have become geopolitically charged, and serve to refigure sturgeon as geopolitical actors. </w:t>
      </w:r>
    </w:p>
    <w:p w14:paraId="00A5DE0B" w14:textId="509D804A" w:rsidR="00FE14D7" w:rsidRDefault="00FE14D7" w:rsidP="0054787A">
      <w:pPr>
        <w:pStyle w:val="NormalWeb"/>
        <w:spacing w:before="0" w:beforeAutospacing="0" w:after="0" w:afterAutospacing="0" w:line="360" w:lineRule="auto"/>
        <w:ind w:firstLine="720"/>
        <w:jc w:val="both"/>
        <w:rPr>
          <w:color w:val="000000"/>
          <w:sz w:val="22"/>
          <w:szCs w:val="22"/>
        </w:rPr>
      </w:pPr>
      <w:r>
        <w:rPr>
          <w:color w:val="000000"/>
          <w:sz w:val="22"/>
          <w:szCs w:val="22"/>
        </w:rPr>
        <w:t xml:space="preserve">Cases of sturgeon ‘escaping’ from aquaculture facilities abound. In </w:t>
      </w:r>
      <w:r w:rsidRPr="00A245AA">
        <w:rPr>
          <w:color w:val="000000"/>
          <w:sz w:val="22"/>
          <w:szCs w:val="22"/>
        </w:rPr>
        <w:t xml:space="preserve">July 2016 the mistaken discharge of floodwaters resulted in the escape of 9800 tons of farmed sturgeon into the Yangtze river system, which is the habitat of the critically endangered Chinese sturgeon </w:t>
      </w:r>
      <w:r w:rsidRPr="00A245AA">
        <w:rPr>
          <w:color w:val="000000"/>
          <w:sz w:val="22"/>
          <w:szCs w:val="22"/>
        </w:rPr>
        <w:fldChar w:fldCharType="begin" w:fldLock="1"/>
      </w:r>
      <w:r w:rsidR="00EC7F7E">
        <w:rPr>
          <w:color w:val="000000"/>
          <w:sz w:val="22"/>
          <w:szCs w:val="22"/>
        </w:rPr>
        <w:instrText>ADDIN CSL_CITATION {"citationItems":[{"id":"ITEM-1","itemData":{"DOI":"10.1111/jai.13924","ISSN":"0175-8659","author":[{"dropping-particle":"","family":"Li","given":"Wei","non-dropping-particle":"","parse-names":false,"suffix":""},{"dropping-particle":"","family":"Zhu","given":"Bin","non-dropping-particle":"","parse-names":false,"suffix":""},{"dropping-particle":"","family":"Li","given":"Cheng Cheng","non-dropping-particle":"","parse-names":false,"suffix":""}],"container-title":"Journal of Applied Ichthyology","id":"ITEM-1","issued":{"date-parts":[["2019","5","14"]]},"page":"jai.13924","publisher":"John Wiley &amp; Sons, Ltd (10.1111)","title":"Diet of farm</w:instrText>
      </w:r>
      <w:r w:rsidR="00EC7F7E">
        <w:rPr>
          <w:rFonts w:ascii="American Typewriter" w:hAnsi="American Typewriter" w:cs="American Typewriter"/>
          <w:color w:val="000000"/>
          <w:sz w:val="22"/>
          <w:szCs w:val="22"/>
        </w:rPr>
        <w:instrText>‐</w:instrText>
      </w:r>
      <w:r w:rsidR="00EC7F7E">
        <w:rPr>
          <w:color w:val="000000"/>
          <w:sz w:val="22"/>
          <w:szCs w:val="22"/>
        </w:rPr>
        <w:instrText>escaped sturgeon in the Yangtze River","type":"article-journal"},"uris":["http://www.mendeley.com/documents/?uuid=78a92167-519b-3e7c-b18c-9f6df13b7ba1"]}],"mendeley":{"formattedCitation":"(Li, Zhu and Li, 2019)","plainTextFormattedCitation":"(Li, Zhu and Li, 2019)","previouslyFormattedCitation":"(Li, Zhu and Li, 2019)"},"properties":{"noteIndex":0},"schema":"https://github.com/citation-style-language/schema/raw/master/csl-citation.json"}</w:instrText>
      </w:r>
      <w:r w:rsidRPr="00A245AA">
        <w:rPr>
          <w:color w:val="000000"/>
          <w:sz w:val="22"/>
          <w:szCs w:val="22"/>
        </w:rPr>
        <w:fldChar w:fldCharType="separate"/>
      </w:r>
      <w:r w:rsidR="00042533" w:rsidRPr="00042533">
        <w:rPr>
          <w:noProof/>
          <w:color w:val="000000"/>
          <w:sz w:val="22"/>
          <w:szCs w:val="22"/>
        </w:rPr>
        <w:t>(Li, Zhu and Li, 2019)</w:t>
      </w:r>
      <w:r w:rsidRPr="00A245AA">
        <w:rPr>
          <w:color w:val="000000"/>
          <w:sz w:val="22"/>
          <w:szCs w:val="22"/>
        </w:rPr>
        <w:fldChar w:fldCharType="end"/>
      </w:r>
      <w:r w:rsidRPr="00A245AA">
        <w:rPr>
          <w:color w:val="000000"/>
          <w:sz w:val="22"/>
          <w:szCs w:val="22"/>
        </w:rPr>
        <w:t>.</w:t>
      </w:r>
      <w:r w:rsidRPr="00880437">
        <w:rPr>
          <w:color w:val="000000"/>
          <w:sz w:val="22"/>
          <w:szCs w:val="22"/>
        </w:rPr>
        <w:t xml:space="preserve"> </w:t>
      </w:r>
      <w:r w:rsidR="0054787A">
        <w:rPr>
          <w:color w:val="000000"/>
          <w:sz w:val="22"/>
          <w:szCs w:val="22"/>
        </w:rPr>
        <w:t xml:space="preserve">This massive escape incident has prompted calls for policy improvements in China and other developing countries </w:t>
      </w:r>
      <w:r w:rsidR="0054787A">
        <w:rPr>
          <w:color w:val="000000"/>
          <w:sz w:val="22"/>
          <w:szCs w:val="22"/>
        </w:rPr>
        <w:fldChar w:fldCharType="begin" w:fldLock="1"/>
      </w:r>
      <w:r w:rsidR="00DF6644">
        <w:rPr>
          <w:color w:val="000000"/>
          <w:sz w:val="22"/>
          <w:szCs w:val="22"/>
        </w:rPr>
        <w:instrText>ADDIN CSL_CITATION {"citationItems":[{"id":"ITEM-1","itemData":{"DOI":"10.1111/1365-2664.13521","ISSN":"13652664","abstract":"Global aquaculture relies heavily on the farming of non-native aquatic species (hereafter, NAS). NAS escapes from aquaculture facilities can result in serious aquatic bio-invasions, which has been an important issue in the FAO Blue Growth Initiative. A regulatory quagmire regarding NAS farming and escapes, however, exists in most developing countries. We discuss aquaculture expansion and NAS escapes, illustrate emerging risks and propose recommendations for improved aquaculture management across developing countries and particularly for China. In China, 68 NAS are known to have successfully established feral populations in natural habitats due to recurrent leakages or escapes; among the 68 NAS, 52 represent risks to native aquatic ecosystems. In addition to affecting a country's own biodiversity and ecosystem functions, NAS escapees can also threaten the biosecurity of shared waters in neighbouring countries. Policy implications. Non-native aquatic species (NAS) escapes have already had adverse ecological effects in China and other developing countries. The importance of this problem, however, is not adequately recognized by current conservation policies in developing countries. To conserve biodiversity and to support the goal of FAO's sustainable aquaculture, developing countries should now take responsible actions to address NAS escapes through policy and management improvements. Specifically, these countries should pass comprehensive legislation, establish effective agencies and national standards and planning and enhance integrated research and education to deal with risk assessment, prevention, monitoring and control of NAS escapes. Given that China is the world's largest aquacultural producer, China can create a model for other developing countries that will increase the biosecurity and sustainability of global aquaculture.","author":[{"dropping-particle":"","family":"Ju","given":"Rui Ting","non-dropping-particle":"","parse-names":false,"suffix":""},{"dropping-particle":"","family":"Li","given":"Xiao","non-dropping-particle":"","parse-names":false,"suffix":""},{"dropping-particle":"","family":"Jiang","given":"Jia Jia","non-dropping-particle":"","parse-names":false,"suffix":""},{"dropping-particle":"","family":"Wu","given":"Jihua","non-dropping-particle":"","parse-names":false,"suffix":""},{"dropping-particle":"","family":"Liu","given":"Jianguo","non-dropping-particle":"","parse-names":false,"suffix":""},{"dropping-particle":"","family":"Strong","given":"Donald R.","non-dropping-particle":"","parse-names":false,"suffix":""},{"dropping-particle":"","family":"Li","given":"Bo","non-dropping-particle":"","parse-names":false,"suffix":""}],"container-title":"Journal of Applied Ecology","id":"ITEM-1","issue":"1","issued":{"date-parts":[["2020"]]},"page":"85-90","title":"Emerging risks of non-native species escapes from aquaculture: Call for policy improvements in China and other developing countries","type":"article-journal","volume":"57"},"uris":["http://www.mendeley.com/documents/?uuid=8c038556-69a4-4d4d-8b46-5a729d44c997"]}],"mendeley":{"formattedCitation":"(Ju &lt;i&gt;et al.&lt;/i&gt;, 2020)","plainTextFormattedCitation":"(Ju et al., 2020)","previouslyFormattedCitation":"(Ju &lt;i&gt;et al.&lt;/i&gt;, 2020)"},"properties":{"noteIndex":0},"schema":"https://github.com/citation-style-language/schema/raw/master/csl-citation.json"}</w:instrText>
      </w:r>
      <w:r w:rsidR="0054787A">
        <w:rPr>
          <w:color w:val="000000"/>
          <w:sz w:val="22"/>
          <w:szCs w:val="22"/>
        </w:rPr>
        <w:fldChar w:fldCharType="separate"/>
      </w:r>
      <w:r w:rsidR="0054787A" w:rsidRPr="0054787A">
        <w:rPr>
          <w:noProof/>
          <w:color w:val="000000"/>
          <w:sz w:val="22"/>
          <w:szCs w:val="22"/>
        </w:rPr>
        <w:t xml:space="preserve">(Ju </w:t>
      </w:r>
      <w:r w:rsidR="0054787A" w:rsidRPr="0054787A">
        <w:rPr>
          <w:i/>
          <w:noProof/>
          <w:color w:val="000000"/>
          <w:sz w:val="22"/>
          <w:szCs w:val="22"/>
        </w:rPr>
        <w:t>et al.</w:t>
      </w:r>
      <w:r w:rsidR="0054787A" w:rsidRPr="0054787A">
        <w:rPr>
          <w:noProof/>
          <w:color w:val="000000"/>
          <w:sz w:val="22"/>
          <w:szCs w:val="22"/>
        </w:rPr>
        <w:t>, 2020)</w:t>
      </w:r>
      <w:r w:rsidR="0054787A">
        <w:rPr>
          <w:color w:val="000000"/>
          <w:sz w:val="22"/>
          <w:szCs w:val="22"/>
        </w:rPr>
        <w:fldChar w:fldCharType="end"/>
      </w:r>
      <w:r w:rsidR="0054787A">
        <w:rPr>
          <w:color w:val="000000"/>
          <w:sz w:val="22"/>
          <w:szCs w:val="22"/>
        </w:rPr>
        <w:t xml:space="preserve">, to prevent further ecological crises. However the issue of sturgeon escapes from aquaculture is also prevalent in the EU. </w:t>
      </w:r>
      <w:r w:rsidRPr="00A245AA">
        <w:rPr>
          <w:color w:val="000000"/>
          <w:sz w:val="22"/>
          <w:szCs w:val="22"/>
        </w:rPr>
        <w:fldChar w:fldCharType="begin" w:fldLock="1"/>
      </w:r>
      <w:r w:rsidR="00EC7F7E">
        <w:rPr>
          <w:color w:val="000000"/>
          <w:sz w:val="22"/>
          <w:szCs w:val="22"/>
        </w:rPr>
        <w:instrText>ADDIN CSL_CITATION {"citationItems":[{"id":"ITEM-1","itemData":{"DOI":"10.1111/jai.13577","ISSN":"01758659","author":[{"dropping-particle":"","family":"Skóra","given":"M. E.","non-dropping-particle":"","parse-names":false,"suffix":""},{"dropping-particle":"","family":"Bogacka-Kapusta","given":"E.","non-dropping-particle":"","parse-names":false,"suffix":""},{"dropping-particle":"","family":"Morzuch","given":"J.","non-dropping-particle":"","parse-names":false,"suffix":""},{"dropping-particle":"","family":"Kulikowski","given":"M.","non-dropping-particle":"","parse-names":false,"suffix":""},{"dropping-particle":"","family":"Rolbiecki","given":"L.","non-dropping-particle":"","parse-names":false,"suffix":""},{"dropping-particle":"","family":"Kozłowski","given":"K.","non-dropping-particle":"","parse-names":false,"suffix":""},{"dropping-particle":"","family":"Kapusta","given":"A.","non-dropping-particle":"","parse-names":false,"suffix":""}],"container-title":"Journal of Applied Ichthyology","id":"ITEM-1","issue":"1","issued":{"date-parts":[["2018","2","1"]]},"page":"33-38","publisher":"John Wiley &amp; Sons, Ltd (10.1111)","title":"Exotic sturgeons in the Vistula Lagoon in 2011, their occurrence, diet and parasites, with notes on the fishery background","type":"article-journal","volume":"34"},"uris":["http://www.mendeley.com/documents/?uuid=e98a2d6b-7a19-3a09-843a-989a953017f2"]}],"mendeley":{"formattedCitation":"(Skóra &lt;i&gt;et al.&lt;/i&gt;, 2018)","manualFormatting":"Skóra et al. (2018)","plainTextFormattedCitation":"(Skóra et al., 2018)","previouslyFormattedCitation":"(Skóra &lt;i&gt;et al.&lt;/i&gt;, 2018)"},"properties":{"noteIndex":0},"schema":"https://github.com/citation-style-language/schema/raw/master/csl-citation.json"}</w:instrText>
      </w:r>
      <w:r w:rsidRPr="00A245AA">
        <w:rPr>
          <w:color w:val="000000"/>
          <w:sz w:val="22"/>
          <w:szCs w:val="22"/>
        </w:rPr>
        <w:fldChar w:fldCharType="separate"/>
      </w:r>
      <w:r w:rsidRPr="00A245AA">
        <w:rPr>
          <w:noProof/>
          <w:color w:val="000000"/>
          <w:sz w:val="22"/>
          <w:szCs w:val="22"/>
        </w:rPr>
        <w:t xml:space="preserve">Skóra </w:t>
      </w:r>
      <w:r w:rsidRPr="00A245AA">
        <w:rPr>
          <w:i/>
          <w:noProof/>
          <w:color w:val="000000"/>
          <w:sz w:val="22"/>
          <w:szCs w:val="22"/>
        </w:rPr>
        <w:t>et al.</w:t>
      </w:r>
      <w:r w:rsidRPr="00A245AA">
        <w:rPr>
          <w:noProof/>
          <w:color w:val="000000"/>
          <w:sz w:val="22"/>
          <w:szCs w:val="22"/>
        </w:rPr>
        <w:t xml:space="preserve"> (2018)</w:t>
      </w:r>
      <w:r w:rsidRPr="00A245AA">
        <w:rPr>
          <w:color w:val="000000"/>
          <w:sz w:val="22"/>
          <w:szCs w:val="22"/>
        </w:rPr>
        <w:fldChar w:fldCharType="end"/>
      </w:r>
      <w:r w:rsidRPr="00A245AA">
        <w:rPr>
          <w:color w:val="000000"/>
          <w:sz w:val="22"/>
          <w:szCs w:val="22"/>
        </w:rPr>
        <w:t xml:space="preserve"> reported the first incidence of Siberian sturgeon in Polish waters, hypothesising that these fish must have originated from hatcheries located on the Reda river </w:t>
      </w:r>
      <w:r w:rsidRPr="00A245AA">
        <w:rPr>
          <w:color w:val="000000"/>
          <w:sz w:val="22"/>
          <w:szCs w:val="22"/>
        </w:rPr>
        <w:fldChar w:fldCharType="begin" w:fldLock="1"/>
      </w:r>
      <w:r w:rsidR="00EC7F7E">
        <w:rPr>
          <w:color w:val="000000"/>
          <w:sz w:val="22"/>
          <w:szCs w:val="22"/>
        </w:rPr>
        <w:instrText>ADDIN CSL_CITATION {"citationItems":[{"id":"ITEM-1","itemData":{"DOI":"10.2478/v10086-012-0035-x","ISSN":"12306428","abstract":"The Siberian sturgeon, Acipenser baerii Brandt, is reported in the Reda River, which flows into the Puck Bay, for the first time. In total, 12 specimens of A. baerii were caught during monthly surveys in June and July 2006. The fish were captured during downstream movement between 18:00 and 06:00. The specimens collected in Reda River ranged from 10.3 to 15.5 cm standard length (SL). It is hypothesized that the fish originated from one of the hatcheries located on the banks of the Reda River. This is also the first report of Siberian sturgeon in Polish Pomeranian rivers.","author":[{"dropping-particle":"","family":"Skóra","given":"Michal E.","non-dropping-particle":"","parse-names":false,"suffix":""}],"container-title":"Archives of Polish Fisheries","id":"ITEM-1","issue":"4","issued":{"date-parts":[["2012"]]},"page":"307-309","title":"First report on the Siberian sturgeon Acipenser baerii Brandt, in the Reda River (Baltic Sea basin)","type":"article-journal","volume":"20"},"uris":["http://www.mendeley.com/documents/?uuid=187253a4-8346-306e-8409-920167c1b715"]}],"mendeley":{"formattedCitation":"(Skóra, 2012)","manualFormatting":"(Skóra, 2012)","plainTextFormattedCitation":"(Skóra, 2012)","previouslyFormattedCitation":"(Skóra, 2012)"},"properties":{"noteIndex":0},"schema":"https://github.com/citation-style-language/schema/raw/master/csl-citation.json"}</w:instrText>
      </w:r>
      <w:r w:rsidRPr="00A245AA">
        <w:rPr>
          <w:color w:val="000000"/>
          <w:sz w:val="22"/>
          <w:szCs w:val="22"/>
        </w:rPr>
        <w:fldChar w:fldCharType="separate"/>
      </w:r>
      <w:r w:rsidRPr="00A245AA">
        <w:rPr>
          <w:noProof/>
          <w:color w:val="000000"/>
          <w:sz w:val="22"/>
          <w:szCs w:val="22"/>
        </w:rPr>
        <w:t>(Skóra, 2012)</w:t>
      </w:r>
      <w:r w:rsidRPr="00A245AA">
        <w:rPr>
          <w:color w:val="000000"/>
          <w:sz w:val="22"/>
          <w:szCs w:val="22"/>
        </w:rPr>
        <w:fldChar w:fldCharType="end"/>
      </w:r>
      <w:r w:rsidRPr="00A245AA">
        <w:rPr>
          <w:color w:val="000000"/>
          <w:sz w:val="22"/>
          <w:szCs w:val="22"/>
        </w:rPr>
        <w:t>.</w:t>
      </w:r>
      <w:r>
        <w:rPr>
          <w:color w:val="000000"/>
          <w:sz w:val="22"/>
          <w:szCs w:val="22"/>
        </w:rPr>
        <w:t xml:space="preserve"> In December 1999 a </w:t>
      </w:r>
      <w:r w:rsidRPr="00A245AA">
        <w:rPr>
          <w:color w:val="000000"/>
          <w:sz w:val="22"/>
          <w:szCs w:val="22"/>
        </w:rPr>
        <w:t xml:space="preserve">hurricane enabled </w:t>
      </w:r>
      <w:r>
        <w:rPr>
          <w:color w:val="000000"/>
          <w:sz w:val="22"/>
          <w:szCs w:val="22"/>
        </w:rPr>
        <w:t>around 27 tons - circa 9000 Siberian sturgeon</w:t>
      </w:r>
      <w:r w:rsidRPr="00A245AA">
        <w:rPr>
          <w:color w:val="000000"/>
          <w:sz w:val="22"/>
          <w:szCs w:val="22"/>
        </w:rPr>
        <w:t xml:space="preserve"> - to accidentally escape from a fish farm into the Gironde estuary in South-Western France </w:t>
      </w:r>
      <w:r w:rsidRPr="00A245AA">
        <w:rPr>
          <w:color w:val="000000"/>
          <w:sz w:val="22"/>
          <w:szCs w:val="22"/>
        </w:rPr>
        <w:fldChar w:fldCharType="begin" w:fldLock="1"/>
      </w:r>
      <w:r w:rsidR="00EC7F7E">
        <w:rPr>
          <w:color w:val="000000"/>
          <w:sz w:val="22"/>
          <w:szCs w:val="22"/>
        </w:rPr>
        <w:instrText>ADDIN CSL_CITATION {"citationItems":[{"id":"ITEM-1","itemData":{"DOI":"10.1065/espr2007.12.469","ISSN":"09441344","abstract":"GOAL, SCOPE AND BACKGROUND: The Gironde estuary is considered as a reference ecosystem with a large fish assemblage (75 species) and the presence of eleven diadromous species. However, geochemical studies and biomonitoring using oysters have shown high metal pollution levels. During the December 1999 hurricane, more than 5,000 young Siberian sturgeons (Acipenser baerii) accidentally escaped from a fish farm into the estuary, where this species had not been present until then. METHODS: In 2002/2003, thirteen sturgeons were collected from the estuary and twelve were obtained from the fish farm, from the same initial batch. Analysis of five metals (cadmium, zinc, copper, lead, mercury) measured in the gills, muscle, liver and kidneys, revealed significantly higher levels of cadmium, lead and mercury in the sturgeon collected from the estuary compared with those from the fish farm. RESULTS AND DISCUSSION: Metal analysis of the stomach contents of fish collected from the estuary and artificial food used in the fish farm indicated that dietary exposure might account for the differences observed. Nevertheless, metal concentrations in sturgeons that had spent about three years in the Gironde estuary may be considered low when compared with other species (mullets, eels) or with data in the literature regarding concentrations able to induce structural and functional perturbations in fish. As the introduced Siberian sturgeons live in the same place and feed on the same prey as the juveniles of the endangered A. sturio, our results indicate in the short-term that this strictly protected species does not appear to be much affected by the polymetallic pollution in the Gironde estuary. Marked differences in the concentrations of three metals (Cd, Pb, Hg) were established in four organs (gills, liver, skeletal muscle, kidneys) of Siberian sturgeons between specimens that had accidentally escaped into the Gironde estuary (France) during the December 1999 hurricane and were collected in March/June 2003 and specimens from the same initial batch at the fish farm. RECOMMENDATIONS AND PERSPECTIVES: Based on these results, a programme will be set up, with sampling campaigns carried out in the estuary every two years, with systematic monitoring of age in order to check the origin of individuals, in conjunction with sampling of sturgeon from the fish farm. This programme will complement other studies on several biological species representative of the main trophic levels in the…","author":[{"dropping-particle":"","family":"Maury-Brachet","given":"Régine","non-dropping-particle":"","parse-names":false,"suffix":""},{"dropping-particle":"","family":"Rochard","given":"Eric","non-dropping-particle":"","parse-names":false,"suffix":""},{"dropping-particle":"","family":"Durrieu","given":"Gilles","non-dropping-particle":"","parse-names":false,"suffix":""},{"dropping-particle":"","family":"Boudou","given":"Alain","non-dropping-particle":"","parse-names":false,"suffix":""}],"container-title":"Environmental Science and Pollution Research","id":"ITEM-1","issue":"1","issued":{"date-parts":[["2008"]]},"page":"89-94","title":"The 'Storm of the Century' (December 1999) and the accidental escape of Siberian sturgeons (Acipenser baerii) into the Gironde estuary (Southwest France): An original approach for metal contamination","type":"article-journal","volume":"15"},"uris":["http://www.mendeley.com/documents/?uuid=9355944a-9360-330e-a4e5-0d6a6e9fe445"]}],"mendeley":{"formattedCitation":"(Maury-Brachet &lt;i&gt;et al.&lt;/i&gt;, 2008)","manualFormatting":"(Maury-Brachet et al., 2008)","plainTextFormattedCitation":"(Maury-Brachet et al., 2008)","previouslyFormattedCitation":"(Maury-Brachet &lt;i&gt;et al.&lt;/i&gt;, 2008)"},"properties":{"noteIndex":0},"schema":"https://github.com/citation-style-language/schema/raw/master/csl-citation.json"}</w:instrText>
      </w:r>
      <w:r w:rsidRPr="00A245AA">
        <w:rPr>
          <w:color w:val="000000"/>
          <w:sz w:val="22"/>
          <w:szCs w:val="22"/>
        </w:rPr>
        <w:fldChar w:fldCharType="separate"/>
      </w:r>
      <w:r w:rsidRPr="00A245AA">
        <w:rPr>
          <w:noProof/>
          <w:color w:val="000000"/>
          <w:sz w:val="22"/>
          <w:szCs w:val="22"/>
        </w:rPr>
        <w:t xml:space="preserve">(Maury-Brachet </w:t>
      </w:r>
      <w:r w:rsidRPr="00A245AA">
        <w:rPr>
          <w:i/>
          <w:noProof/>
          <w:color w:val="000000"/>
          <w:sz w:val="22"/>
          <w:szCs w:val="22"/>
        </w:rPr>
        <w:t>et al.</w:t>
      </w:r>
      <w:r w:rsidRPr="00A245AA">
        <w:rPr>
          <w:noProof/>
          <w:color w:val="000000"/>
          <w:sz w:val="22"/>
          <w:szCs w:val="22"/>
        </w:rPr>
        <w:t>, 2008)</w:t>
      </w:r>
      <w:r w:rsidRPr="00A245AA">
        <w:rPr>
          <w:color w:val="000000"/>
          <w:sz w:val="22"/>
          <w:szCs w:val="22"/>
        </w:rPr>
        <w:fldChar w:fldCharType="end"/>
      </w:r>
      <w:r w:rsidRPr="00A245AA">
        <w:rPr>
          <w:color w:val="000000"/>
          <w:sz w:val="22"/>
          <w:szCs w:val="22"/>
        </w:rPr>
        <w:t xml:space="preserve">. In the weeks following the flooding over 1000 Siberian sturgeon were recovered, however the majority had entered the local ecosystem. </w:t>
      </w:r>
      <w:r w:rsidR="0054787A">
        <w:rPr>
          <w:color w:val="000000"/>
          <w:sz w:val="22"/>
          <w:szCs w:val="22"/>
        </w:rPr>
        <w:t>In Europe, “</w:t>
      </w:r>
      <w:r w:rsidRPr="00A245AA">
        <w:rPr>
          <w:color w:val="000000"/>
          <w:sz w:val="22"/>
          <w:szCs w:val="22"/>
        </w:rPr>
        <w:t>the escape of farmed Sibe</w:t>
      </w:r>
      <w:r w:rsidR="0054787A">
        <w:rPr>
          <w:color w:val="000000"/>
          <w:sz w:val="22"/>
          <w:szCs w:val="22"/>
        </w:rPr>
        <w:t>rian sturgeon is often reported”</w:t>
      </w:r>
      <w:r>
        <w:rPr>
          <w:color w:val="000000"/>
          <w:sz w:val="22"/>
          <w:szCs w:val="22"/>
        </w:rPr>
        <w:t xml:space="preserve"> </w:t>
      </w:r>
      <w:r w:rsidRPr="00A245AA">
        <w:rPr>
          <w:color w:val="000000"/>
          <w:sz w:val="22"/>
          <w:szCs w:val="22"/>
        </w:rPr>
        <w:fldChar w:fldCharType="begin" w:fldLock="1"/>
      </w:r>
      <w:r w:rsidR="00EC7F7E">
        <w:rPr>
          <w:color w:val="000000"/>
          <w:sz w:val="22"/>
          <w:szCs w:val="22"/>
        </w:rPr>
        <w:instrText>ADDIN CSL_CITATION {"citationItems":[{"id":"ITEM-1","itemData":{"DOI":"10.1007/s10530-008-9289-z","ISSN":"13873547","abstract":"Most natural populations of Eurasian sturgeons have declined dramatically during recent decades, reaching historic low levels today. During the same period, sturgeon has become very popular in European aquaculture. Because many hatcheries are located near rivers, their unintentional escape is often documented, especially during floods. Until now, no cases of successful hybridization of these escaped fish with wild stocks have been reported. In this study, the genetic structure of a highly threatened population of sterlets (Acipenser ruthenus) from the Upper Danube was analysed as a requirement for their conservation. Surprisingly, we observed genotypes and morphotypes of Siberian sturgeon (Acipenser baerii), as well as hybrids between this species and native sterlets. This hybridization poses a serious threat for the survival of this isolated sterlet population in the upper part of the Danube. For the first time, natural reproduction is documented for Siberian sturgeon outside their natural range in Europe. This finding demonstrates the risk of extinction by hybridisation of endangered populations. We would like to stress that taking into consideration the risks for native sturgeon populations, farmed sturgeon should not be released into the wild, and all measures should be taken to prevent their accidental escape. ? 2008 Springer Science+Business Media B.V.","author":[{"dropping-particle":"","family":"Ludwig","given":"Arne","non-dropping-particle":"","parse-names":false,"suffix":""},{"dropping-particle":"","family":"Lippold","given":"Sebastian","non-dropping-particle":"","parse-names":false,"suffix":""},{"dropping-particle":"","family":"Debus","given":"Lutz","non-dropping-particle":"","parse-names":false,"suffix":""},{"dropping-particle":"","family":"Reinartz","given":"Ralf","non-dropping-particle":"","parse-names":false,"suffix":""}],"container-title":"Biological Invasions","id":"ITEM-1","issue":"3","issued":{"date-parts":[["2009"]]},"page":"753-760","title":"First evidence of hybridization between endangered sterlets (Acipenser ruthenus) and exotic Siberian sturgeons (Acipenser baerii) in the Danube River","type":"article-journal","volume":"11"},"uris":["http://www.mendeley.com/documents/?uuid=116fbe14-0225-37e6-bbb7-80dd18f457e4"]}],"mendeley":{"formattedCitation":"(Ludwig &lt;i&gt;et al.&lt;/i&gt;, 2009)","manualFormatting":"(Ludwig et al., 2009: 754)","plainTextFormattedCitation":"(Ludwig et al., 2009)","previouslyFormattedCitation":"(Ludwig &lt;i&gt;et al.&lt;/i&gt;, 2009)"},"properties":{"noteIndex":0},"schema":"https://github.com/citation-style-language/schema/raw/master/csl-citation.json"}</w:instrText>
      </w:r>
      <w:r w:rsidRPr="00A245AA">
        <w:rPr>
          <w:color w:val="000000"/>
          <w:sz w:val="22"/>
          <w:szCs w:val="22"/>
        </w:rPr>
        <w:fldChar w:fldCharType="separate"/>
      </w:r>
      <w:r w:rsidRPr="00A245AA">
        <w:rPr>
          <w:noProof/>
          <w:color w:val="000000"/>
          <w:sz w:val="22"/>
          <w:szCs w:val="22"/>
        </w:rPr>
        <w:t xml:space="preserve">(Ludwig </w:t>
      </w:r>
      <w:r w:rsidRPr="00A245AA">
        <w:rPr>
          <w:i/>
          <w:noProof/>
          <w:color w:val="000000"/>
          <w:sz w:val="22"/>
          <w:szCs w:val="22"/>
        </w:rPr>
        <w:t>et al.</w:t>
      </w:r>
      <w:r w:rsidRPr="00A245AA">
        <w:rPr>
          <w:noProof/>
          <w:color w:val="000000"/>
          <w:sz w:val="22"/>
          <w:szCs w:val="22"/>
        </w:rPr>
        <w:t>, 2009: 754)</w:t>
      </w:r>
      <w:r w:rsidRPr="00A245AA">
        <w:rPr>
          <w:color w:val="000000"/>
          <w:sz w:val="22"/>
          <w:szCs w:val="22"/>
        </w:rPr>
        <w:fldChar w:fldCharType="end"/>
      </w:r>
      <w:r w:rsidR="0054787A">
        <w:rPr>
          <w:color w:val="000000"/>
          <w:sz w:val="22"/>
          <w:szCs w:val="22"/>
        </w:rPr>
        <w:t xml:space="preserve">. These incidents </w:t>
      </w:r>
      <w:r>
        <w:rPr>
          <w:color w:val="000000"/>
          <w:sz w:val="22"/>
          <w:szCs w:val="22"/>
        </w:rPr>
        <w:t xml:space="preserve">therefore point to an overlooked environmental impact of the expansion of sturgeon aquaculture, as </w:t>
      </w:r>
      <w:r>
        <w:rPr>
          <w:color w:val="000000"/>
          <w:sz w:val="22"/>
          <w:szCs w:val="22"/>
        </w:rPr>
        <w:lastRenderedPageBreak/>
        <w:t>well as exposing gaps in how sturgeon aquacu</w:t>
      </w:r>
      <w:r w:rsidR="0054787A">
        <w:rPr>
          <w:color w:val="000000"/>
          <w:sz w:val="22"/>
          <w:szCs w:val="22"/>
        </w:rPr>
        <w:t xml:space="preserve">lture is managed and regulated. </w:t>
      </w:r>
      <w:r w:rsidR="0009787E">
        <w:rPr>
          <w:color w:val="000000"/>
          <w:sz w:val="22"/>
          <w:szCs w:val="22"/>
        </w:rPr>
        <w:t>This has prompted the UN to call on countries to develop proper policies and actions to address the threat of escapees</w:t>
      </w:r>
      <w:r w:rsidR="0009787E" w:rsidRPr="005B292F">
        <w:rPr>
          <w:rStyle w:val="FootnoteReference"/>
        </w:rPr>
        <w:footnoteReference w:id="304"/>
      </w:r>
      <w:r w:rsidR="0009787E">
        <w:rPr>
          <w:color w:val="000000"/>
          <w:sz w:val="22"/>
          <w:szCs w:val="22"/>
        </w:rPr>
        <w:t>.</w:t>
      </w:r>
    </w:p>
    <w:p w14:paraId="7643EE4F" w14:textId="0B8C7B73" w:rsidR="00FE14D7" w:rsidRDefault="00911D64" w:rsidP="001372D4">
      <w:pPr>
        <w:pStyle w:val="NormalWeb"/>
        <w:spacing w:before="0" w:beforeAutospacing="0" w:after="0" w:afterAutospacing="0" w:line="360" w:lineRule="auto"/>
        <w:ind w:firstLine="720"/>
        <w:jc w:val="both"/>
        <w:rPr>
          <w:color w:val="000000"/>
          <w:sz w:val="22"/>
          <w:szCs w:val="22"/>
        </w:rPr>
      </w:pPr>
      <w:r>
        <w:rPr>
          <w:color w:val="000000"/>
          <w:sz w:val="22"/>
          <w:szCs w:val="22"/>
        </w:rPr>
        <w:t>From a more-than-human perspective, both the weather systems and sturgeon are actors whose agencies and behaviours have environmental and geopolitical effects.</w:t>
      </w:r>
      <w:r w:rsidR="001372D4">
        <w:rPr>
          <w:color w:val="000000"/>
          <w:sz w:val="22"/>
          <w:szCs w:val="22"/>
        </w:rPr>
        <w:t xml:space="preserve"> But in examining the aftermath of sturgeon escape incidents it is evident how sturgeon in particular, are refigured as inherently geopolitical actors. With the aid of weather systems, sturgeon</w:t>
      </w:r>
      <w:r w:rsidR="00FE14D7">
        <w:rPr>
          <w:color w:val="000000"/>
          <w:sz w:val="22"/>
          <w:szCs w:val="22"/>
        </w:rPr>
        <w:t xml:space="preserve"> can defy efforts made to control and manage them in aquaculture facilities; and post-escape, their movement and new position in local ecologies refigures escaped-sturgeon as biosecurity threats to native species. Concerns about biosecurity can become intertwined with geopolitics, as demonstrated by scholars such as Potter, Ingram, Rappert &amp; Lentzos in Dobson </w:t>
      </w:r>
      <w:r w:rsidR="00FE14D7" w:rsidRPr="00C6158D">
        <w:rPr>
          <w:i/>
          <w:color w:val="000000"/>
          <w:sz w:val="22"/>
          <w:szCs w:val="22"/>
        </w:rPr>
        <w:t>et al</w:t>
      </w:r>
      <w:r w:rsidR="00FE14D7">
        <w:rPr>
          <w:color w:val="000000"/>
          <w:sz w:val="22"/>
          <w:szCs w:val="22"/>
        </w:rPr>
        <w:t xml:space="preserve">. (2013); and this intertwining of biosecurity and geopolitics is manifest around escaped sturgeon in the EU.  </w:t>
      </w:r>
    </w:p>
    <w:p w14:paraId="271A543F" w14:textId="79A536B0" w:rsidR="00FE14D7" w:rsidRDefault="00FE14D7" w:rsidP="00FE14D7">
      <w:pPr>
        <w:ind w:firstLine="720"/>
        <w:rPr>
          <w:rFonts w:cs="Times New Roman"/>
          <w:color w:val="000000"/>
          <w:sz w:val="22"/>
        </w:rPr>
      </w:pPr>
      <w:r>
        <w:rPr>
          <w:rFonts w:cs="Times New Roman"/>
          <w:color w:val="000000"/>
          <w:sz w:val="22"/>
        </w:rPr>
        <w:t xml:space="preserve">Evidence </w:t>
      </w:r>
      <w:r w:rsidRPr="00A245AA">
        <w:rPr>
          <w:rFonts w:cs="Times New Roman"/>
          <w:color w:val="000000"/>
          <w:sz w:val="22"/>
        </w:rPr>
        <w:t>exists that exotic Siberian sturgeon have naturally rep</w:t>
      </w:r>
      <w:r w:rsidR="0076599E">
        <w:rPr>
          <w:rFonts w:cs="Times New Roman"/>
          <w:color w:val="000000"/>
          <w:sz w:val="22"/>
        </w:rPr>
        <w:t>roduced with native endangered S</w:t>
      </w:r>
      <w:r w:rsidRPr="00A245AA">
        <w:rPr>
          <w:rFonts w:cs="Times New Roman"/>
          <w:color w:val="000000"/>
          <w:sz w:val="22"/>
        </w:rPr>
        <w:t>t</w:t>
      </w:r>
      <w:r>
        <w:rPr>
          <w:rFonts w:cs="Times New Roman"/>
          <w:color w:val="000000"/>
          <w:sz w:val="22"/>
        </w:rPr>
        <w:t>erlet (</w:t>
      </w:r>
      <w:r w:rsidRPr="004F6BE5">
        <w:rPr>
          <w:rFonts w:cs="Times New Roman"/>
          <w:i/>
          <w:color w:val="000000"/>
          <w:sz w:val="22"/>
        </w:rPr>
        <w:t>Acipenser Ruthenus</w:t>
      </w:r>
      <w:r>
        <w:rPr>
          <w:rFonts w:cs="Times New Roman"/>
          <w:color w:val="000000"/>
          <w:sz w:val="22"/>
        </w:rPr>
        <w:t>) in the EU, as hybrids</w:t>
      </w:r>
      <w:r w:rsidRPr="00A245AA">
        <w:rPr>
          <w:rFonts w:cs="Times New Roman"/>
          <w:color w:val="000000"/>
          <w:sz w:val="22"/>
        </w:rPr>
        <w:t xml:space="preserve"> have been observed in the Austrian section of the upper Danube River (Ludwig</w:t>
      </w:r>
      <w:r>
        <w:rPr>
          <w:rFonts w:cs="Times New Roman"/>
          <w:color w:val="000000"/>
          <w:sz w:val="22"/>
        </w:rPr>
        <w:t xml:space="preserve"> </w:t>
      </w:r>
      <w:r w:rsidRPr="00C6158D">
        <w:rPr>
          <w:rFonts w:cs="Times New Roman"/>
          <w:i/>
          <w:color w:val="000000"/>
          <w:sz w:val="22"/>
        </w:rPr>
        <w:t>et al</w:t>
      </w:r>
      <w:r w:rsidR="00C6158D">
        <w:rPr>
          <w:rFonts w:cs="Times New Roman"/>
          <w:i/>
          <w:color w:val="000000"/>
          <w:sz w:val="22"/>
        </w:rPr>
        <w:t>.</w:t>
      </w:r>
      <w:r>
        <w:rPr>
          <w:rFonts w:cs="Times New Roman"/>
          <w:color w:val="000000"/>
          <w:sz w:val="22"/>
        </w:rPr>
        <w:t xml:space="preserve">, 2009). Although the extent of the impact of accidental introduction of non-native sturgeon species into </w:t>
      </w:r>
      <w:r w:rsidR="0076599E">
        <w:rPr>
          <w:rFonts w:cs="Times New Roman"/>
          <w:color w:val="000000"/>
          <w:sz w:val="22"/>
        </w:rPr>
        <w:t xml:space="preserve">EU </w:t>
      </w:r>
      <w:r>
        <w:rPr>
          <w:rFonts w:cs="Times New Roman"/>
          <w:color w:val="000000"/>
          <w:sz w:val="22"/>
        </w:rPr>
        <w:t>river ecosystems is largely unknown, h</w:t>
      </w:r>
      <w:r w:rsidRPr="00A245AA">
        <w:rPr>
          <w:rFonts w:cs="Times New Roman"/>
          <w:color w:val="000000"/>
          <w:sz w:val="22"/>
        </w:rPr>
        <w:t>ybridization between non-native escaped sturgeon, and critically endanger</w:t>
      </w:r>
      <w:r w:rsidR="001372D4">
        <w:rPr>
          <w:rFonts w:cs="Times New Roman"/>
          <w:color w:val="000000"/>
          <w:sz w:val="22"/>
        </w:rPr>
        <w:t>ed wild stocks is said to pose “</w:t>
      </w:r>
      <w:r w:rsidRPr="00A245AA">
        <w:rPr>
          <w:rFonts w:cs="Times New Roman"/>
          <w:color w:val="000000"/>
          <w:sz w:val="22"/>
        </w:rPr>
        <w:t xml:space="preserve">a serious threat for the survival of this isolated sterlet population </w:t>
      </w:r>
      <w:r>
        <w:rPr>
          <w:rFonts w:cs="Times New Roman"/>
          <w:color w:val="000000"/>
          <w:sz w:val="22"/>
        </w:rPr>
        <w:t>in</w:t>
      </w:r>
      <w:r w:rsidR="001372D4">
        <w:rPr>
          <w:rFonts w:cs="Times New Roman"/>
          <w:color w:val="000000"/>
          <w:sz w:val="22"/>
        </w:rPr>
        <w:t xml:space="preserve"> the upper part of the Danube”</w:t>
      </w:r>
      <w:r w:rsidRPr="00A245AA">
        <w:rPr>
          <w:rFonts w:cs="Times New Roman"/>
          <w:color w:val="000000"/>
          <w:sz w:val="22"/>
        </w:rPr>
        <w:t xml:space="preserve"> (Ludwig </w:t>
      </w:r>
      <w:r w:rsidRPr="00C6158D">
        <w:rPr>
          <w:rFonts w:cs="Times New Roman"/>
          <w:i/>
          <w:color w:val="000000"/>
          <w:sz w:val="22"/>
        </w:rPr>
        <w:t>et al</w:t>
      </w:r>
      <w:r w:rsidR="00C6158D">
        <w:rPr>
          <w:rFonts w:cs="Times New Roman"/>
          <w:i/>
          <w:color w:val="000000"/>
          <w:sz w:val="22"/>
        </w:rPr>
        <w:t>.</w:t>
      </w:r>
      <w:r w:rsidRPr="00A245AA">
        <w:rPr>
          <w:rFonts w:cs="Times New Roman"/>
          <w:color w:val="000000"/>
          <w:sz w:val="22"/>
        </w:rPr>
        <w:t xml:space="preserve">, 2009: 754). </w:t>
      </w:r>
      <w:r w:rsidRPr="00A245AA">
        <w:rPr>
          <w:rFonts w:cs="Times New Roman"/>
          <w:color w:val="000000"/>
          <w:sz w:val="22"/>
        </w:rPr>
        <w:fldChar w:fldCharType="begin" w:fldLock="1"/>
      </w:r>
      <w:r w:rsidR="00EC7F7E">
        <w:rPr>
          <w:rFonts w:cs="Times New Roman"/>
          <w:color w:val="000000"/>
          <w:sz w:val="22"/>
        </w:rPr>
        <w:instrText>ADDIN CSL_CITATION {"citationItems":[{"id":"ITEM-1","itemData":{"author":[{"dropping-particle":"","family":"Weiperth","given":"A","non-dropping-particle":"","parse-names":false,"suffix":""},{"dropping-particle":"","family":"Csányi","given":"B","non-dropping-particle":"","parse-names":false,"suffix":""},{"dropping-particle":"","family":"György","given":"Á I","non-dropping-particle":"","parse-names":false,"suffix":""},{"dropping-particle":"","family":"Szekeres","given":"J","non-dropping-particle":"","parse-names":false,"suffix":""},{"dropping-particle":"","family":"Friedrich","given":"T","non-dropping-particle":"","parse-names":false,"suffix":""},{"dropping-particle":"","family":"Szalóky","given":"Z","non-dropping-particle":"","parse-names":false,"suffix":""}],"id":"ITEM-1","issue":"October","issued":{"date-parts":[["2014"]]},"title":"Observation of the sturgeon hybrid ( Acipenser naccarii x Acipenser baerii ) in the Hungarian section of River Danube baerii ) in the Hungarian section of River Danube Idegenhonos tokhibrid ( Acipenser naccarii x Acipenser baerii ) észlelése a Duna magyar","type":"article-journal"},"uris":["http://www.mendeley.com/documents/?uuid=68e4961b-2ce6-4e41-95b3-2e626101a471"]}],"mendeley":{"formattedCitation":"(Weiperth &lt;i&gt;et al.&lt;/i&gt;, 2014)","manualFormatting":"Weiperth et al., (2014)","plainTextFormattedCitation":"(Weiperth et al., 2014)","previouslyFormattedCitation":"(Weiperth &lt;i&gt;et al.&lt;/i&gt;, 2014)"},"properties":{"noteIndex":0},"schema":"https://github.com/citation-style-language/schema/raw/master/csl-citation.json"}</w:instrText>
      </w:r>
      <w:r w:rsidRPr="00A245AA">
        <w:rPr>
          <w:rFonts w:cs="Times New Roman"/>
          <w:color w:val="000000"/>
          <w:sz w:val="22"/>
        </w:rPr>
        <w:fldChar w:fldCharType="separate"/>
      </w:r>
      <w:r w:rsidRPr="00A245AA">
        <w:rPr>
          <w:rFonts w:cs="Times New Roman"/>
          <w:noProof/>
          <w:color w:val="000000"/>
          <w:sz w:val="22"/>
        </w:rPr>
        <w:t xml:space="preserve">Weiperth </w:t>
      </w:r>
      <w:r w:rsidRPr="00A245AA">
        <w:rPr>
          <w:rFonts w:cs="Times New Roman"/>
          <w:i/>
          <w:noProof/>
          <w:color w:val="000000"/>
          <w:sz w:val="22"/>
        </w:rPr>
        <w:t>et al.</w:t>
      </w:r>
      <w:r w:rsidRPr="00A245AA">
        <w:rPr>
          <w:rFonts w:cs="Times New Roman"/>
          <w:noProof/>
          <w:color w:val="000000"/>
          <w:sz w:val="22"/>
        </w:rPr>
        <w:t>, (2014)</w:t>
      </w:r>
      <w:r w:rsidRPr="00A245AA">
        <w:rPr>
          <w:rFonts w:cs="Times New Roman"/>
          <w:color w:val="000000"/>
          <w:sz w:val="22"/>
        </w:rPr>
        <w:fldChar w:fldCharType="end"/>
      </w:r>
      <w:r w:rsidRPr="00A245AA">
        <w:rPr>
          <w:rFonts w:cs="Times New Roman"/>
          <w:color w:val="000000"/>
          <w:sz w:val="22"/>
        </w:rPr>
        <w:t xml:space="preserve"> </w:t>
      </w:r>
      <w:r>
        <w:rPr>
          <w:rFonts w:cs="Times New Roman"/>
          <w:color w:val="000000"/>
          <w:sz w:val="22"/>
        </w:rPr>
        <w:t xml:space="preserve">also </w:t>
      </w:r>
      <w:r w:rsidRPr="00A245AA">
        <w:rPr>
          <w:rFonts w:cs="Times New Roman"/>
          <w:color w:val="000000"/>
          <w:sz w:val="22"/>
        </w:rPr>
        <w:t xml:space="preserve">note incidences </w:t>
      </w:r>
      <w:r>
        <w:rPr>
          <w:rFonts w:cs="Times New Roman"/>
          <w:color w:val="000000"/>
          <w:sz w:val="22"/>
        </w:rPr>
        <w:t xml:space="preserve">of non-native hybrid sturgeon being found in EU waters. In 2013, hybrid Adriatic </w:t>
      </w:r>
      <w:r w:rsidRPr="00A245AA">
        <w:rPr>
          <w:rFonts w:cs="Times New Roman"/>
          <w:color w:val="000000"/>
          <w:sz w:val="22"/>
        </w:rPr>
        <w:t>(</w:t>
      </w:r>
      <w:r w:rsidRPr="004F6BE5">
        <w:rPr>
          <w:rFonts w:cs="Times New Roman"/>
          <w:i/>
          <w:color w:val="000000"/>
          <w:sz w:val="22"/>
        </w:rPr>
        <w:t>Acipenser Naccarii</w:t>
      </w:r>
      <w:r>
        <w:rPr>
          <w:rFonts w:cs="Times New Roman"/>
          <w:color w:val="000000"/>
          <w:sz w:val="22"/>
        </w:rPr>
        <w:t>) x</w:t>
      </w:r>
      <w:r w:rsidRPr="00A245AA">
        <w:rPr>
          <w:rFonts w:cs="Times New Roman"/>
          <w:color w:val="000000"/>
          <w:sz w:val="22"/>
        </w:rPr>
        <w:t xml:space="preserve"> Siberian </w:t>
      </w:r>
      <w:r>
        <w:rPr>
          <w:rFonts w:cs="Times New Roman"/>
          <w:color w:val="000000"/>
          <w:sz w:val="22"/>
        </w:rPr>
        <w:t>(</w:t>
      </w:r>
      <w:r w:rsidRPr="004F6BE5">
        <w:rPr>
          <w:rFonts w:cs="Times New Roman"/>
          <w:i/>
          <w:color w:val="000000"/>
          <w:sz w:val="22"/>
        </w:rPr>
        <w:t>Acipenser Baerii</w:t>
      </w:r>
      <w:r>
        <w:rPr>
          <w:rFonts w:cs="Times New Roman"/>
          <w:color w:val="000000"/>
          <w:sz w:val="22"/>
        </w:rPr>
        <w:t xml:space="preserve">) </w:t>
      </w:r>
      <w:r w:rsidRPr="00A245AA">
        <w:rPr>
          <w:rFonts w:cs="Times New Roman"/>
          <w:color w:val="000000"/>
          <w:sz w:val="22"/>
        </w:rPr>
        <w:t>sturgeon</w:t>
      </w:r>
      <w:r>
        <w:rPr>
          <w:rFonts w:cs="Times New Roman"/>
          <w:color w:val="000000"/>
          <w:sz w:val="22"/>
        </w:rPr>
        <w:t xml:space="preserve"> were caught in the Hungarian middle Danube. Both these species are exotic to EU waters and therefore assumed to represent the reproduction of escaped sturgeon individuals. </w:t>
      </w:r>
    </w:p>
    <w:p w14:paraId="381ECA88" w14:textId="12BD44DD" w:rsidR="00FE14D7" w:rsidRPr="009235FC" w:rsidRDefault="00FE14D7" w:rsidP="00FE14D7">
      <w:pPr>
        <w:ind w:firstLine="720"/>
        <w:rPr>
          <w:rFonts w:cs="Times New Roman"/>
          <w:color w:val="000000"/>
          <w:sz w:val="22"/>
        </w:rPr>
      </w:pPr>
      <w:r w:rsidRPr="00A245AA">
        <w:rPr>
          <w:rFonts w:cs="Times New Roman"/>
          <w:color w:val="000000"/>
          <w:sz w:val="22"/>
        </w:rPr>
        <w:t xml:space="preserve">Irrespective of whether these exotic sturgeon species and sturgeon hybrids are able to reproduce with native sturgeon populations (thereby affecting the genetic sanctity of isolated populations), it is </w:t>
      </w:r>
      <w:r>
        <w:rPr>
          <w:rFonts w:cs="Times New Roman"/>
          <w:color w:val="000000"/>
          <w:sz w:val="22"/>
        </w:rPr>
        <w:t xml:space="preserve">speculated </w:t>
      </w:r>
      <w:r w:rsidRPr="00A245AA">
        <w:rPr>
          <w:rFonts w:cs="Times New Roman"/>
          <w:color w:val="000000"/>
          <w:sz w:val="22"/>
        </w:rPr>
        <w:t>that alien sturgeon pose threats to native species in terms of disease transmission and competition for resources. As a result, derision is often directed towards escaped s</w:t>
      </w:r>
      <w:r>
        <w:rPr>
          <w:rFonts w:cs="Times New Roman"/>
          <w:color w:val="000000"/>
          <w:sz w:val="22"/>
        </w:rPr>
        <w:t>turgeon that are perceived to pose</w:t>
      </w:r>
      <w:r w:rsidRPr="00A245AA">
        <w:rPr>
          <w:rFonts w:cs="Times New Roman"/>
          <w:color w:val="000000"/>
          <w:sz w:val="22"/>
        </w:rPr>
        <w:t xml:space="preserve"> a threat to native species and delicate local </w:t>
      </w:r>
      <w:r>
        <w:rPr>
          <w:rFonts w:cs="Times New Roman"/>
          <w:color w:val="000000"/>
          <w:sz w:val="22"/>
        </w:rPr>
        <w:t>ecosystems. One sturgeon farmer</w:t>
      </w:r>
      <w:r w:rsidRPr="00A245AA">
        <w:rPr>
          <w:rFonts w:cs="Times New Roman"/>
          <w:color w:val="000000"/>
          <w:sz w:val="22"/>
        </w:rPr>
        <w:t xml:space="preserve"> describe</w:t>
      </w:r>
      <w:r w:rsidR="001372D4">
        <w:rPr>
          <w:rFonts w:cs="Times New Roman"/>
          <w:color w:val="000000"/>
          <w:sz w:val="22"/>
        </w:rPr>
        <w:t>d escaped Siberian sturgeon as “</w:t>
      </w:r>
      <w:r w:rsidRPr="00A245AA">
        <w:rPr>
          <w:rFonts w:cs="Times New Roman"/>
          <w:color w:val="000000"/>
          <w:sz w:val="22"/>
        </w:rPr>
        <w:t>the house pig of the sturgeon</w:t>
      </w:r>
      <w:r w:rsidR="001372D4">
        <w:rPr>
          <w:rFonts w:cs="Times New Roman"/>
          <w:color w:val="000000"/>
          <w:sz w:val="22"/>
        </w:rPr>
        <w:t>”</w:t>
      </w:r>
      <w:r w:rsidRPr="005B292F">
        <w:rPr>
          <w:rStyle w:val="FootnoteReference"/>
        </w:rPr>
        <w:footnoteReference w:id="305"/>
      </w:r>
      <w:r w:rsidR="001372D4">
        <w:rPr>
          <w:rFonts w:cs="Times New Roman"/>
          <w:color w:val="000000"/>
          <w:sz w:val="22"/>
        </w:rPr>
        <w:t>,</w:t>
      </w:r>
      <w:r>
        <w:rPr>
          <w:rFonts w:cs="Times New Roman"/>
          <w:color w:val="000000"/>
          <w:sz w:val="22"/>
        </w:rPr>
        <w:t xml:space="preserve"> likening the Siberian sturgeon to the EU’s proliferating population of wild boar</w:t>
      </w:r>
      <w:r w:rsidRPr="005B292F">
        <w:rPr>
          <w:rStyle w:val="FootnoteReference"/>
        </w:rPr>
        <w:footnoteReference w:id="306"/>
      </w:r>
      <w:r>
        <w:rPr>
          <w:rFonts w:cs="Times New Roman"/>
          <w:color w:val="000000"/>
          <w:sz w:val="22"/>
        </w:rPr>
        <w:t>. The proliferation of wild boar has produced a geopolitical ‘battleground’ (von Essen, 2019) in the EU, which has co</w:t>
      </w:r>
      <w:r w:rsidR="001372D4">
        <w:rPr>
          <w:rFonts w:cs="Times New Roman"/>
          <w:color w:val="000000"/>
          <w:sz w:val="22"/>
        </w:rPr>
        <w:t>lloquially been referred to as “</w:t>
      </w:r>
      <w:r>
        <w:rPr>
          <w:rFonts w:cs="Times New Roman"/>
          <w:color w:val="000000"/>
          <w:sz w:val="22"/>
        </w:rPr>
        <w:t>the Boar wars</w:t>
      </w:r>
      <w:r w:rsidR="001372D4">
        <w:rPr>
          <w:rFonts w:cs="Times New Roman"/>
          <w:color w:val="000000"/>
          <w:sz w:val="22"/>
        </w:rPr>
        <w:t>”</w:t>
      </w:r>
      <w:r w:rsidRPr="005B292F">
        <w:rPr>
          <w:rStyle w:val="FootnoteReference"/>
        </w:rPr>
        <w:footnoteReference w:id="307"/>
      </w:r>
      <w:r>
        <w:rPr>
          <w:rFonts w:cs="Times New Roman"/>
          <w:color w:val="000000"/>
          <w:sz w:val="22"/>
        </w:rPr>
        <w:t>. In this battle</w:t>
      </w:r>
      <w:r w:rsidR="001372D4">
        <w:rPr>
          <w:rFonts w:cs="Times New Roman"/>
          <w:color w:val="000000"/>
          <w:sz w:val="22"/>
        </w:rPr>
        <w:t>ground non-state actors and EU Member S</w:t>
      </w:r>
      <w:r>
        <w:rPr>
          <w:rFonts w:cs="Times New Roman"/>
          <w:color w:val="000000"/>
          <w:sz w:val="22"/>
        </w:rPr>
        <w:t xml:space="preserve">tates </w:t>
      </w:r>
      <w:r>
        <w:rPr>
          <w:rFonts w:cs="Times New Roman"/>
          <w:color w:val="000000"/>
          <w:sz w:val="22"/>
        </w:rPr>
        <w:lastRenderedPageBreak/>
        <w:t xml:space="preserve">jostle over how to manage the invasive species. </w:t>
      </w:r>
      <w:r w:rsidRPr="00A245AA">
        <w:rPr>
          <w:rFonts w:cs="Times New Roman"/>
          <w:color w:val="000000"/>
          <w:sz w:val="22"/>
        </w:rPr>
        <w:t>Danut expressed hope to see the same level of geopolitical attention given to the issue of escaped sturgeon.</w:t>
      </w:r>
      <w:r>
        <w:rPr>
          <w:rFonts w:cs="Times New Roman"/>
          <w:color w:val="000000"/>
          <w:sz w:val="22"/>
        </w:rPr>
        <w:t xml:space="preserve"> However a similar degree of attention would likely result in increased scrutiny and regulation over EU caviar aquaculture facilities – something that would inevitably impact the economic competitiveness of this burgeoning European industry on the global market. As suc</w:t>
      </w:r>
      <w:r w:rsidR="0076599E">
        <w:rPr>
          <w:rFonts w:cs="Times New Roman"/>
          <w:color w:val="000000"/>
          <w:sz w:val="22"/>
        </w:rPr>
        <w:t>h, there may exist geo</w:t>
      </w:r>
      <w:r>
        <w:rPr>
          <w:rFonts w:cs="Times New Roman"/>
          <w:color w:val="000000"/>
          <w:sz w:val="22"/>
        </w:rPr>
        <w:t xml:space="preserve">economic incentives to avoid </w:t>
      </w:r>
      <w:r w:rsidRPr="009235FC">
        <w:rPr>
          <w:rFonts w:cs="Times New Roman"/>
          <w:color w:val="000000"/>
          <w:sz w:val="22"/>
        </w:rPr>
        <w:t xml:space="preserve">generating a similar ‘battleground’ over escaped sturgeon in the EU. </w:t>
      </w:r>
    </w:p>
    <w:p w14:paraId="104C8E7D" w14:textId="78C5576D" w:rsidR="00FE14D7" w:rsidRDefault="00FE14D7" w:rsidP="00FE14D7">
      <w:pPr>
        <w:ind w:firstLine="720"/>
        <w:rPr>
          <w:rFonts w:cs="Times New Roman"/>
          <w:color w:val="000000"/>
          <w:sz w:val="22"/>
        </w:rPr>
      </w:pPr>
      <w:r w:rsidRPr="009235FC">
        <w:rPr>
          <w:rFonts w:cs="Times New Roman"/>
          <w:color w:val="000000"/>
          <w:sz w:val="22"/>
        </w:rPr>
        <w:t xml:space="preserve"> In reality, the movement, migration and reproduction of escaped sturgeon has become geopolitically charged in ways that </w:t>
      </w:r>
      <w:r>
        <w:rPr>
          <w:rFonts w:cs="Times New Roman"/>
          <w:color w:val="000000"/>
          <w:sz w:val="22"/>
        </w:rPr>
        <w:t xml:space="preserve">actually </w:t>
      </w:r>
      <w:r w:rsidRPr="009235FC">
        <w:rPr>
          <w:rFonts w:cs="Times New Roman"/>
          <w:color w:val="000000"/>
          <w:sz w:val="22"/>
        </w:rPr>
        <w:t xml:space="preserve">serve to deflect attention from the culpability of EU aquaculture facilities in these ‘escapes’. </w:t>
      </w:r>
      <w:r>
        <w:rPr>
          <w:rFonts w:cs="Times New Roman"/>
          <w:color w:val="000000"/>
          <w:sz w:val="22"/>
        </w:rPr>
        <w:t xml:space="preserve">Popular media coverage of escape events have </w:t>
      </w:r>
      <w:r w:rsidRPr="009235FC">
        <w:rPr>
          <w:rFonts w:cs="Times New Roman"/>
          <w:color w:val="000000"/>
          <w:sz w:val="22"/>
        </w:rPr>
        <w:t>highlighted questions of ownership, culpability and responsibility that are i</w:t>
      </w:r>
      <w:r w:rsidR="0076599E">
        <w:rPr>
          <w:rFonts w:cs="Times New Roman"/>
          <w:color w:val="000000"/>
          <w:sz w:val="22"/>
        </w:rPr>
        <w:t>mbued with geopolitical tropes,</w:t>
      </w:r>
      <w:r>
        <w:rPr>
          <w:rFonts w:cs="Times New Roman"/>
          <w:color w:val="000000"/>
          <w:sz w:val="22"/>
        </w:rPr>
        <w:t xml:space="preserve"> and refigure the natural behaviours of sturgeon as hostile, threatening and foreign. For example, i</w:t>
      </w:r>
      <w:r w:rsidRPr="009235FC">
        <w:rPr>
          <w:rFonts w:cs="Times New Roman"/>
          <w:color w:val="000000"/>
          <w:sz w:val="22"/>
        </w:rPr>
        <w:t>n 2007 the UK Telegraph newspaper published an article with the headline</w:t>
      </w:r>
      <w:r>
        <w:rPr>
          <w:rFonts w:cs="Times New Roman"/>
          <w:color w:val="000000"/>
          <w:sz w:val="22"/>
        </w:rPr>
        <w:t>: ‘</w:t>
      </w:r>
      <w:r w:rsidRPr="009235FC">
        <w:rPr>
          <w:rFonts w:cs="Times New Roman"/>
          <w:color w:val="000000"/>
          <w:sz w:val="22"/>
        </w:rPr>
        <w:t>Russian sturgeon invading British waters</w:t>
      </w:r>
      <w:r>
        <w:rPr>
          <w:rFonts w:cs="Times New Roman"/>
          <w:color w:val="000000"/>
          <w:sz w:val="22"/>
        </w:rPr>
        <w:t>’</w:t>
      </w:r>
      <w:r w:rsidRPr="005B292F">
        <w:rPr>
          <w:rStyle w:val="FootnoteReference"/>
        </w:rPr>
        <w:footnoteReference w:id="308"/>
      </w:r>
      <w:r w:rsidRPr="009235FC">
        <w:rPr>
          <w:rFonts w:cs="Times New Roman"/>
          <w:color w:val="000000"/>
          <w:sz w:val="22"/>
        </w:rPr>
        <w:t xml:space="preserve">. The article outlines that sturgeon </w:t>
      </w:r>
      <w:r>
        <w:rPr>
          <w:rFonts w:cs="Times New Roman"/>
          <w:color w:val="000000"/>
          <w:sz w:val="22"/>
        </w:rPr>
        <w:t xml:space="preserve">genetically originating </w:t>
      </w:r>
      <w:r w:rsidRPr="009235FC">
        <w:rPr>
          <w:rFonts w:cs="Times New Roman"/>
          <w:color w:val="000000"/>
          <w:sz w:val="22"/>
        </w:rPr>
        <w:t>from Russian sturgeon species (presumably</w:t>
      </w:r>
      <w:r w:rsidRPr="004F42C7">
        <w:rPr>
          <w:rFonts w:cs="Times New Roman"/>
          <w:i/>
          <w:color w:val="000000"/>
          <w:sz w:val="22"/>
        </w:rPr>
        <w:t xml:space="preserve"> Acipenser Gueldenstaedtii</w:t>
      </w:r>
      <w:r w:rsidRPr="009235FC">
        <w:rPr>
          <w:rFonts w:cs="Times New Roman"/>
          <w:color w:val="000000"/>
          <w:sz w:val="22"/>
        </w:rPr>
        <w:t xml:space="preserve"> or </w:t>
      </w:r>
      <w:r w:rsidRPr="004F42C7">
        <w:rPr>
          <w:rFonts w:cs="Times New Roman"/>
          <w:i/>
          <w:color w:val="000000"/>
          <w:sz w:val="22"/>
        </w:rPr>
        <w:t>Acipenser Baerii</w:t>
      </w:r>
      <w:r w:rsidRPr="009235FC">
        <w:rPr>
          <w:rFonts w:cs="Times New Roman"/>
          <w:color w:val="000000"/>
          <w:sz w:val="22"/>
        </w:rPr>
        <w:t xml:space="preserve"> - </w:t>
      </w:r>
      <w:r>
        <w:rPr>
          <w:rFonts w:cs="Times New Roman"/>
          <w:color w:val="000000"/>
          <w:sz w:val="22"/>
        </w:rPr>
        <w:t>although this is not noted), were located in ‘</w:t>
      </w:r>
      <w:r w:rsidRPr="009235FC">
        <w:rPr>
          <w:rFonts w:cs="Times New Roman"/>
          <w:color w:val="000000"/>
          <w:sz w:val="22"/>
        </w:rPr>
        <w:t>dozen</w:t>
      </w:r>
      <w:r>
        <w:rPr>
          <w:rFonts w:cs="Times New Roman"/>
          <w:color w:val="000000"/>
          <w:sz w:val="22"/>
        </w:rPr>
        <w:t>s’</w:t>
      </w:r>
      <w:r w:rsidRPr="009235FC">
        <w:rPr>
          <w:rFonts w:cs="Times New Roman"/>
          <w:color w:val="000000"/>
          <w:sz w:val="22"/>
        </w:rPr>
        <w:t xml:space="preserve"> of si</w:t>
      </w:r>
      <w:r>
        <w:rPr>
          <w:rFonts w:cs="Times New Roman"/>
          <w:color w:val="000000"/>
          <w:sz w:val="22"/>
        </w:rPr>
        <w:t xml:space="preserve">tes across the UK. The fish were </w:t>
      </w:r>
      <w:r w:rsidRPr="009235FC">
        <w:rPr>
          <w:rFonts w:cs="Times New Roman"/>
          <w:color w:val="000000"/>
          <w:sz w:val="22"/>
        </w:rPr>
        <w:t>thought to have escaped hatcherie</w:t>
      </w:r>
      <w:r>
        <w:rPr>
          <w:rFonts w:cs="Times New Roman"/>
          <w:color w:val="000000"/>
          <w:sz w:val="22"/>
        </w:rPr>
        <w:t>s or been illegally smuggled</w:t>
      </w:r>
      <w:r w:rsidRPr="009235FC">
        <w:rPr>
          <w:rFonts w:cs="Times New Roman"/>
          <w:color w:val="000000"/>
          <w:sz w:val="22"/>
        </w:rPr>
        <w:t xml:space="preserve"> </w:t>
      </w:r>
      <w:r>
        <w:rPr>
          <w:rFonts w:cs="Times New Roman"/>
          <w:color w:val="000000"/>
          <w:sz w:val="22"/>
        </w:rPr>
        <w:t xml:space="preserve">and </w:t>
      </w:r>
      <w:r w:rsidRPr="009235FC">
        <w:rPr>
          <w:rFonts w:cs="Times New Roman"/>
          <w:color w:val="000000"/>
          <w:sz w:val="22"/>
        </w:rPr>
        <w:t>released for sport fishing. What is striking about the article is that the sturgeon are referred to</w:t>
      </w:r>
      <w:r>
        <w:rPr>
          <w:rFonts w:cs="Times New Roman"/>
          <w:color w:val="000000"/>
          <w:sz w:val="22"/>
        </w:rPr>
        <w:t xml:space="preserve"> by their genetic provenance – ‘</w:t>
      </w:r>
      <w:r w:rsidRPr="009235FC">
        <w:rPr>
          <w:rFonts w:cs="Times New Roman"/>
          <w:color w:val="000000"/>
          <w:sz w:val="22"/>
        </w:rPr>
        <w:t>Ru</w:t>
      </w:r>
      <w:r>
        <w:rPr>
          <w:rFonts w:cs="Times New Roman"/>
          <w:color w:val="000000"/>
          <w:sz w:val="22"/>
        </w:rPr>
        <w:t>ssian’</w:t>
      </w:r>
      <w:r w:rsidRPr="009235FC">
        <w:rPr>
          <w:rFonts w:cs="Times New Roman"/>
          <w:color w:val="000000"/>
          <w:sz w:val="22"/>
        </w:rPr>
        <w:t xml:space="preserve"> - irrespective of the </w:t>
      </w:r>
      <w:r>
        <w:rPr>
          <w:rFonts w:cs="Times New Roman"/>
          <w:color w:val="000000"/>
          <w:sz w:val="22"/>
        </w:rPr>
        <w:t xml:space="preserve">likelihood that the fish may have been bred by UK hatcheries or acquired from other European farms. This </w:t>
      </w:r>
      <w:r w:rsidRPr="009235FC">
        <w:rPr>
          <w:rFonts w:cs="Times New Roman"/>
          <w:color w:val="000000"/>
          <w:sz w:val="22"/>
        </w:rPr>
        <w:t>is</w:t>
      </w:r>
      <w:r>
        <w:rPr>
          <w:rFonts w:cs="Times New Roman"/>
          <w:color w:val="000000"/>
          <w:sz w:val="22"/>
        </w:rPr>
        <w:t xml:space="preserve"> a</w:t>
      </w:r>
      <w:r w:rsidRPr="009235FC">
        <w:rPr>
          <w:rFonts w:cs="Times New Roman"/>
          <w:color w:val="000000"/>
          <w:sz w:val="22"/>
        </w:rPr>
        <w:t xml:space="preserve"> powerful rhetorical method of suggesting that the sturgeon are Russian agents, invading and threatening UK ecosystems and biodiversity. </w:t>
      </w:r>
    </w:p>
    <w:p w14:paraId="64030509" w14:textId="35E667FB" w:rsidR="00FE14D7" w:rsidRDefault="00FE14D7" w:rsidP="00FE14D7">
      <w:pPr>
        <w:ind w:firstLine="720"/>
        <w:rPr>
          <w:rFonts w:cs="Times New Roman"/>
          <w:color w:val="000000"/>
          <w:sz w:val="22"/>
        </w:rPr>
      </w:pPr>
      <w:r>
        <w:rPr>
          <w:rFonts w:cs="Times New Roman"/>
          <w:color w:val="000000"/>
          <w:sz w:val="22"/>
        </w:rPr>
        <w:t>Moreover, what is p</w:t>
      </w:r>
      <w:r w:rsidRPr="009235FC">
        <w:rPr>
          <w:rFonts w:cs="Times New Roman"/>
          <w:color w:val="000000"/>
          <w:sz w:val="22"/>
        </w:rPr>
        <w:t xml:space="preserve">articularly striking in the media reports is the use of terms more commonly associated with warfare or traditional security threats to </w:t>
      </w:r>
      <w:r>
        <w:rPr>
          <w:rFonts w:cs="Times New Roman"/>
          <w:color w:val="000000"/>
          <w:sz w:val="22"/>
        </w:rPr>
        <w:t>describe the</w:t>
      </w:r>
      <w:r w:rsidRPr="009235FC">
        <w:rPr>
          <w:rFonts w:cs="Times New Roman"/>
          <w:color w:val="000000"/>
          <w:sz w:val="22"/>
        </w:rPr>
        <w:t xml:space="preserve"> escape of sturgeon. In this case </w:t>
      </w:r>
      <w:r>
        <w:rPr>
          <w:rFonts w:cs="Times New Roman"/>
          <w:color w:val="000000"/>
          <w:sz w:val="22"/>
        </w:rPr>
        <w:t>using hyperbole to refer</w:t>
      </w:r>
      <w:r w:rsidRPr="009235FC">
        <w:rPr>
          <w:rFonts w:cs="Times New Roman"/>
          <w:color w:val="000000"/>
          <w:sz w:val="22"/>
        </w:rPr>
        <w:t xml:space="preserve"> to finding three non-native species of sturgeon in UK</w:t>
      </w:r>
      <w:r w:rsidR="00EC3824">
        <w:rPr>
          <w:rFonts w:cs="Times New Roman"/>
          <w:color w:val="000000"/>
          <w:sz w:val="22"/>
        </w:rPr>
        <w:t xml:space="preserve"> waters as an “invasion”</w:t>
      </w:r>
      <w:r w:rsidRPr="009235FC">
        <w:rPr>
          <w:rFonts w:cs="Times New Roman"/>
          <w:color w:val="000000"/>
          <w:sz w:val="22"/>
        </w:rPr>
        <w:t>. This</w:t>
      </w:r>
      <w:r>
        <w:rPr>
          <w:rFonts w:cs="Times New Roman"/>
          <w:color w:val="000000"/>
          <w:sz w:val="22"/>
        </w:rPr>
        <w:t xml:space="preserve"> narrative</w:t>
      </w:r>
      <w:r w:rsidRPr="009235FC">
        <w:rPr>
          <w:rFonts w:cs="Times New Roman"/>
          <w:color w:val="000000"/>
          <w:sz w:val="22"/>
        </w:rPr>
        <w:t xml:space="preserve"> </w:t>
      </w:r>
      <w:r>
        <w:rPr>
          <w:rFonts w:cs="Times New Roman"/>
          <w:color w:val="000000"/>
          <w:sz w:val="22"/>
        </w:rPr>
        <w:t>implies</w:t>
      </w:r>
      <w:r w:rsidRPr="009235FC">
        <w:rPr>
          <w:rFonts w:cs="Times New Roman"/>
          <w:color w:val="000000"/>
          <w:sz w:val="22"/>
        </w:rPr>
        <w:t xml:space="preserve"> that culpability for these</w:t>
      </w:r>
      <w:r>
        <w:rPr>
          <w:rFonts w:cs="Times New Roman"/>
          <w:color w:val="000000"/>
          <w:sz w:val="22"/>
        </w:rPr>
        <w:t xml:space="preserve"> fish lies with Russia, despite zero evidence to suggest </w:t>
      </w:r>
      <w:r w:rsidRPr="009235FC">
        <w:rPr>
          <w:rFonts w:cs="Times New Roman"/>
          <w:color w:val="000000"/>
          <w:sz w:val="22"/>
        </w:rPr>
        <w:t>that these fish found themselves in UK waters as a result of Russian actions. This therefore feeds into prevailing narratives circulating in the popular media about British-Russia relations, and thus represents an examp</w:t>
      </w:r>
      <w:r>
        <w:rPr>
          <w:rFonts w:cs="Times New Roman"/>
          <w:color w:val="000000"/>
          <w:sz w:val="22"/>
        </w:rPr>
        <w:t>le of what Jason Dittmer calls ‘popular geopolitics’</w:t>
      </w:r>
      <w:r w:rsidRPr="009235FC">
        <w:rPr>
          <w:rFonts w:cs="Times New Roman"/>
          <w:color w:val="000000"/>
          <w:sz w:val="22"/>
        </w:rPr>
        <w:t xml:space="preserve"> (see </w:t>
      </w:r>
      <w:r w:rsidRPr="009235FC">
        <w:rPr>
          <w:rFonts w:cs="Times New Roman"/>
          <w:color w:val="000000"/>
          <w:sz w:val="22"/>
        </w:rPr>
        <w:fldChar w:fldCharType="begin" w:fldLock="1"/>
      </w:r>
      <w:r w:rsidR="00EC7F7E">
        <w:rPr>
          <w:rFonts w:cs="Times New Roman"/>
          <w:color w:val="000000"/>
          <w:sz w:val="22"/>
        </w:rPr>
        <w:instrText>ADDIN CSL_CITATION {"citationItems":[{"id":"ITEM-1","itemData":{"ISBN":"1538116731","abstract":"Second edition. \"First edition 2010\"--title page verso.","author":[{"dropping-particle":"","family":"Dittmer","given":"Jason","non-dropping-particle":"","parse-names":false,"suffix":""},{"dropping-particle":"","family":"Bos","given":"Daniel","non-dropping-particle":"","parse-names":false,"suffix":""}],"id":"ITEM-1","issued":{"date-parts":[["2019"]]},"number-of-pages":"221","title":"Popular culture, geopolitics, and identity","type":"book"},"uris":["http://www.mendeley.com/documents/?uuid=5e1f4e83-8d64-3885-b6a5-ec7419e6914a"]}],"mendeley":{"formattedCitation":"(Dittmer and Bos, 2019)","manualFormatting":"Dittmer and Bos, 2019)","plainTextFormattedCitation":"(Dittmer and Bos, 2019)","previouslyFormattedCitation":"(Dittmer and Bos, 2019)"},"properties":{"noteIndex":0},"schema":"https://github.com/citation-style-language/schema/raw/master/csl-citation.json"}</w:instrText>
      </w:r>
      <w:r w:rsidRPr="009235FC">
        <w:rPr>
          <w:rFonts w:cs="Times New Roman"/>
          <w:color w:val="000000"/>
          <w:sz w:val="22"/>
        </w:rPr>
        <w:fldChar w:fldCharType="separate"/>
      </w:r>
      <w:r w:rsidRPr="009235FC">
        <w:rPr>
          <w:rFonts w:cs="Times New Roman"/>
          <w:noProof/>
          <w:color w:val="000000"/>
          <w:sz w:val="22"/>
        </w:rPr>
        <w:t>Dittmer and Bos, 2019)</w:t>
      </w:r>
      <w:r w:rsidRPr="009235FC">
        <w:rPr>
          <w:rFonts w:cs="Times New Roman"/>
          <w:color w:val="000000"/>
          <w:sz w:val="22"/>
        </w:rPr>
        <w:fldChar w:fldCharType="end"/>
      </w:r>
      <w:r w:rsidRPr="009235FC">
        <w:rPr>
          <w:rFonts w:cs="Times New Roman"/>
          <w:color w:val="000000"/>
          <w:sz w:val="22"/>
        </w:rPr>
        <w:t xml:space="preserve">. </w:t>
      </w:r>
    </w:p>
    <w:p w14:paraId="07B8CDE4" w14:textId="70B4FAD4" w:rsidR="00FE14D7" w:rsidRPr="003B354F" w:rsidRDefault="00FE14D7" w:rsidP="003B354F">
      <w:pPr>
        <w:ind w:firstLine="720"/>
        <w:rPr>
          <w:rFonts w:cs="Times New Roman"/>
          <w:color w:val="000000"/>
          <w:sz w:val="22"/>
        </w:rPr>
      </w:pPr>
      <w:r>
        <w:rPr>
          <w:rFonts w:cs="Times New Roman"/>
          <w:color w:val="000000"/>
          <w:sz w:val="22"/>
        </w:rPr>
        <w:t>In sum, I argue that sturgeon are geopolitical actors with the capacity to shape geopolitical realities</w:t>
      </w:r>
      <w:r w:rsidR="00D51C90">
        <w:rPr>
          <w:rFonts w:cs="Times New Roman"/>
          <w:color w:val="000000"/>
          <w:sz w:val="22"/>
        </w:rPr>
        <w:t>. In the context discussed here</w:t>
      </w:r>
      <w:r>
        <w:rPr>
          <w:rFonts w:cs="Times New Roman"/>
          <w:color w:val="000000"/>
          <w:sz w:val="22"/>
        </w:rPr>
        <w:t xml:space="preserve"> the framing of </w:t>
      </w:r>
      <w:r w:rsidR="00D51C90">
        <w:rPr>
          <w:rFonts w:cs="Times New Roman"/>
          <w:color w:val="000000"/>
          <w:sz w:val="22"/>
        </w:rPr>
        <w:t>sturgeon escapes</w:t>
      </w:r>
      <w:r>
        <w:rPr>
          <w:rFonts w:cs="Times New Roman"/>
          <w:color w:val="000000"/>
          <w:sz w:val="22"/>
        </w:rPr>
        <w:t xml:space="preserve"> as a biosecurity issue</w:t>
      </w:r>
      <w:r w:rsidR="00D51C90">
        <w:rPr>
          <w:rFonts w:cs="Times New Roman"/>
          <w:color w:val="000000"/>
          <w:sz w:val="22"/>
        </w:rPr>
        <w:t>,</w:t>
      </w:r>
      <w:r>
        <w:rPr>
          <w:rFonts w:cs="Times New Roman"/>
          <w:color w:val="000000"/>
          <w:sz w:val="22"/>
        </w:rPr>
        <w:t xml:space="preserve"> geopolitically charges sturgeon and their subsequent behaviours in new ecosystems. The escape of farmed sturgeon brings to light the grey areas in how sturgeon aquaculture facilities are managed in </w:t>
      </w:r>
      <w:r>
        <w:rPr>
          <w:rFonts w:cs="Times New Roman"/>
          <w:color w:val="000000"/>
          <w:sz w:val="22"/>
        </w:rPr>
        <w:lastRenderedPageBreak/>
        <w:t>the EU; as well as highlighting that whilst the caviar trade regulations mandate a shift to farmed caviar</w:t>
      </w:r>
      <w:r w:rsidR="00EC3824">
        <w:rPr>
          <w:rFonts w:cs="Times New Roman"/>
          <w:color w:val="000000"/>
          <w:sz w:val="22"/>
        </w:rPr>
        <w:t xml:space="preserve"> production</w:t>
      </w:r>
      <w:r>
        <w:rPr>
          <w:rFonts w:cs="Times New Roman"/>
          <w:color w:val="000000"/>
          <w:sz w:val="22"/>
        </w:rPr>
        <w:t>, little consideration has been paid to the potential negative environmental</w:t>
      </w:r>
      <w:r w:rsidR="0076599E">
        <w:rPr>
          <w:rFonts w:cs="Times New Roman"/>
          <w:color w:val="000000"/>
          <w:sz w:val="22"/>
        </w:rPr>
        <w:t xml:space="preserve"> implications of this shift. Furthermore</w:t>
      </w:r>
      <w:r>
        <w:rPr>
          <w:rFonts w:cs="Times New Roman"/>
          <w:color w:val="000000"/>
          <w:sz w:val="22"/>
        </w:rPr>
        <w:t xml:space="preserve">, I show how the escape of sturgeon reveals interesting dynamics whereby sturgeon are rhetorically framed as foreign ‘invaders’ to EU waters. This I argue represents an attempt to deflect attention from the </w:t>
      </w:r>
      <w:r w:rsidR="00EC3824">
        <w:rPr>
          <w:rFonts w:cs="Times New Roman"/>
          <w:color w:val="000000"/>
          <w:sz w:val="22"/>
        </w:rPr>
        <w:t xml:space="preserve">policy grey areas </w:t>
      </w:r>
      <w:r>
        <w:rPr>
          <w:rFonts w:cs="Times New Roman"/>
          <w:color w:val="000000"/>
          <w:sz w:val="22"/>
        </w:rPr>
        <w:t>inherent to farmed caviar production in the EU: grey areas which are brought to light by the moveme</w:t>
      </w:r>
      <w:r w:rsidR="00EC3824">
        <w:rPr>
          <w:rFonts w:cs="Times New Roman"/>
          <w:color w:val="000000"/>
          <w:sz w:val="22"/>
        </w:rPr>
        <w:t xml:space="preserve">nts and behaviours of sturgeon, often aided by extreme weather events. </w:t>
      </w:r>
    </w:p>
    <w:p w14:paraId="57BF4C70" w14:textId="4FBE538E" w:rsidR="00FE14D7" w:rsidRPr="00A5330E" w:rsidRDefault="00DF3960" w:rsidP="00A5330E">
      <w:pPr>
        <w:pStyle w:val="Heading3"/>
      </w:pPr>
      <w:bookmarkStart w:id="105" w:name="_Toc453224258"/>
      <w:r>
        <w:t>8.2.</w:t>
      </w:r>
      <w:r w:rsidR="00FE14D7" w:rsidRPr="00A5330E">
        <w:t>2 Endangered sturgeon vs. Energy policy</w:t>
      </w:r>
      <w:bookmarkEnd w:id="105"/>
      <w:r w:rsidR="00FE14D7" w:rsidRPr="00A5330E">
        <w:t xml:space="preserve"> </w:t>
      </w:r>
    </w:p>
    <w:p w14:paraId="60E44FC2" w14:textId="65332DC1" w:rsidR="00FE14D7" w:rsidRPr="00A245AA" w:rsidRDefault="00FE14D7" w:rsidP="00FE14D7">
      <w:pPr>
        <w:rPr>
          <w:rFonts w:eastAsia="Times New Roman" w:cs="Times New Roman"/>
          <w:color w:val="000000"/>
          <w:sz w:val="22"/>
        </w:rPr>
      </w:pPr>
      <w:r w:rsidRPr="00A245AA">
        <w:rPr>
          <w:rFonts w:cs="Times New Roman"/>
          <w:color w:val="000000"/>
          <w:sz w:val="22"/>
        </w:rPr>
        <w:t>Finally,</w:t>
      </w:r>
      <w:r>
        <w:rPr>
          <w:rFonts w:cs="Times New Roman"/>
          <w:color w:val="000000"/>
          <w:sz w:val="22"/>
        </w:rPr>
        <w:t xml:space="preserve"> I argue that</w:t>
      </w:r>
      <w:r w:rsidRPr="00A245AA">
        <w:rPr>
          <w:rFonts w:cs="Times New Roman"/>
          <w:color w:val="000000"/>
          <w:sz w:val="22"/>
        </w:rPr>
        <w:t xml:space="preserve"> sturgeon </w:t>
      </w:r>
      <w:r>
        <w:rPr>
          <w:rFonts w:cs="Times New Roman"/>
          <w:color w:val="000000"/>
          <w:sz w:val="22"/>
        </w:rPr>
        <w:t>emerge</w:t>
      </w:r>
      <w:r w:rsidRPr="00A245AA">
        <w:rPr>
          <w:rFonts w:cs="Times New Roman"/>
          <w:color w:val="000000"/>
          <w:sz w:val="22"/>
        </w:rPr>
        <w:t xml:space="preserve"> as geopolitical actors when they bring to light </w:t>
      </w:r>
      <w:r>
        <w:rPr>
          <w:rFonts w:cs="Times New Roman"/>
          <w:color w:val="000000"/>
          <w:sz w:val="22"/>
        </w:rPr>
        <w:t xml:space="preserve">the grey areas where EU policy priorities collide. </w:t>
      </w:r>
      <w:r w:rsidRPr="00A245AA">
        <w:rPr>
          <w:rFonts w:eastAsia="Times New Roman" w:cs="Times New Roman"/>
          <w:color w:val="000000"/>
          <w:sz w:val="22"/>
        </w:rPr>
        <w:t xml:space="preserve">These priorities are typically related to issues of navigation, transport, environmental protection and energy production, and the points of tension generally arise when the ability of sturgeon to migrate is curtailed. </w:t>
      </w:r>
      <w:r>
        <w:rPr>
          <w:rFonts w:eastAsia="Times New Roman" w:cs="Times New Roman"/>
          <w:color w:val="000000"/>
          <w:sz w:val="22"/>
        </w:rPr>
        <w:t>NGOs have voiced concerns about the impact of competing EU policies upon sturgeon conservation and efforts to</w:t>
      </w:r>
      <w:r w:rsidR="00D51C90">
        <w:rPr>
          <w:rFonts w:eastAsia="Times New Roman" w:cs="Times New Roman"/>
          <w:color w:val="000000"/>
          <w:sz w:val="22"/>
        </w:rPr>
        <w:t xml:space="preserve"> tackle sturgeon crime, saying “</w:t>
      </w:r>
      <w:r w:rsidRPr="00A245AA">
        <w:rPr>
          <w:rFonts w:eastAsia="Times New Roman" w:cs="Times New Roman"/>
          <w:color w:val="000000"/>
          <w:sz w:val="22"/>
        </w:rPr>
        <w:t>we need to make sure that other kinds of projects – navigation projects for example – doesn’t put in danger all the work we’ve done</w:t>
      </w:r>
      <w:r w:rsidR="00D51C90">
        <w:rPr>
          <w:rFonts w:eastAsia="Times New Roman" w:cs="Times New Roman"/>
          <w:color w:val="000000"/>
          <w:sz w:val="22"/>
        </w:rPr>
        <w:t>”</w:t>
      </w:r>
      <w:r w:rsidRPr="005B292F">
        <w:rPr>
          <w:rStyle w:val="FootnoteReference"/>
        </w:rPr>
        <w:footnoteReference w:id="309"/>
      </w:r>
      <w:r>
        <w:rPr>
          <w:rFonts w:eastAsia="Times New Roman" w:cs="Times New Roman"/>
          <w:color w:val="000000"/>
          <w:sz w:val="22"/>
        </w:rPr>
        <w:t xml:space="preserve">. The frictions in policy priorities have been revealed by the movement – or lack thereof – of sturgeon, which in turn </w:t>
      </w:r>
      <w:r w:rsidRPr="00A245AA">
        <w:rPr>
          <w:rFonts w:eastAsia="Times New Roman" w:cs="Times New Roman"/>
          <w:color w:val="000000"/>
          <w:sz w:val="22"/>
        </w:rPr>
        <w:t xml:space="preserve">has culminated in a number of on-going geopolitical debates </w:t>
      </w:r>
      <w:r>
        <w:rPr>
          <w:rFonts w:eastAsia="Times New Roman" w:cs="Times New Roman"/>
          <w:color w:val="000000"/>
          <w:sz w:val="22"/>
        </w:rPr>
        <w:t xml:space="preserve">between </w:t>
      </w:r>
      <w:r w:rsidRPr="00A245AA">
        <w:rPr>
          <w:rFonts w:eastAsia="Times New Roman" w:cs="Times New Roman"/>
          <w:color w:val="000000"/>
          <w:sz w:val="22"/>
        </w:rPr>
        <w:t>EU departments</w:t>
      </w:r>
      <w:r>
        <w:rPr>
          <w:rFonts w:eastAsia="Times New Roman" w:cs="Times New Roman"/>
          <w:color w:val="000000"/>
          <w:sz w:val="22"/>
        </w:rPr>
        <w:t xml:space="preserve"> and Member States</w:t>
      </w:r>
      <w:r w:rsidRPr="00A245AA">
        <w:rPr>
          <w:rFonts w:eastAsia="Times New Roman" w:cs="Times New Roman"/>
          <w:color w:val="000000"/>
          <w:sz w:val="22"/>
        </w:rPr>
        <w:t xml:space="preserve"> being brought to the fore. Through these debates sturgeon are constituted as a pivotal geopolitical actor, with the capacity to alter or shift th</w:t>
      </w:r>
      <w:r>
        <w:rPr>
          <w:rFonts w:eastAsia="Times New Roman" w:cs="Times New Roman"/>
          <w:color w:val="000000"/>
          <w:sz w:val="22"/>
        </w:rPr>
        <w:t>e political priorities of g</w:t>
      </w:r>
      <w:r w:rsidR="00D51C90">
        <w:rPr>
          <w:rFonts w:eastAsia="Times New Roman" w:cs="Times New Roman"/>
          <w:color w:val="000000"/>
          <w:sz w:val="22"/>
        </w:rPr>
        <w:t>eopolitical institutions.</w:t>
      </w:r>
      <w:r w:rsidRPr="00A245AA">
        <w:rPr>
          <w:rFonts w:eastAsia="Times New Roman" w:cs="Times New Roman"/>
          <w:color w:val="000000"/>
          <w:sz w:val="22"/>
        </w:rPr>
        <w:t xml:space="preserve"> I make the argument tha</w:t>
      </w:r>
      <w:r>
        <w:rPr>
          <w:rFonts w:eastAsia="Times New Roman" w:cs="Times New Roman"/>
          <w:color w:val="000000"/>
          <w:sz w:val="22"/>
        </w:rPr>
        <w:t xml:space="preserve">t sturgeon should be conceptualised </w:t>
      </w:r>
      <w:r w:rsidRPr="00A245AA">
        <w:rPr>
          <w:rFonts w:eastAsia="Times New Roman" w:cs="Times New Roman"/>
          <w:color w:val="000000"/>
          <w:sz w:val="22"/>
        </w:rPr>
        <w:t xml:space="preserve">as geopolitical actors, by examining how the mobility of sturgeon and their capacity to migrate, is creating protracted geopolitical debates centred around hydroelectric power production versus the protection of endangered species and ecosystems. </w:t>
      </w:r>
    </w:p>
    <w:p w14:paraId="31D4B4F9" w14:textId="1B17AD78" w:rsidR="00FE14D7" w:rsidRPr="00A245AA" w:rsidRDefault="00FE14D7" w:rsidP="00FE14D7">
      <w:pPr>
        <w:pStyle w:val="NormalWeb"/>
        <w:spacing w:before="0" w:beforeAutospacing="0" w:after="0" w:afterAutospacing="0" w:line="360" w:lineRule="auto"/>
        <w:jc w:val="both"/>
        <w:rPr>
          <w:color w:val="000000"/>
          <w:sz w:val="22"/>
          <w:szCs w:val="22"/>
        </w:rPr>
      </w:pPr>
      <w:r w:rsidRPr="00A245AA">
        <w:rPr>
          <w:rFonts w:eastAsia="Times New Roman"/>
          <w:color w:val="000000"/>
          <w:sz w:val="22"/>
          <w:szCs w:val="22"/>
        </w:rPr>
        <w:tab/>
      </w:r>
      <w:r w:rsidR="00D51C90">
        <w:rPr>
          <w:color w:val="000000"/>
          <w:sz w:val="22"/>
          <w:szCs w:val="22"/>
        </w:rPr>
        <w:t>The Danube River B</w:t>
      </w:r>
      <w:r w:rsidRPr="00A245AA">
        <w:rPr>
          <w:color w:val="000000"/>
          <w:sz w:val="22"/>
          <w:szCs w:val="22"/>
        </w:rPr>
        <w:t>asin spre</w:t>
      </w:r>
      <w:r>
        <w:rPr>
          <w:color w:val="000000"/>
          <w:sz w:val="22"/>
          <w:szCs w:val="22"/>
        </w:rPr>
        <w:t>ads across 19 countries and is</w:t>
      </w:r>
      <w:r w:rsidRPr="00A245AA">
        <w:rPr>
          <w:color w:val="000000"/>
          <w:sz w:val="22"/>
          <w:szCs w:val="22"/>
        </w:rPr>
        <w:t xml:space="preserve"> the most international river basin in the world</w:t>
      </w:r>
      <w:r w:rsidR="00D51C90" w:rsidRPr="005B292F">
        <w:rPr>
          <w:rStyle w:val="FootnoteReference"/>
        </w:rPr>
        <w:footnoteReference w:id="310"/>
      </w:r>
      <w:r w:rsidR="00D51C90">
        <w:rPr>
          <w:color w:val="000000"/>
          <w:sz w:val="22"/>
          <w:szCs w:val="22"/>
        </w:rPr>
        <w:t xml:space="preserve">. </w:t>
      </w:r>
      <w:r w:rsidRPr="00A245AA">
        <w:rPr>
          <w:color w:val="000000"/>
          <w:sz w:val="22"/>
          <w:szCs w:val="22"/>
        </w:rPr>
        <w:t xml:space="preserve">The Danube River itself flows </w:t>
      </w:r>
      <w:r w:rsidR="000F5475">
        <w:rPr>
          <w:color w:val="000000"/>
          <w:sz w:val="22"/>
          <w:szCs w:val="22"/>
        </w:rPr>
        <w:t>through 10 countries - both EU Member S</w:t>
      </w:r>
      <w:r w:rsidRPr="00A245AA">
        <w:rPr>
          <w:color w:val="000000"/>
          <w:sz w:val="22"/>
          <w:szCs w:val="22"/>
        </w:rPr>
        <w:t>tates and countries external to the EU - and thus the management o</w:t>
      </w:r>
      <w:r>
        <w:rPr>
          <w:color w:val="000000"/>
          <w:sz w:val="22"/>
          <w:szCs w:val="22"/>
        </w:rPr>
        <w:t>f the river and the wider basin</w:t>
      </w:r>
      <w:r w:rsidRPr="00A245AA">
        <w:rPr>
          <w:color w:val="000000"/>
          <w:sz w:val="22"/>
          <w:szCs w:val="22"/>
        </w:rPr>
        <w:t xml:space="preserve"> is an international endeavour. The Danube River and the tributary rivers in the wider Danube River Basin have been heavily modified by human activities over many centuries, with the International Commission for the Protection of the Danube River (ICPDR) estimating that the river is now regulated along 80% of its length. In partic</w:t>
      </w:r>
      <w:r w:rsidR="000F5475">
        <w:rPr>
          <w:color w:val="000000"/>
          <w:sz w:val="22"/>
          <w:szCs w:val="22"/>
        </w:rPr>
        <w:t>ular, the rivers in the Danube B</w:t>
      </w:r>
      <w:r w:rsidRPr="00A245AA">
        <w:rPr>
          <w:color w:val="000000"/>
          <w:sz w:val="22"/>
          <w:szCs w:val="22"/>
        </w:rPr>
        <w:t xml:space="preserve">asin have been extensively dammed, with over 700 dams built along the main Danube and its tributaries. Many of these dams have been built </w:t>
      </w:r>
      <w:r>
        <w:rPr>
          <w:color w:val="000000"/>
          <w:sz w:val="22"/>
          <w:szCs w:val="22"/>
        </w:rPr>
        <w:t>to produce hydroelectric power, with</w:t>
      </w:r>
      <w:r w:rsidRPr="00A245AA">
        <w:rPr>
          <w:color w:val="000000"/>
          <w:sz w:val="22"/>
          <w:szCs w:val="22"/>
        </w:rPr>
        <w:t xml:space="preserve"> ICPDR stating that over 30% of the length of the Danube has been impounded for hydropower generation</w:t>
      </w:r>
      <w:r w:rsidR="004C3879">
        <w:rPr>
          <w:rStyle w:val="FootnoteReference"/>
          <w:color w:val="000000"/>
          <w:sz w:val="22"/>
          <w:szCs w:val="22"/>
        </w:rPr>
        <w:footnoteReference w:id="311"/>
      </w:r>
      <w:r w:rsidR="004C3879">
        <w:rPr>
          <w:color w:val="000000"/>
          <w:sz w:val="22"/>
          <w:szCs w:val="22"/>
        </w:rPr>
        <w:t>.</w:t>
      </w:r>
      <w:r w:rsidRPr="00A245AA">
        <w:rPr>
          <w:color w:val="000000"/>
          <w:sz w:val="22"/>
          <w:szCs w:val="22"/>
        </w:rPr>
        <w:t xml:space="preserve"> </w:t>
      </w:r>
      <w:r w:rsidR="004C3879">
        <w:rPr>
          <w:color w:val="000000"/>
          <w:sz w:val="22"/>
          <w:szCs w:val="22"/>
        </w:rPr>
        <w:t>I</w:t>
      </w:r>
      <w:r w:rsidRPr="00A245AA">
        <w:rPr>
          <w:color w:val="000000"/>
          <w:sz w:val="22"/>
          <w:szCs w:val="22"/>
        </w:rPr>
        <w:t xml:space="preserve">n Romania 30% of national energy </w:t>
      </w:r>
      <w:r w:rsidRPr="00A245AA">
        <w:rPr>
          <w:color w:val="000000"/>
          <w:sz w:val="22"/>
          <w:szCs w:val="22"/>
        </w:rPr>
        <w:lastRenderedPageBreak/>
        <w:t>generation is supplied b</w:t>
      </w:r>
      <w:r>
        <w:rPr>
          <w:color w:val="000000"/>
          <w:sz w:val="22"/>
          <w:szCs w:val="22"/>
        </w:rPr>
        <w:t>y hydropower; and in the upper D</w:t>
      </w:r>
      <w:r w:rsidRPr="00A245AA">
        <w:rPr>
          <w:color w:val="000000"/>
          <w:sz w:val="22"/>
          <w:szCs w:val="22"/>
        </w:rPr>
        <w:t>anube around 60% of the yearly electricity use within Austria is supplied by</w:t>
      </w:r>
      <w:r w:rsidR="000F5475">
        <w:rPr>
          <w:color w:val="000000"/>
          <w:sz w:val="22"/>
          <w:szCs w:val="22"/>
        </w:rPr>
        <w:t xml:space="preserve"> hydropower</w:t>
      </w:r>
      <w:r w:rsidR="000F5475" w:rsidRPr="005B292F">
        <w:rPr>
          <w:rStyle w:val="FootnoteReference"/>
        </w:rPr>
        <w:footnoteReference w:id="312"/>
      </w:r>
      <w:r w:rsidR="000F5475">
        <w:rPr>
          <w:color w:val="000000"/>
          <w:sz w:val="22"/>
          <w:szCs w:val="22"/>
        </w:rPr>
        <w:t xml:space="preserve">. </w:t>
      </w:r>
      <w:r>
        <w:rPr>
          <w:color w:val="000000"/>
          <w:sz w:val="22"/>
          <w:szCs w:val="22"/>
        </w:rPr>
        <w:t xml:space="preserve">Clearly </w:t>
      </w:r>
      <w:r w:rsidR="004C3879">
        <w:rPr>
          <w:color w:val="000000"/>
          <w:sz w:val="22"/>
          <w:szCs w:val="22"/>
        </w:rPr>
        <w:t xml:space="preserve">then, </w:t>
      </w:r>
      <w:r>
        <w:rPr>
          <w:color w:val="000000"/>
          <w:sz w:val="22"/>
          <w:szCs w:val="22"/>
        </w:rPr>
        <w:t>h</w:t>
      </w:r>
      <w:r w:rsidRPr="00A245AA">
        <w:rPr>
          <w:color w:val="000000"/>
          <w:sz w:val="22"/>
          <w:szCs w:val="22"/>
        </w:rPr>
        <w:t xml:space="preserve">ydropower </w:t>
      </w:r>
      <w:r>
        <w:rPr>
          <w:color w:val="000000"/>
          <w:sz w:val="22"/>
          <w:szCs w:val="22"/>
        </w:rPr>
        <w:t>is</w:t>
      </w:r>
      <w:r w:rsidRPr="00A245AA">
        <w:rPr>
          <w:color w:val="000000"/>
          <w:sz w:val="22"/>
          <w:szCs w:val="22"/>
        </w:rPr>
        <w:t xml:space="preserve"> a vital method of ‘green’ energy production in the Danube River Basin and for EU renewable energy needs more generally. </w:t>
      </w:r>
    </w:p>
    <w:p w14:paraId="482F72B9" w14:textId="11405123" w:rsidR="00FE14D7" w:rsidRPr="00A245AA" w:rsidRDefault="00FE14D7" w:rsidP="00FE14D7">
      <w:pPr>
        <w:rPr>
          <w:rFonts w:eastAsia="Times New Roman" w:cs="Times New Roman"/>
          <w:color w:val="000000"/>
          <w:sz w:val="22"/>
        </w:rPr>
      </w:pPr>
      <w:r w:rsidRPr="00A245AA">
        <w:rPr>
          <w:color w:val="000000"/>
          <w:sz w:val="22"/>
        </w:rPr>
        <w:tab/>
        <w:t xml:space="preserve">Although </w:t>
      </w:r>
      <w:r w:rsidRPr="00A245AA">
        <w:rPr>
          <w:rFonts w:eastAsia="Times New Roman" w:cs="Times New Roman"/>
          <w:color w:val="000000"/>
          <w:sz w:val="22"/>
        </w:rPr>
        <w:t xml:space="preserve">hydropower dams </w:t>
      </w:r>
      <w:r>
        <w:rPr>
          <w:rFonts w:eastAsia="Times New Roman" w:cs="Times New Roman"/>
          <w:color w:val="000000"/>
          <w:sz w:val="22"/>
        </w:rPr>
        <w:t xml:space="preserve">are a </w:t>
      </w:r>
      <w:r w:rsidRPr="00A245AA">
        <w:rPr>
          <w:rFonts w:eastAsia="Times New Roman" w:cs="Times New Roman"/>
          <w:color w:val="000000"/>
          <w:sz w:val="22"/>
        </w:rPr>
        <w:t xml:space="preserve">greener energy option in comparison to traditional fossil fuels, they are not without negative </w:t>
      </w:r>
      <w:r>
        <w:rPr>
          <w:rFonts w:eastAsia="Times New Roman" w:cs="Times New Roman"/>
          <w:color w:val="000000"/>
          <w:sz w:val="22"/>
        </w:rPr>
        <w:t xml:space="preserve">environmental </w:t>
      </w:r>
      <w:r w:rsidRPr="00A245AA">
        <w:rPr>
          <w:rFonts w:eastAsia="Times New Roman" w:cs="Times New Roman"/>
          <w:color w:val="000000"/>
          <w:sz w:val="22"/>
        </w:rPr>
        <w:t xml:space="preserve">impacts. </w:t>
      </w:r>
      <w:r>
        <w:rPr>
          <w:rFonts w:eastAsia="Times New Roman" w:cs="Times New Roman"/>
          <w:color w:val="000000"/>
          <w:sz w:val="22"/>
        </w:rPr>
        <w:t xml:space="preserve">Interviewees repeatedly criticised the </w:t>
      </w:r>
      <w:r w:rsidRPr="00A245AA">
        <w:rPr>
          <w:rFonts w:eastAsia="Times New Roman" w:cs="Times New Roman"/>
          <w:color w:val="000000"/>
          <w:sz w:val="22"/>
        </w:rPr>
        <w:t>lar</w:t>
      </w:r>
      <w:r>
        <w:rPr>
          <w:rFonts w:eastAsia="Times New Roman" w:cs="Times New Roman"/>
          <w:color w:val="000000"/>
          <w:sz w:val="22"/>
        </w:rPr>
        <w:t>gest hydropower dam system operating on</w:t>
      </w:r>
      <w:r w:rsidRPr="00A245AA">
        <w:rPr>
          <w:rFonts w:eastAsia="Times New Roman" w:cs="Times New Roman"/>
          <w:color w:val="000000"/>
          <w:sz w:val="22"/>
        </w:rPr>
        <w:t xml:space="preserve"> the Danube River - the Iron Gates I and II - which is jointly</w:t>
      </w:r>
      <w:r>
        <w:rPr>
          <w:rFonts w:eastAsia="Times New Roman" w:cs="Times New Roman"/>
          <w:color w:val="000000"/>
          <w:sz w:val="22"/>
        </w:rPr>
        <w:t xml:space="preserve"> operated by Romania and Serbia. The dam system is seen as </w:t>
      </w:r>
      <w:r w:rsidRPr="00A245AA">
        <w:rPr>
          <w:rFonts w:eastAsia="Times New Roman" w:cs="Times New Roman"/>
          <w:color w:val="000000"/>
          <w:sz w:val="22"/>
        </w:rPr>
        <w:t>ecolog</w:t>
      </w:r>
      <w:r w:rsidR="000F5475">
        <w:rPr>
          <w:rFonts w:eastAsia="Times New Roman" w:cs="Times New Roman"/>
          <w:color w:val="000000"/>
          <w:sz w:val="22"/>
        </w:rPr>
        <w:t>ically destructive and a “</w:t>
      </w:r>
      <w:r w:rsidRPr="00A245AA">
        <w:rPr>
          <w:rFonts w:eastAsia="Times New Roman" w:cs="Times New Roman"/>
          <w:color w:val="000000"/>
          <w:sz w:val="22"/>
        </w:rPr>
        <w:t>problem</w:t>
      </w:r>
      <w:r w:rsidR="000F5475">
        <w:rPr>
          <w:rFonts w:eastAsia="Times New Roman" w:cs="Times New Roman"/>
          <w:color w:val="000000"/>
          <w:sz w:val="22"/>
        </w:rPr>
        <w:t>”</w:t>
      </w:r>
      <w:r w:rsidRPr="005B292F">
        <w:rPr>
          <w:rStyle w:val="FootnoteReference"/>
        </w:rPr>
        <w:footnoteReference w:id="313"/>
      </w:r>
      <w:r w:rsidRPr="00A245AA">
        <w:rPr>
          <w:rFonts w:eastAsia="Times New Roman" w:cs="Times New Roman"/>
          <w:color w:val="000000"/>
          <w:sz w:val="22"/>
        </w:rPr>
        <w:t xml:space="preserve"> that needs to be solved imminently in order to conserve remaining wild sturgeon pop</w:t>
      </w:r>
      <w:r w:rsidR="003F5B83">
        <w:rPr>
          <w:rFonts w:eastAsia="Times New Roman" w:cs="Times New Roman"/>
          <w:color w:val="000000"/>
          <w:sz w:val="22"/>
        </w:rPr>
        <w:t>ulations. Danut explained that “</w:t>
      </w:r>
      <w:r w:rsidRPr="00A245AA">
        <w:rPr>
          <w:rFonts w:eastAsia="Times New Roman" w:cs="Times New Roman"/>
          <w:color w:val="000000"/>
          <w:sz w:val="22"/>
        </w:rPr>
        <w:t>through the dam which they built on the Danube, the sturgeon couldn’t reach anymore the hotspots for reproducing. So there are now very few spots where they can reproduce</w:t>
      </w:r>
      <w:r w:rsidR="003F5B83">
        <w:rPr>
          <w:rFonts w:eastAsia="Times New Roman" w:cs="Times New Roman"/>
          <w:color w:val="000000"/>
          <w:sz w:val="22"/>
        </w:rPr>
        <w:t>”</w:t>
      </w:r>
      <w:r w:rsidRPr="005B292F">
        <w:rPr>
          <w:rStyle w:val="FootnoteReference"/>
        </w:rPr>
        <w:footnoteReference w:id="314"/>
      </w:r>
      <w:r w:rsidRPr="00A245AA">
        <w:rPr>
          <w:rFonts w:eastAsia="Times New Roman" w:cs="Times New Roman"/>
          <w:color w:val="000000"/>
          <w:sz w:val="22"/>
        </w:rPr>
        <w:t>. As such, sturgeon in the lower Danube are unable to migr</w:t>
      </w:r>
      <w:r>
        <w:rPr>
          <w:rFonts w:eastAsia="Times New Roman" w:cs="Times New Roman"/>
          <w:color w:val="000000"/>
          <w:sz w:val="22"/>
        </w:rPr>
        <w:t>ate to historical spawning grounds</w:t>
      </w:r>
      <w:r w:rsidRPr="00A245AA">
        <w:rPr>
          <w:rFonts w:eastAsia="Times New Roman" w:cs="Times New Roman"/>
          <w:color w:val="000000"/>
          <w:sz w:val="22"/>
        </w:rPr>
        <w:t xml:space="preserve"> in the upper reaches of the Danube, with their migration routes being curtailed at the Iron Gates Dam. Irini recognised the serious hindrance that dams have played to </w:t>
      </w:r>
      <w:r>
        <w:rPr>
          <w:rFonts w:eastAsia="Times New Roman" w:cs="Times New Roman"/>
          <w:color w:val="000000"/>
          <w:sz w:val="22"/>
        </w:rPr>
        <w:t xml:space="preserve">the survival of </w:t>
      </w:r>
      <w:r w:rsidRPr="00A245AA">
        <w:rPr>
          <w:rFonts w:eastAsia="Times New Roman" w:cs="Times New Roman"/>
          <w:color w:val="000000"/>
          <w:sz w:val="22"/>
        </w:rPr>
        <w:t>wild sturgeon population</w:t>
      </w:r>
      <w:r>
        <w:rPr>
          <w:rFonts w:eastAsia="Times New Roman" w:cs="Times New Roman"/>
          <w:color w:val="000000"/>
          <w:sz w:val="22"/>
        </w:rPr>
        <w:t>s</w:t>
      </w:r>
      <w:r w:rsidR="004C3879">
        <w:rPr>
          <w:rFonts w:eastAsia="Times New Roman" w:cs="Times New Roman"/>
          <w:color w:val="000000"/>
          <w:sz w:val="22"/>
        </w:rPr>
        <w:t>, speculating</w:t>
      </w:r>
      <w:r w:rsidRPr="00A245AA">
        <w:rPr>
          <w:rFonts w:eastAsia="Times New Roman" w:cs="Times New Roman"/>
          <w:color w:val="000000"/>
          <w:sz w:val="22"/>
        </w:rPr>
        <w:t xml:space="preserve"> that, </w:t>
      </w:r>
      <w:r w:rsidR="003F5B83">
        <w:rPr>
          <w:rFonts w:eastAsia="Times New Roman" w:cs="Times New Roman"/>
          <w:color w:val="000000"/>
          <w:sz w:val="22"/>
        </w:rPr>
        <w:t>“</w:t>
      </w:r>
      <w:r w:rsidRPr="00A245AA">
        <w:rPr>
          <w:rFonts w:eastAsia="Times New Roman" w:cs="Times New Roman"/>
          <w:i/>
          <w:iCs/>
          <w:color w:val="000000"/>
          <w:sz w:val="22"/>
        </w:rPr>
        <w:t>if</w:t>
      </w:r>
      <w:r w:rsidRPr="00A245AA">
        <w:rPr>
          <w:rFonts w:eastAsia="Times New Roman" w:cs="Times New Roman"/>
          <w:color w:val="000000"/>
          <w:sz w:val="22"/>
        </w:rPr>
        <w:t xml:space="preserve"> Romania still has some population that is reproducing naturally it’s </w:t>
      </w:r>
      <w:r w:rsidRPr="00A245AA">
        <w:rPr>
          <w:rFonts w:eastAsia="Times New Roman" w:cs="Times New Roman"/>
          <w:i/>
          <w:iCs/>
          <w:color w:val="000000"/>
          <w:sz w:val="22"/>
        </w:rPr>
        <w:t>only</w:t>
      </w:r>
      <w:r w:rsidRPr="00A245AA">
        <w:rPr>
          <w:rFonts w:eastAsia="Times New Roman" w:cs="Times New Roman"/>
          <w:color w:val="000000"/>
          <w:sz w:val="22"/>
        </w:rPr>
        <w:t xml:space="preserve"> because we have 1000km of the Danube free below the Iron Gates with no dam</w:t>
      </w:r>
      <w:r w:rsidR="003F5B83">
        <w:rPr>
          <w:rFonts w:eastAsia="Times New Roman" w:cs="Times New Roman"/>
          <w:color w:val="000000"/>
          <w:sz w:val="22"/>
        </w:rPr>
        <w:t>”</w:t>
      </w:r>
      <w:r w:rsidRPr="005B292F">
        <w:rPr>
          <w:rStyle w:val="FootnoteReference"/>
        </w:rPr>
        <w:footnoteReference w:id="315"/>
      </w:r>
      <w:r w:rsidRPr="00A245AA">
        <w:rPr>
          <w:rFonts w:eastAsia="Times New Roman" w:cs="Times New Roman"/>
          <w:color w:val="000000"/>
          <w:sz w:val="22"/>
        </w:rPr>
        <w:t xml:space="preserve">. Indeed, </w:t>
      </w:r>
      <w:r>
        <w:rPr>
          <w:rFonts w:eastAsia="Times New Roman" w:cs="Times New Roman"/>
          <w:color w:val="000000"/>
          <w:sz w:val="22"/>
        </w:rPr>
        <w:t xml:space="preserve">ICPDR state that </w:t>
      </w:r>
      <w:r w:rsidRPr="00A245AA">
        <w:rPr>
          <w:rFonts w:eastAsia="Times New Roman" w:cs="Times New Roman"/>
          <w:color w:val="000000"/>
          <w:sz w:val="22"/>
        </w:rPr>
        <w:t>the Iron Ga</w:t>
      </w:r>
      <w:r>
        <w:rPr>
          <w:rFonts w:eastAsia="Times New Roman" w:cs="Times New Roman"/>
          <w:color w:val="000000"/>
          <w:sz w:val="22"/>
        </w:rPr>
        <w:t>tes dam is</w:t>
      </w:r>
      <w:r w:rsidRPr="00A245AA">
        <w:rPr>
          <w:rFonts w:eastAsia="Times New Roman" w:cs="Times New Roman"/>
          <w:color w:val="000000"/>
          <w:sz w:val="22"/>
        </w:rPr>
        <w:t xml:space="preserve"> responsible for sharp declines in Danu</w:t>
      </w:r>
      <w:r>
        <w:rPr>
          <w:rFonts w:eastAsia="Times New Roman" w:cs="Times New Roman"/>
          <w:color w:val="000000"/>
          <w:sz w:val="22"/>
        </w:rPr>
        <w:t>be Sturgeon species and has had ‘</w:t>
      </w:r>
      <w:r w:rsidRPr="00A245AA">
        <w:rPr>
          <w:rFonts w:eastAsia="Times New Roman" w:cs="Times New Roman"/>
          <w:color w:val="000000"/>
          <w:sz w:val="22"/>
        </w:rPr>
        <w:t>transboundary effects</w:t>
      </w:r>
      <w:r>
        <w:rPr>
          <w:rFonts w:eastAsia="Times New Roman" w:cs="Times New Roman"/>
          <w:color w:val="000000"/>
          <w:sz w:val="22"/>
        </w:rPr>
        <w:t>’</w:t>
      </w:r>
      <w:r w:rsidR="000F5475" w:rsidRPr="005B292F">
        <w:rPr>
          <w:rStyle w:val="FootnoteReference"/>
        </w:rPr>
        <w:footnoteReference w:id="316"/>
      </w:r>
      <w:r w:rsidRPr="00A245AA">
        <w:rPr>
          <w:rFonts w:eastAsia="Times New Roman" w:cs="Times New Roman"/>
          <w:color w:val="000000"/>
          <w:sz w:val="22"/>
        </w:rPr>
        <w:t xml:space="preserve"> upon the wider</w:t>
      </w:r>
      <w:r w:rsidR="003F5B83">
        <w:rPr>
          <w:rFonts w:eastAsia="Times New Roman" w:cs="Times New Roman"/>
          <w:color w:val="000000"/>
          <w:sz w:val="22"/>
        </w:rPr>
        <w:t xml:space="preserve"> ecologies in the Danube River B</w:t>
      </w:r>
      <w:r w:rsidRPr="00A245AA">
        <w:rPr>
          <w:rFonts w:eastAsia="Times New Roman" w:cs="Times New Roman"/>
          <w:color w:val="000000"/>
          <w:sz w:val="22"/>
        </w:rPr>
        <w:t>asin. It is these concerns about the impact</w:t>
      </w:r>
      <w:r>
        <w:rPr>
          <w:rFonts w:eastAsia="Times New Roman" w:cs="Times New Roman"/>
          <w:color w:val="000000"/>
          <w:sz w:val="22"/>
        </w:rPr>
        <w:t>s</w:t>
      </w:r>
      <w:r w:rsidRPr="00A245AA">
        <w:rPr>
          <w:rFonts w:eastAsia="Times New Roman" w:cs="Times New Roman"/>
          <w:color w:val="000000"/>
          <w:sz w:val="22"/>
        </w:rPr>
        <w:t xml:space="preserve"> of hydropower</w:t>
      </w:r>
      <w:r w:rsidR="003F5B83">
        <w:rPr>
          <w:rFonts w:eastAsia="Times New Roman" w:cs="Times New Roman"/>
          <w:color w:val="000000"/>
          <w:sz w:val="22"/>
        </w:rPr>
        <w:t xml:space="preserve"> infrastructures</w:t>
      </w:r>
      <w:r w:rsidRPr="00A245AA">
        <w:rPr>
          <w:rFonts w:eastAsia="Times New Roman" w:cs="Times New Roman"/>
          <w:color w:val="000000"/>
          <w:sz w:val="22"/>
        </w:rPr>
        <w:t xml:space="preserve"> on</w:t>
      </w:r>
      <w:r w:rsidR="003F5B83">
        <w:rPr>
          <w:rFonts w:eastAsia="Times New Roman" w:cs="Times New Roman"/>
          <w:color w:val="000000"/>
          <w:sz w:val="22"/>
        </w:rPr>
        <w:t xml:space="preserve"> endangered</w:t>
      </w:r>
      <w:r w:rsidRPr="00A245AA">
        <w:rPr>
          <w:rFonts w:eastAsia="Times New Roman" w:cs="Times New Roman"/>
          <w:color w:val="000000"/>
          <w:sz w:val="22"/>
        </w:rPr>
        <w:t xml:space="preserve"> sturgeon populations that are the basis of the geopolitical discussions that have come to the fore. </w:t>
      </w:r>
    </w:p>
    <w:p w14:paraId="5F50FADF" w14:textId="387D4282" w:rsidR="00FE14D7" w:rsidRPr="00A245AA" w:rsidRDefault="003F5B83" w:rsidP="00FE14D7">
      <w:pPr>
        <w:pStyle w:val="NormalWeb"/>
        <w:spacing w:before="0" w:beforeAutospacing="0" w:after="0" w:afterAutospacing="0" w:line="360" w:lineRule="auto"/>
        <w:ind w:firstLine="720"/>
        <w:jc w:val="both"/>
        <w:rPr>
          <w:color w:val="000000"/>
          <w:sz w:val="22"/>
          <w:szCs w:val="22"/>
        </w:rPr>
      </w:pPr>
      <w:r>
        <w:rPr>
          <w:color w:val="000000"/>
          <w:sz w:val="22"/>
          <w:szCs w:val="22"/>
        </w:rPr>
        <w:t>T</w:t>
      </w:r>
      <w:r w:rsidR="00FE14D7" w:rsidRPr="00A245AA">
        <w:rPr>
          <w:color w:val="000000"/>
          <w:sz w:val="22"/>
          <w:szCs w:val="22"/>
        </w:rPr>
        <w:t>hrough t</w:t>
      </w:r>
      <w:r w:rsidR="00FE14D7">
        <w:rPr>
          <w:color w:val="000000"/>
          <w:sz w:val="22"/>
          <w:szCs w:val="22"/>
        </w:rPr>
        <w:t>he impediment to their movement</w:t>
      </w:r>
      <w:r w:rsidR="00FE14D7" w:rsidRPr="00A245AA">
        <w:rPr>
          <w:color w:val="000000"/>
          <w:sz w:val="22"/>
          <w:szCs w:val="22"/>
        </w:rPr>
        <w:t xml:space="preserve"> sturgeon ha</w:t>
      </w:r>
      <w:r w:rsidR="00FE14D7">
        <w:rPr>
          <w:color w:val="000000"/>
          <w:sz w:val="22"/>
          <w:szCs w:val="22"/>
        </w:rPr>
        <w:t>ve become politicised figures, sparking</w:t>
      </w:r>
      <w:r w:rsidR="00FE14D7" w:rsidRPr="00A245AA">
        <w:rPr>
          <w:color w:val="000000"/>
          <w:sz w:val="22"/>
          <w:szCs w:val="22"/>
        </w:rPr>
        <w:t xml:space="preserve"> debates around the relative merits of hydropower. As sturgeon </w:t>
      </w:r>
      <w:r w:rsidR="00FE14D7">
        <w:rPr>
          <w:color w:val="000000"/>
          <w:sz w:val="22"/>
          <w:szCs w:val="22"/>
        </w:rPr>
        <w:t xml:space="preserve">come face to face with dams, </w:t>
      </w:r>
      <w:r w:rsidR="00FE14D7" w:rsidRPr="00A245AA">
        <w:rPr>
          <w:color w:val="000000"/>
          <w:sz w:val="22"/>
          <w:szCs w:val="22"/>
        </w:rPr>
        <w:t>many prominent figures in sturgeon conserva</w:t>
      </w:r>
      <w:r w:rsidR="00FE14D7">
        <w:rPr>
          <w:color w:val="000000"/>
          <w:sz w:val="22"/>
          <w:szCs w:val="22"/>
        </w:rPr>
        <w:t>tion have begun to v</w:t>
      </w:r>
      <w:r>
        <w:rPr>
          <w:color w:val="000000"/>
          <w:sz w:val="22"/>
          <w:szCs w:val="22"/>
        </w:rPr>
        <w:t xml:space="preserve">oice their concerns about HEP. A representative speaking on behalf of the </w:t>
      </w:r>
      <w:r w:rsidR="00FE14D7" w:rsidRPr="00A245AA">
        <w:rPr>
          <w:color w:val="000000"/>
          <w:sz w:val="22"/>
          <w:szCs w:val="22"/>
        </w:rPr>
        <w:t>W</w:t>
      </w:r>
      <w:r w:rsidR="00FE14D7">
        <w:rPr>
          <w:color w:val="000000"/>
          <w:sz w:val="22"/>
          <w:szCs w:val="22"/>
        </w:rPr>
        <w:t xml:space="preserve">orld </w:t>
      </w:r>
      <w:r w:rsidR="00FE14D7" w:rsidRPr="00A245AA">
        <w:rPr>
          <w:color w:val="000000"/>
          <w:sz w:val="22"/>
          <w:szCs w:val="22"/>
        </w:rPr>
        <w:t>S</w:t>
      </w:r>
      <w:r w:rsidR="00FE14D7">
        <w:rPr>
          <w:color w:val="000000"/>
          <w:sz w:val="22"/>
          <w:szCs w:val="22"/>
        </w:rPr>
        <w:t xml:space="preserve">turgeon </w:t>
      </w:r>
      <w:r w:rsidR="00FE14D7" w:rsidRPr="00A245AA">
        <w:rPr>
          <w:color w:val="000000"/>
          <w:sz w:val="22"/>
          <w:szCs w:val="22"/>
        </w:rPr>
        <w:t>C</w:t>
      </w:r>
      <w:r w:rsidR="00FE14D7">
        <w:rPr>
          <w:color w:val="000000"/>
          <w:sz w:val="22"/>
          <w:szCs w:val="22"/>
        </w:rPr>
        <w:t xml:space="preserve">onservation </w:t>
      </w:r>
      <w:r w:rsidR="00FE14D7" w:rsidRPr="00A245AA">
        <w:rPr>
          <w:color w:val="000000"/>
          <w:sz w:val="22"/>
          <w:szCs w:val="22"/>
        </w:rPr>
        <w:t>S</w:t>
      </w:r>
      <w:r>
        <w:rPr>
          <w:color w:val="000000"/>
          <w:sz w:val="22"/>
          <w:szCs w:val="22"/>
        </w:rPr>
        <w:t>ociety at ISS8, declared that “</w:t>
      </w:r>
      <w:r w:rsidR="00FE14D7" w:rsidRPr="00A245AA">
        <w:rPr>
          <w:color w:val="000000"/>
          <w:sz w:val="22"/>
          <w:szCs w:val="22"/>
        </w:rPr>
        <w:t>we fra</w:t>
      </w:r>
      <w:r w:rsidR="00FE14D7">
        <w:rPr>
          <w:color w:val="000000"/>
          <w:sz w:val="22"/>
          <w:szCs w:val="22"/>
        </w:rPr>
        <w:t>gmen</w:t>
      </w:r>
      <w:r>
        <w:rPr>
          <w:color w:val="000000"/>
          <w:sz w:val="22"/>
          <w:szCs w:val="22"/>
        </w:rPr>
        <w:t>t rivers for almost nothing”</w:t>
      </w:r>
      <w:r w:rsidR="00FE14D7" w:rsidRPr="00A245AA">
        <w:rPr>
          <w:color w:val="000000"/>
          <w:sz w:val="22"/>
          <w:szCs w:val="22"/>
        </w:rPr>
        <w:t xml:space="preserve">, explaining that small and medium dams make up almost 70% of the dams on the Danube but produce only </w:t>
      </w:r>
      <w:r>
        <w:rPr>
          <w:color w:val="000000"/>
          <w:sz w:val="22"/>
          <w:szCs w:val="22"/>
        </w:rPr>
        <w:t>8% of the power, making them “</w:t>
      </w:r>
      <w:r w:rsidR="00FE14D7" w:rsidRPr="00A245AA">
        <w:rPr>
          <w:color w:val="000000"/>
          <w:sz w:val="22"/>
          <w:szCs w:val="22"/>
        </w:rPr>
        <w:t>totally ineffective</w:t>
      </w:r>
      <w:r>
        <w:rPr>
          <w:color w:val="000000"/>
          <w:sz w:val="22"/>
          <w:szCs w:val="22"/>
        </w:rPr>
        <w:t>”</w:t>
      </w:r>
      <w:r w:rsidR="00FE14D7" w:rsidRPr="005B292F">
        <w:rPr>
          <w:rStyle w:val="FootnoteReference"/>
        </w:rPr>
        <w:footnoteReference w:id="317"/>
      </w:r>
      <w:r w:rsidR="00FE14D7" w:rsidRPr="00A245AA">
        <w:rPr>
          <w:color w:val="000000"/>
          <w:sz w:val="22"/>
          <w:szCs w:val="22"/>
        </w:rPr>
        <w:t>. Consequently, conservation NGOs such as WWF In</w:t>
      </w:r>
      <w:r w:rsidR="00FE14D7">
        <w:rPr>
          <w:color w:val="000000"/>
          <w:sz w:val="22"/>
          <w:szCs w:val="22"/>
        </w:rPr>
        <w:t>ternational have declared t</w:t>
      </w:r>
      <w:r>
        <w:rPr>
          <w:color w:val="000000"/>
          <w:sz w:val="22"/>
          <w:szCs w:val="22"/>
        </w:rPr>
        <w:t>hat “</w:t>
      </w:r>
      <w:r w:rsidR="00FE14D7" w:rsidRPr="00A245AA">
        <w:rPr>
          <w:color w:val="000000"/>
          <w:sz w:val="22"/>
          <w:szCs w:val="22"/>
        </w:rPr>
        <w:t xml:space="preserve">we </w:t>
      </w:r>
      <w:r w:rsidR="00FE14D7" w:rsidRPr="00A245AA">
        <w:rPr>
          <w:color w:val="000000"/>
          <w:sz w:val="22"/>
          <w:szCs w:val="22"/>
        </w:rPr>
        <w:lastRenderedPageBreak/>
        <w:t xml:space="preserve">are </w:t>
      </w:r>
      <w:r>
        <w:rPr>
          <w:color w:val="000000"/>
          <w:sz w:val="22"/>
          <w:szCs w:val="22"/>
        </w:rPr>
        <w:t>entitled to question hydropower”, and argued that “</w:t>
      </w:r>
      <w:r w:rsidR="00FE14D7" w:rsidRPr="00A245AA">
        <w:rPr>
          <w:color w:val="000000"/>
          <w:sz w:val="22"/>
          <w:szCs w:val="22"/>
        </w:rPr>
        <w:t>the wider conservation community needs to up its work on HEP</w:t>
      </w:r>
      <w:r>
        <w:rPr>
          <w:color w:val="000000"/>
          <w:sz w:val="22"/>
          <w:szCs w:val="22"/>
        </w:rPr>
        <w:t>”</w:t>
      </w:r>
      <w:r w:rsidR="00FE14D7" w:rsidRPr="005B292F">
        <w:rPr>
          <w:rStyle w:val="FootnoteReference"/>
        </w:rPr>
        <w:footnoteReference w:id="318"/>
      </w:r>
      <w:r w:rsidR="00FE14D7" w:rsidRPr="00A245AA">
        <w:rPr>
          <w:color w:val="000000"/>
          <w:sz w:val="22"/>
          <w:szCs w:val="22"/>
        </w:rPr>
        <w:t xml:space="preserve">. </w:t>
      </w:r>
    </w:p>
    <w:p w14:paraId="40B52AC8" w14:textId="1823354C" w:rsidR="00FE14D7" w:rsidRPr="00A245AA" w:rsidRDefault="00FE14D7" w:rsidP="00FE14D7">
      <w:pPr>
        <w:ind w:firstLine="720"/>
        <w:rPr>
          <w:rFonts w:cs="Times New Roman"/>
          <w:color w:val="000000"/>
          <w:sz w:val="22"/>
        </w:rPr>
      </w:pPr>
      <w:r>
        <w:rPr>
          <w:rFonts w:cs="Times New Roman"/>
          <w:color w:val="000000"/>
          <w:sz w:val="22"/>
        </w:rPr>
        <w:t>However, r</w:t>
      </w:r>
      <w:r w:rsidRPr="00A245AA">
        <w:rPr>
          <w:rFonts w:cs="Times New Roman"/>
          <w:color w:val="000000"/>
          <w:sz w:val="22"/>
        </w:rPr>
        <w:t>eactions to these criticisms have</w:t>
      </w:r>
      <w:r>
        <w:rPr>
          <w:rFonts w:cs="Times New Roman"/>
          <w:color w:val="000000"/>
          <w:sz w:val="22"/>
        </w:rPr>
        <w:t xml:space="preserve"> revealed</w:t>
      </w:r>
      <w:r w:rsidRPr="00A245AA">
        <w:rPr>
          <w:rFonts w:cs="Times New Roman"/>
          <w:color w:val="000000"/>
          <w:sz w:val="22"/>
        </w:rPr>
        <w:t xml:space="preserve"> a powe</w:t>
      </w:r>
      <w:r>
        <w:rPr>
          <w:rFonts w:cs="Times New Roman"/>
          <w:color w:val="000000"/>
          <w:sz w:val="22"/>
        </w:rPr>
        <w:t xml:space="preserve">rful conflict of interest </w:t>
      </w:r>
      <w:r w:rsidRPr="00A245AA">
        <w:rPr>
          <w:rFonts w:cs="Times New Roman"/>
          <w:color w:val="000000"/>
          <w:sz w:val="22"/>
        </w:rPr>
        <w:t xml:space="preserve">between EU </w:t>
      </w:r>
      <w:r w:rsidR="003F5B83">
        <w:rPr>
          <w:rFonts w:cs="Times New Roman"/>
          <w:color w:val="000000"/>
          <w:sz w:val="22"/>
        </w:rPr>
        <w:t xml:space="preserve">environmental </w:t>
      </w:r>
      <w:r w:rsidRPr="00A245AA">
        <w:rPr>
          <w:rFonts w:cs="Times New Roman"/>
          <w:color w:val="000000"/>
          <w:sz w:val="22"/>
        </w:rPr>
        <w:t xml:space="preserve">policies that prioritise human needs, versus those that prioritise </w:t>
      </w:r>
      <w:r w:rsidR="003F5B83">
        <w:rPr>
          <w:rFonts w:cs="Times New Roman"/>
          <w:color w:val="000000"/>
          <w:sz w:val="22"/>
        </w:rPr>
        <w:t xml:space="preserve">biodiversity </w:t>
      </w:r>
      <w:r w:rsidRPr="00A245AA">
        <w:rPr>
          <w:rFonts w:cs="Times New Roman"/>
          <w:color w:val="000000"/>
          <w:sz w:val="22"/>
        </w:rPr>
        <w:t xml:space="preserve">conservation. For example a representative of DG Environment of the European Commission spoke at ISS8 in Vienna, and </w:t>
      </w:r>
      <w:r>
        <w:rPr>
          <w:rFonts w:cs="Times New Roman"/>
          <w:color w:val="000000"/>
          <w:sz w:val="22"/>
        </w:rPr>
        <w:t>emph</w:t>
      </w:r>
      <w:r w:rsidR="003F5B83">
        <w:rPr>
          <w:rFonts w:cs="Times New Roman"/>
          <w:color w:val="000000"/>
          <w:sz w:val="22"/>
        </w:rPr>
        <w:t>asised that there is an urgent “need for cleaner energy”</w:t>
      </w:r>
      <w:r w:rsidRPr="00A245AA">
        <w:rPr>
          <w:rFonts w:cs="Times New Roman"/>
          <w:color w:val="000000"/>
          <w:sz w:val="22"/>
        </w:rPr>
        <w:t xml:space="preserve"> in</w:t>
      </w:r>
      <w:r>
        <w:rPr>
          <w:rFonts w:cs="Times New Roman"/>
          <w:color w:val="000000"/>
          <w:sz w:val="22"/>
        </w:rPr>
        <w:t xml:space="preserve"> the EU, acknowledging</w:t>
      </w:r>
      <w:r w:rsidRPr="00A245AA">
        <w:rPr>
          <w:rFonts w:cs="Times New Roman"/>
          <w:color w:val="000000"/>
          <w:sz w:val="22"/>
        </w:rPr>
        <w:t xml:space="preserve"> that HEP is an important component of </w:t>
      </w:r>
      <w:r w:rsidR="003F5B83">
        <w:rPr>
          <w:rFonts w:cs="Times New Roman"/>
          <w:color w:val="000000"/>
          <w:sz w:val="22"/>
        </w:rPr>
        <w:t>climate change policies that “</w:t>
      </w:r>
      <w:r w:rsidRPr="00A245AA">
        <w:rPr>
          <w:rFonts w:cs="Times New Roman"/>
          <w:color w:val="000000"/>
          <w:sz w:val="22"/>
        </w:rPr>
        <w:t>we cannot hijack</w:t>
      </w:r>
      <w:r w:rsidR="003F5B83">
        <w:rPr>
          <w:rFonts w:cs="Times New Roman"/>
          <w:color w:val="000000"/>
          <w:sz w:val="22"/>
        </w:rPr>
        <w:t>”</w:t>
      </w:r>
      <w:r w:rsidRPr="005B292F">
        <w:rPr>
          <w:rStyle w:val="FootnoteReference"/>
        </w:rPr>
        <w:footnoteReference w:id="319"/>
      </w:r>
      <w:r w:rsidRPr="00A245AA">
        <w:rPr>
          <w:rFonts w:cs="Times New Roman"/>
          <w:color w:val="000000"/>
          <w:sz w:val="22"/>
        </w:rPr>
        <w:t>. There is a</w:t>
      </w:r>
      <w:r>
        <w:rPr>
          <w:rFonts w:cs="Times New Roman"/>
          <w:color w:val="000000"/>
          <w:sz w:val="22"/>
        </w:rPr>
        <w:t xml:space="preserve"> distinct</w:t>
      </w:r>
      <w:r w:rsidRPr="00A245AA">
        <w:rPr>
          <w:rFonts w:cs="Times New Roman"/>
          <w:color w:val="000000"/>
          <w:sz w:val="22"/>
        </w:rPr>
        <w:t xml:space="preserve"> sense then, that </w:t>
      </w:r>
      <w:r>
        <w:rPr>
          <w:rFonts w:cs="Times New Roman"/>
          <w:color w:val="000000"/>
          <w:sz w:val="22"/>
        </w:rPr>
        <w:t xml:space="preserve">energy requirements </w:t>
      </w:r>
      <w:r w:rsidRPr="00A245AA">
        <w:rPr>
          <w:rFonts w:cs="Times New Roman"/>
          <w:color w:val="000000"/>
          <w:sz w:val="22"/>
        </w:rPr>
        <w:t xml:space="preserve">and conservation requirements currently have different, sometimes competing, objectives in EU </w:t>
      </w:r>
      <w:r>
        <w:rPr>
          <w:rFonts w:cs="Times New Roman"/>
          <w:color w:val="000000"/>
          <w:sz w:val="22"/>
        </w:rPr>
        <w:t>environmental policy. This is</w:t>
      </w:r>
      <w:r w:rsidRPr="00A245AA">
        <w:rPr>
          <w:rFonts w:cs="Times New Roman"/>
          <w:color w:val="000000"/>
          <w:sz w:val="22"/>
        </w:rPr>
        <w:t xml:space="preserve"> somethin</w:t>
      </w:r>
      <w:r>
        <w:rPr>
          <w:rFonts w:cs="Times New Roman"/>
          <w:color w:val="000000"/>
          <w:sz w:val="22"/>
        </w:rPr>
        <w:t>g that WW</w:t>
      </w:r>
      <w:r w:rsidR="003F5B83">
        <w:rPr>
          <w:rFonts w:cs="Times New Roman"/>
          <w:color w:val="000000"/>
          <w:sz w:val="22"/>
        </w:rPr>
        <w:t>F International has reduced to “</w:t>
      </w:r>
      <w:r w:rsidRPr="00A245AA">
        <w:rPr>
          <w:rFonts w:cs="Times New Roman"/>
          <w:color w:val="000000"/>
          <w:sz w:val="22"/>
        </w:rPr>
        <w:t>a conflict of interest between different human needs versus sturgeon needs</w:t>
      </w:r>
      <w:r w:rsidR="003F5B83">
        <w:rPr>
          <w:rFonts w:cs="Times New Roman"/>
          <w:color w:val="000000"/>
          <w:sz w:val="22"/>
        </w:rPr>
        <w:t>”</w:t>
      </w:r>
      <w:r w:rsidRPr="005B292F">
        <w:rPr>
          <w:rStyle w:val="FootnoteReference"/>
        </w:rPr>
        <w:footnoteReference w:id="320"/>
      </w:r>
      <w:r>
        <w:rPr>
          <w:rFonts w:cs="Times New Roman"/>
          <w:color w:val="000000"/>
          <w:sz w:val="22"/>
        </w:rPr>
        <w:t>. The ‘</w:t>
      </w:r>
      <w:r w:rsidRPr="00A245AA">
        <w:rPr>
          <w:rFonts w:cs="Times New Roman"/>
          <w:color w:val="000000"/>
          <w:sz w:val="22"/>
        </w:rPr>
        <w:t>ch</w:t>
      </w:r>
      <w:r>
        <w:rPr>
          <w:rFonts w:cs="Times New Roman"/>
          <w:color w:val="000000"/>
          <w:sz w:val="22"/>
        </w:rPr>
        <w:t>allenge’</w:t>
      </w:r>
      <w:r w:rsidRPr="00A245AA">
        <w:rPr>
          <w:rFonts w:cs="Times New Roman"/>
          <w:color w:val="000000"/>
          <w:sz w:val="22"/>
        </w:rPr>
        <w:t xml:space="preserve"> as outlined by the representative of DG ENV, is reconciling the restoration of habitats for sturgeon (and other species)</w:t>
      </w:r>
      <w:r w:rsidR="003F5B83">
        <w:rPr>
          <w:rFonts w:cs="Times New Roman"/>
          <w:color w:val="000000"/>
          <w:sz w:val="22"/>
        </w:rPr>
        <w:t xml:space="preserve"> with the human needs that are “</w:t>
      </w:r>
      <w:r w:rsidRPr="00A245AA">
        <w:rPr>
          <w:rFonts w:cs="Times New Roman"/>
          <w:color w:val="000000"/>
          <w:sz w:val="22"/>
        </w:rPr>
        <w:t>directly linked</w:t>
      </w:r>
      <w:r w:rsidR="003F5B83">
        <w:rPr>
          <w:rFonts w:cs="Times New Roman"/>
          <w:color w:val="000000"/>
          <w:sz w:val="22"/>
        </w:rPr>
        <w:t>”</w:t>
      </w:r>
      <w:r w:rsidRPr="005B292F">
        <w:rPr>
          <w:rStyle w:val="FootnoteReference"/>
        </w:rPr>
        <w:footnoteReference w:id="321"/>
      </w:r>
      <w:r w:rsidRPr="00A245AA">
        <w:rPr>
          <w:rFonts w:cs="Times New Roman"/>
          <w:color w:val="000000"/>
          <w:sz w:val="22"/>
        </w:rPr>
        <w:t xml:space="preserve">, such as the need for </w:t>
      </w:r>
      <w:r>
        <w:rPr>
          <w:rFonts w:cs="Times New Roman"/>
          <w:color w:val="000000"/>
          <w:sz w:val="22"/>
        </w:rPr>
        <w:t xml:space="preserve">cleaner </w:t>
      </w:r>
      <w:r w:rsidRPr="00A245AA">
        <w:rPr>
          <w:rFonts w:cs="Times New Roman"/>
          <w:color w:val="000000"/>
          <w:sz w:val="22"/>
        </w:rPr>
        <w:t>energy</w:t>
      </w:r>
      <w:r>
        <w:rPr>
          <w:rFonts w:cs="Times New Roman"/>
          <w:color w:val="000000"/>
          <w:sz w:val="22"/>
        </w:rPr>
        <w:t>, and the jobs HEP provides</w:t>
      </w:r>
      <w:r w:rsidRPr="00A245AA">
        <w:rPr>
          <w:rFonts w:cs="Times New Roman"/>
          <w:color w:val="000000"/>
          <w:sz w:val="22"/>
        </w:rPr>
        <w:t xml:space="preserve">. </w:t>
      </w:r>
    </w:p>
    <w:p w14:paraId="01371878" w14:textId="2F41972A" w:rsidR="00FE14D7" w:rsidRPr="00A245AA" w:rsidRDefault="00FE14D7" w:rsidP="00FE14D7">
      <w:pPr>
        <w:ind w:firstLine="720"/>
        <w:rPr>
          <w:rFonts w:cs="Times New Roman"/>
          <w:color w:val="000000"/>
          <w:sz w:val="22"/>
        </w:rPr>
      </w:pPr>
      <w:r w:rsidRPr="00A245AA">
        <w:rPr>
          <w:rFonts w:cs="Times New Roman"/>
          <w:color w:val="000000"/>
          <w:sz w:val="22"/>
        </w:rPr>
        <w:t xml:space="preserve">What is proving an impediment to </w:t>
      </w:r>
      <w:r>
        <w:rPr>
          <w:rFonts w:cs="Times New Roman"/>
          <w:color w:val="000000"/>
          <w:sz w:val="22"/>
        </w:rPr>
        <w:t>effectively reconciling these policy frictions is that</w:t>
      </w:r>
      <w:r w:rsidRPr="00A245AA">
        <w:rPr>
          <w:rFonts w:cs="Times New Roman"/>
          <w:color w:val="000000"/>
          <w:sz w:val="22"/>
        </w:rPr>
        <w:t xml:space="preserve"> different departments of the European Commission </w:t>
      </w:r>
      <w:r>
        <w:rPr>
          <w:rFonts w:cs="Times New Roman"/>
          <w:color w:val="000000"/>
          <w:sz w:val="22"/>
        </w:rPr>
        <w:t>are</w:t>
      </w:r>
      <w:r w:rsidRPr="00A245AA">
        <w:rPr>
          <w:rFonts w:cs="Times New Roman"/>
          <w:color w:val="000000"/>
          <w:sz w:val="22"/>
        </w:rPr>
        <w:t xml:space="preserve"> seen to be operating in silos. For example, it</w:t>
      </w:r>
      <w:r>
        <w:rPr>
          <w:rFonts w:cs="Times New Roman"/>
          <w:color w:val="000000"/>
          <w:sz w:val="22"/>
        </w:rPr>
        <w:t xml:space="preserve"> was said that DG</w:t>
      </w:r>
      <w:r w:rsidR="00C36722">
        <w:rPr>
          <w:rFonts w:cs="Times New Roman"/>
          <w:color w:val="000000"/>
          <w:sz w:val="22"/>
        </w:rPr>
        <w:t xml:space="preserve"> MOVE</w:t>
      </w:r>
      <w:r w:rsidRPr="00A245AA">
        <w:rPr>
          <w:rFonts w:cs="Times New Roman"/>
          <w:color w:val="000000"/>
          <w:sz w:val="22"/>
        </w:rPr>
        <w:t xml:space="preserve"> i</w:t>
      </w:r>
      <w:r w:rsidR="00C36722">
        <w:rPr>
          <w:rFonts w:cs="Times New Roman"/>
          <w:color w:val="000000"/>
          <w:sz w:val="22"/>
        </w:rPr>
        <w:t>n the European Commission, was “</w:t>
      </w:r>
      <w:r w:rsidRPr="00A245AA">
        <w:rPr>
          <w:rFonts w:cs="Times New Roman"/>
          <w:color w:val="000000"/>
          <w:sz w:val="22"/>
        </w:rPr>
        <w:t>completely oblivious to the EU Water Framework Directive, or how the navigation sector is implicated in the trade of sturgeon and the damage of sturgeon habitats</w:t>
      </w:r>
      <w:r w:rsidR="00C36722">
        <w:rPr>
          <w:rFonts w:cs="Times New Roman"/>
          <w:color w:val="000000"/>
          <w:sz w:val="22"/>
        </w:rPr>
        <w:t>”</w:t>
      </w:r>
      <w:r w:rsidRPr="005B292F">
        <w:rPr>
          <w:rStyle w:val="FootnoteReference"/>
        </w:rPr>
        <w:footnoteReference w:id="322"/>
      </w:r>
      <w:r w:rsidRPr="00A245AA">
        <w:rPr>
          <w:rFonts w:cs="Times New Roman"/>
          <w:color w:val="000000"/>
          <w:sz w:val="22"/>
        </w:rPr>
        <w:t xml:space="preserve">. Even </w:t>
      </w:r>
      <w:r w:rsidRPr="00A245AA">
        <w:rPr>
          <w:rFonts w:cs="Times New Roman"/>
          <w:i/>
          <w:color w:val="000000"/>
          <w:sz w:val="22"/>
        </w:rPr>
        <w:t>within</w:t>
      </w:r>
      <w:r w:rsidRPr="00A245AA">
        <w:rPr>
          <w:rFonts w:cs="Times New Roman"/>
          <w:color w:val="000000"/>
          <w:sz w:val="22"/>
        </w:rPr>
        <w:t xml:space="preserve"> EU departments there are demonstrable tensions in policy priorities - as evidenced by the admission from DG ENV that </w:t>
      </w:r>
      <w:r>
        <w:rPr>
          <w:rFonts w:cs="Times New Roman"/>
          <w:color w:val="000000"/>
          <w:sz w:val="22"/>
        </w:rPr>
        <w:t xml:space="preserve">the department prioritises </w:t>
      </w:r>
      <w:r w:rsidRPr="00A245AA">
        <w:rPr>
          <w:rFonts w:cs="Times New Roman"/>
          <w:color w:val="000000"/>
          <w:sz w:val="22"/>
        </w:rPr>
        <w:t>climate change policies and</w:t>
      </w:r>
      <w:r>
        <w:rPr>
          <w:rFonts w:cs="Times New Roman"/>
          <w:color w:val="000000"/>
          <w:sz w:val="22"/>
        </w:rPr>
        <w:t xml:space="preserve"> these cannot be ‘hijacked’</w:t>
      </w:r>
      <w:r w:rsidRPr="00A245AA">
        <w:rPr>
          <w:rFonts w:cs="Times New Roman"/>
          <w:color w:val="000000"/>
          <w:sz w:val="22"/>
        </w:rPr>
        <w:t xml:space="preserve">. </w:t>
      </w:r>
    </w:p>
    <w:p w14:paraId="015337AD" w14:textId="77777777" w:rsidR="00C36722" w:rsidRDefault="00FE14D7" w:rsidP="003B354F">
      <w:pPr>
        <w:ind w:firstLine="720"/>
        <w:rPr>
          <w:rFonts w:cs="Times New Roman"/>
          <w:color w:val="000000"/>
          <w:sz w:val="22"/>
        </w:rPr>
      </w:pPr>
      <w:r w:rsidRPr="00A245AA">
        <w:rPr>
          <w:rFonts w:cs="Times New Roman"/>
          <w:color w:val="000000"/>
          <w:sz w:val="22"/>
        </w:rPr>
        <w:t xml:space="preserve">Geopolitically, issues of </w:t>
      </w:r>
      <w:r>
        <w:rPr>
          <w:rFonts w:cs="Times New Roman"/>
          <w:color w:val="000000"/>
          <w:sz w:val="22"/>
        </w:rPr>
        <w:t xml:space="preserve">policy </w:t>
      </w:r>
      <w:r w:rsidRPr="00A245AA">
        <w:rPr>
          <w:rFonts w:cs="Times New Roman"/>
          <w:color w:val="000000"/>
          <w:sz w:val="22"/>
        </w:rPr>
        <w:t>harmonisation amongst EU departments are problematic. Not least, because as a powerful agenda setting environmental actor the EU needs to coordinate sectors and set the</w:t>
      </w:r>
      <w:r w:rsidR="00C36722">
        <w:rPr>
          <w:rFonts w:cs="Times New Roman"/>
          <w:color w:val="000000"/>
          <w:sz w:val="22"/>
        </w:rPr>
        <w:t xml:space="preserve"> standard for Member S</w:t>
      </w:r>
      <w:r w:rsidRPr="00A245AA">
        <w:rPr>
          <w:rFonts w:cs="Times New Roman"/>
          <w:color w:val="000000"/>
          <w:sz w:val="22"/>
        </w:rPr>
        <w:t>tates in a substantive way. Juliani, director of a regional NGO recognised the problems that exist for sturgeon conservation without clear direction, leadership or mandates from the European Union</w:t>
      </w:r>
      <w:r w:rsidR="00C36722">
        <w:rPr>
          <w:rFonts w:cs="Times New Roman"/>
          <w:color w:val="000000"/>
          <w:sz w:val="22"/>
        </w:rPr>
        <w:t xml:space="preserve">, saying: </w:t>
      </w:r>
    </w:p>
    <w:p w14:paraId="4C28D86F" w14:textId="7BF9C042" w:rsidR="00C36722" w:rsidRPr="003B354F" w:rsidRDefault="00C36722" w:rsidP="003B354F">
      <w:pPr>
        <w:pStyle w:val="Quote"/>
        <w:spacing w:after="300"/>
      </w:pPr>
      <w:r>
        <w:lastRenderedPageBreak/>
        <w:t>W</w:t>
      </w:r>
      <w:r w:rsidR="00FE14D7" w:rsidRPr="00C36722">
        <w:t>e need someone pushing, taking charge. Coordination is really key here because it’s a fish who requires really coordination between all the Danube countries… it is mandatory that we work together, but we need direction from above</w:t>
      </w:r>
      <w:r w:rsidRPr="005B292F">
        <w:rPr>
          <w:rStyle w:val="FootnoteReference"/>
        </w:rPr>
        <w:footnoteReference w:id="323"/>
      </w:r>
      <w:r w:rsidR="00FE14D7" w:rsidRPr="00C36722">
        <w:t>.</w:t>
      </w:r>
    </w:p>
    <w:p w14:paraId="0E8A53CC" w14:textId="5FEF7A6D" w:rsidR="00FE14D7" w:rsidRDefault="00FE14D7" w:rsidP="003B354F">
      <w:pPr>
        <w:pStyle w:val="NormalWeb"/>
        <w:spacing w:before="0" w:beforeAutospacing="0" w:after="160" w:afterAutospacing="0" w:line="360" w:lineRule="auto"/>
        <w:jc w:val="both"/>
        <w:rPr>
          <w:color w:val="000000"/>
          <w:sz w:val="22"/>
          <w:szCs w:val="22"/>
        </w:rPr>
      </w:pPr>
      <w:r>
        <w:rPr>
          <w:color w:val="000000"/>
          <w:sz w:val="22"/>
          <w:szCs w:val="22"/>
        </w:rPr>
        <w:t>In this regard, through</w:t>
      </w:r>
      <w:r w:rsidRPr="00283A47">
        <w:rPr>
          <w:color w:val="000000"/>
          <w:sz w:val="22"/>
          <w:szCs w:val="22"/>
        </w:rPr>
        <w:t xml:space="preserve"> their inability to migrate sturgeon reveal the grey areas where EU policies coll</w:t>
      </w:r>
      <w:r>
        <w:rPr>
          <w:color w:val="000000"/>
          <w:sz w:val="22"/>
          <w:szCs w:val="22"/>
        </w:rPr>
        <w:t>ide</w:t>
      </w:r>
      <w:r w:rsidR="00C36722">
        <w:rPr>
          <w:color w:val="000000"/>
          <w:sz w:val="22"/>
          <w:szCs w:val="22"/>
        </w:rPr>
        <w:t>,</w:t>
      </w:r>
      <w:r>
        <w:rPr>
          <w:color w:val="000000"/>
          <w:sz w:val="22"/>
          <w:szCs w:val="22"/>
        </w:rPr>
        <w:t xml:space="preserve"> and </w:t>
      </w:r>
      <w:r w:rsidRPr="00283A47">
        <w:rPr>
          <w:color w:val="000000"/>
          <w:sz w:val="22"/>
          <w:szCs w:val="22"/>
        </w:rPr>
        <w:t>highlight how human needs are ultimately prioritised over sturgeon protection</w:t>
      </w:r>
      <w:r>
        <w:rPr>
          <w:color w:val="000000"/>
          <w:sz w:val="22"/>
          <w:szCs w:val="22"/>
        </w:rPr>
        <w:t xml:space="preserve">. An </w:t>
      </w:r>
      <w:r w:rsidRPr="00283A47">
        <w:rPr>
          <w:color w:val="000000"/>
          <w:sz w:val="22"/>
          <w:szCs w:val="22"/>
        </w:rPr>
        <w:t xml:space="preserve">impact of sturgeon revealing this grey area in competing environmental regulations, has </w:t>
      </w:r>
      <w:r>
        <w:rPr>
          <w:color w:val="000000"/>
          <w:sz w:val="22"/>
          <w:szCs w:val="22"/>
        </w:rPr>
        <w:t xml:space="preserve">been </w:t>
      </w:r>
      <w:r w:rsidRPr="00283A47">
        <w:rPr>
          <w:color w:val="000000"/>
          <w:sz w:val="22"/>
          <w:szCs w:val="22"/>
        </w:rPr>
        <w:t>that s</w:t>
      </w:r>
      <w:r>
        <w:rPr>
          <w:color w:val="000000"/>
          <w:sz w:val="22"/>
          <w:szCs w:val="22"/>
        </w:rPr>
        <w:t>turgeon are increasingly enlisted by NGOs as a</w:t>
      </w:r>
      <w:r w:rsidR="00C36722">
        <w:rPr>
          <w:color w:val="000000"/>
          <w:sz w:val="22"/>
          <w:szCs w:val="22"/>
        </w:rPr>
        <w:t xml:space="preserve"> “</w:t>
      </w:r>
      <w:r w:rsidRPr="00283A47">
        <w:rPr>
          <w:color w:val="000000"/>
          <w:sz w:val="22"/>
          <w:szCs w:val="22"/>
        </w:rPr>
        <w:t>powerful communication vehicle</w:t>
      </w:r>
      <w:r w:rsidR="00C36722">
        <w:rPr>
          <w:color w:val="000000"/>
          <w:sz w:val="22"/>
          <w:szCs w:val="22"/>
        </w:rPr>
        <w:t>”</w:t>
      </w:r>
      <w:r w:rsidRPr="005B292F">
        <w:rPr>
          <w:rStyle w:val="FootnoteReference"/>
        </w:rPr>
        <w:footnoteReference w:id="324"/>
      </w:r>
      <w:r w:rsidRPr="00283A47">
        <w:rPr>
          <w:color w:val="000000"/>
          <w:sz w:val="22"/>
          <w:szCs w:val="22"/>
        </w:rPr>
        <w:t xml:space="preserve">, </w:t>
      </w:r>
      <w:r>
        <w:rPr>
          <w:color w:val="000000"/>
          <w:sz w:val="22"/>
          <w:szCs w:val="22"/>
        </w:rPr>
        <w:t>to put pressure on the EU to reconcile EU policies in ways that do not negate sturgeon conservation efforts. I</w:t>
      </w:r>
      <w:r w:rsidR="00C36722">
        <w:rPr>
          <w:color w:val="000000"/>
          <w:sz w:val="22"/>
          <w:szCs w:val="22"/>
        </w:rPr>
        <w:t>t has been emphasised that the “</w:t>
      </w:r>
      <w:r w:rsidRPr="00283A47">
        <w:rPr>
          <w:color w:val="000000"/>
          <w:sz w:val="22"/>
          <w:szCs w:val="22"/>
        </w:rPr>
        <w:t>communications power of these charismatic species should be harnessed for conservatio</w:t>
      </w:r>
      <w:r>
        <w:rPr>
          <w:color w:val="000000"/>
          <w:sz w:val="22"/>
          <w:szCs w:val="22"/>
        </w:rPr>
        <w:t>n</w:t>
      </w:r>
      <w:r w:rsidR="00C36722">
        <w:rPr>
          <w:color w:val="000000"/>
          <w:sz w:val="22"/>
          <w:szCs w:val="22"/>
        </w:rPr>
        <w:t>”</w:t>
      </w:r>
      <w:r w:rsidRPr="005B292F">
        <w:rPr>
          <w:rStyle w:val="FootnoteReference"/>
        </w:rPr>
        <w:footnoteReference w:id="325"/>
      </w:r>
      <w:r>
        <w:rPr>
          <w:color w:val="000000"/>
          <w:sz w:val="22"/>
          <w:szCs w:val="22"/>
        </w:rPr>
        <w:t xml:space="preserve"> and can be geopolitically transformative.</w:t>
      </w:r>
    </w:p>
    <w:p w14:paraId="6BBD804A" w14:textId="00B0E7C8" w:rsidR="00FE14D7" w:rsidRDefault="00FE14D7" w:rsidP="003B354F">
      <w:pPr>
        <w:pStyle w:val="NormalWeb"/>
        <w:spacing w:before="0" w:beforeAutospacing="0" w:after="160" w:afterAutospacing="0" w:line="360" w:lineRule="auto"/>
        <w:ind w:firstLine="720"/>
        <w:jc w:val="both"/>
        <w:rPr>
          <w:color w:val="000000"/>
          <w:sz w:val="22"/>
          <w:szCs w:val="22"/>
        </w:rPr>
      </w:pPr>
      <w:r>
        <w:rPr>
          <w:color w:val="000000"/>
          <w:sz w:val="22"/>
          <w:szCs w:val="22"/>
        </w:rPr>
        <w:t xml:space="preserve"> For example, ICPDR are proponents of defining sturgeon as a ‘flagship species’ in Europe, </w:t>
      </w:r>
      <w:r w:rsidR="00387136">
        <w:rPr>
          <w:color w:val="000000"/>
          <w:sz w:val="22"/>
          <w:szCs w:val="22"/>
        </w:rPr>
        <w:t xml:space="preserve">and are increasingly deploying </w:t>
      </w:r>
      <w:r>
        <w:rPr>
          <w:color w:val="000000"/>
          <w:sz w:val="22"/>
          <w:szCs w:val="22"/>
        </w:rPr>
        <w:t xml:space="preserve">this term to gain support for their sturgeon conservation agenda. </w:t>
      </w:r>
      <w:r w:rsidRPr="00A245AA">
        <w:rPr>
          <w:color w:val="000000"/>
          <w:sz w:val="22"/>
          <w:szCs w:val="22"/>
        </w:rPr>
        <w:t xml:space="preserve">As </w:t>
      </w:r>
      <w:r>
        <w:rPr>
          <w:color w:val="000000"/>
          <w:sz w:val="22"/>
          <w:szCs w:val="22"/>
        </w:rPr>
        <w:t xml:space="preserve">a result </w:t>
      </w:r>
      <w:r w:rsidRPr="00A245AA">
        <w:rPr>
          <w:color w:val="000000"/>
          <w:sz w:val="22"/>
          <w:szCs w:val="22"/>
        </w:rPr>
        <w:t>ICPDR have taken the preeminent role in advocating for restoring fish migrat</w:t>
      </w:r>
      <w:r w:rsidR="00387136">
        <w:rPr>
          <w:color w:val="000000"/>
          <w:sz w:val="22"/>
          <w:szCs w:val="22"/>
        </w:rPr>
        <w:t>ion routes in the Danube River B</w:t>
      </w:r>
      <w:r w:rsidRPr="00A245AA">
        <w:rPr>
          <w:color w:val="000000"/>
          <w:sz w:val="22"/>
          <w:szCs w:val="22"/>
        </w:rPr>
        <w:t>asin through their ‘Sturgeon Strategy’</w:t>
      </w:r>
      <w:r w:rsidR="00387136" w:rsidRPr="005B292F">
        <w:rPr>
          <w:rStyle w:val="FootnoteReference"/>
        </w:rPr>
        <w:footnoteReference w:id="326"/>
      </w:r>
      <w:r w:rsidRPr="00A245AA">
        <w:rPr>
          <w:color w:val="000000"/>
          <w:sz w:val="22"/>
          <w:szCs w:val="22"/>
        </w:rPr>
        <w:t xml:space="preserve"> and the activities of the Danube Sturgeon Task Force. Subsequently, the ICPDR have gained support from DG REGIO and DG ENV of the European Commission, to undertake activities such as a feasibility study to determine how to improve fish migration at the Iron Gates dam. </w:t>
      </w:r>
      <w:r>
        <w:rPr>
          <w:color w:val="000000"/>
          <w:sz w:val="22"/>
          <w:szCs w:val="22"/>
        </w:rPr>
        <w:t>This study complements the objectives of priority area 4 (Water) and 6 (Biodiversity) of the EU Strategy for the Danube Region</w:t>
      </w:r>
      <w:r w:rsidRPr="005B292F">
        <w:rPr>
          <w:rStyle w:val="FootnoteReference"/>
        </w:rPr>
        <w:footnoteReference w:id="327"/>
      </w:r>
      <w:r>
        <w:rPr>
          <w:color w:val="000000"/>
          <w:sz w:val="22"/>
          <w:szCs w:val="22"/>
        </w:rPr>
        <w:t>, thereby illustrating that different EU policy areas and aims can be reconciled under a holistic approach, without being at the expense of sturgeon or human needs.</w:t>
      </w:r>
      <w:r w:rsidRPr="00283A47">
        <w:rPr>
          <w:color w:val="000000"/>
          <w:sz w:val="22"/>
          <w:szCs w:val="22"/>
        </w:rPr>
        <w:t xml:space="preserve"> </w:t>
      </w:r>
      <w:r w:rsidRPr="00A245AA">
        <w:rPr>
          <w:color w:val="000000"/>
          <w:sz w:val="22"/>
          <w:szCs w:val="22"/>
        </w:rPr>
        <w:t>Thus, just as the Iron Gates Dam and other dams in t</w:t>
      </w:r>
      <w:r>
        <w:rPr>
          <w:color w:val="000000"/>
          <w:sz w:val="22"/>
          <w:szCs w:val="22"/>
        </w:rPr>
        <w:t>he Danube River Basin have had ‘</w:t>
      </w:r>
      <w:r w:rsidRPr="00A245AA">
        <w:rPr>
          <w:color w:val="000000"/>
          <w:sz w:val="22"/>
          <w:szCs w:val="22"/>
        </w:rPr>
        <w:t>trans-boundary</w:t>
      </w:r>
      <w:r>
        <w:rPr>
          <w:color w:val="000000"/>
          <w:sz w:val="22"/>
          <w:szCs w:val="22"/>
        </w:rPr>
        <w:t xml:space="preserve"> effects’, the ‘communication power’</w:t>
      </w:r>
      <w:r w:rsidRPr="00A245AA">
        <w:rPr>
          <w:color w:val="000000"/>
          <w:sz w:val="22"/>
          <w:szCs w:val="22"/>
        </w:rPr>
        <w:t xml:space="preserve"> of sturgeon</w:t>
      </w:r>
      <w:r>
        <w:rPr>
          <w:color w:val="000000"/>
          <w:sz w:val="22"/>
          <w:szCs w:val="22"/>
        </w:rPr>
        <w:t xml:space="preserve"> is also shown to have counter ‘</w:t>
      </w:r>
      <w:r w:rsidRPr="00A245AA">
        <w:rPr>
          <w:color w:val="000000"/>
          <w:sz w:val="22"/>
          <w:szCs w:val="22"/>
        </w:rPr>
        <w:t>trans-</w:t>
      </w:r>
      <w:r>
        <w:rPr>
          <w:color w:val="000000"/>
          <w:sz w:val="22"/>
          <w:szCs w:val="22"/>
        </w:rPr>
        <w:t>boundary effects’. The communication power of sturgeon has been enrolled to challenge the</w:t>
      </w:r>
      <w:r w:rsidR="00387136">
        <w:rPr>
          <w:color w:val="000000"/>
          <w:sz w:val="22"/>
          <w:szCs w:val="22"/>
        </w:rPr>
        <w:t xml:space="preserve"> further </w:t>
      </w:r>
      <w:r>
        <w:rPr>
          <w:color w:val="000000"/>
          <w:sz w:val="22"/>
          <w:szCs w:val="22"/>
        </w:rPr>
        <w:t>expansion of HEP</w:t>
      </w:r>
      <w:r w:rsidR="00387136">
        <w:rPr>
          <w:color w:val="000000"/>
          <w:sz w:val="22"/>
          <w:szCs w:val="22"/>
        </w:rPr>
        <w:t xml:space="preserve"> in the EU</w:t>
      </w:r>
      <w:r>
        <w:rPr>
          <w:color w:val="000000"/>
          <w:sz w:val="22"/>
          <w:szCs w:val="22"/>
        </w:rPr>
        <w:t>; and to find ways to reconcile the grey areas</w:t>
      </w:r>
      <w:r w:rsidR="00387136">
        <w:rPr>
          <w:color w:val="000000"/>
          <w:sz w:val="22"/>
          <w:szCs w:val="22"/>
        </w:rPr>
        <w:t xml:space="preserve"> in the competing </w:t>
      </w:r>
      <w:r>
        <w:rPr>
          <w:color w:val="000000"/>
          <w:sz w:val="22"/>
          <w:szCs w:val="22"/>
        </w:rPr>
        <w:t xml:space="preserve">EU </w:t>
      </w:r>
      <w:r w:rsidR="00387136">
        <w:rPr>
          <w:color w:val="000000"/>
          <w:sz w:val="22"/>
          <w:szCs w:val="22"/>
        </w:rPr>
        <w:t xml:space="preserve">environmental </w:t>
      </w:r>
      <w:r>
        <w:rPr>
          <w:color w:val="000000"/>
          <w:sz w:val="22"/>
          <w:szCs w:val="22"/>
        </w:rPr>
        <w:t xml:space="preserve">policies that sturgeon have revealed. </w:t>
      </w:r>
    </w:p>
    <w:p w14:paraId="5FEF8626" w14:textId="15F25225" w:rsidR="00FE14D7" w:rsidRDefault="00FE14D7" w:rsidP="00FE14D7">
      <w:pPr>
        <w:pStyle w:val="NormalWeb"/>
        <w:spacing w:before="0" w:beforeAutospacing="0" w:after="0" w:afterAutospacing="0" w:line="360" w:lineRule="auto"/>
        <w:ind w:firstLine="720"/>
        <w:jc w:val="both"/>
        <w:rPr>
          <w:color w:val="000000"/>
          <w:sz w:val="22"/>
          <w:szCs w:val="22"/>
        </w:rPr>
      </w:pPr>
      <w:r w:rsidRPr="00A245AA">
        <w:rPr>
          <w:color w:val="000000"/>
          <w:sz w:val="22"/>
          <w:szCs w:val="22"/>
        </w:rPr>
        <w:t xml:space="preserve">Thus, in this example, </w:t>
      </w:r>
      <w:r>
        <w:rPr>
          <w:color w:val="000000"/>
          <w:sz w:val="22"/>
          <w:szCs w:val="22"/>
        </w:rPr>
        <w:t xml:space="preserve">sturgeon are </w:t>
      </w:r>
      <w:r w:rsidRPr="00A245AA">
        <w:rPr>
          <w:color w:val="000000"/>
          <w:sz w:val="22"/>
          <w:szCs w:val="22"/>
        </w:rPr>
        <w:t>geopolitic</w:t>
      </w:r>
      <w:r>
        <w:rPr>
          <w:color w:val="000000"/>
          <w:sz w:val="22"/>
          <w:szCs w:val="22"/>
        </w:rPr>
        <w:t xml:space="preserve">al actors in two ways. First, </w:t>
      </w:r>
      <w:r w:rsidRPr="00A245AA">
        <w:rPr>
          <w:color w:val="000000"/>
          <w:sz w:val="22"/>
          <w:szCs w:val="22"/>
        </w:rPr>
        <w:t>through their inability to migrate they bring to light competing policy prioritie</w:t>
      </w:r>
      <w:r>
        <w:rPr>
          <w:color w:val="000000"/>
          <w:sz w:val="22"/>
          <w:szCs w:val="22"/>
        </w:rPr>
        <w:t>s within the EU, which catalyse</w:t>
      </w:r>
      <w:r w:rsidRPr="00A245AA">
        <w:rPr>
          <w:color w:val="000000"/>
          <w:sz w:val="22"/>
          <w:szCs w:val="22"/>
        </w:rPr>
        <w:t xml:space="preserve"> </w:t>
      </w:r>
      <w:r>
        <w:rPr>
          <w:color w:val="000000"/>
          <w:sz w:val="22"/>
          <w:szCs w:val="22"/>
        </w:rPr>
        <w:t xml:space="preserve">protracted and sometimes heated </w:t>
      </w:r>
      <w:r w:rsidRPr="00A245AA">
        <w:rPr>
          <w:color w:val="000000"/>
          <w:sz w:val="22"/>
          <w:szCs w:val="22"/>
        </w:rPr>
        <w:t>debates around human n</w:t>
      </w:r>
      <w:r>
        <w:rPr>
          <w:color w:val="000000"/>
          <w:sz w:val="22"/>
          <w:szCs w:val="22"/>
        </w:rPr>
        <w:t>eeds versus conservation needs. Second, sturgeon are mobilised as a ‘communicative vehicle’</w:t>
      </w:r>
      <w:r w:rsidRPr="00A245AA">
        <w:rPr>
          <w:color w:val="000000"/>
          <w:sz w:val="22"/>
          <w:szCs w:val="22"/>
        </w:rPr>
        <w:t xml:space="preserve"> in </w:t>
      </w:r>
      <w:r>
        <w:rPr>
          <w:color w:val="000000"/>
          <w:sz w:val="22"/>
          <w:szCs w:val="22"/>
        </w:rPr>
        <w:t xml:space="preserve">order to reconcile competing policy priorities and to promote greater harmonisation </w:t>
      </w:r>
      <w:r w:rsidR="002E13C8">
        <w:rPr>
          <w:color w:val="000000"/>
          <w:sz w:val="22"/>
          <w:szCs w:val="22"/>
        </w:rPr>
        <w:t>between EU departments, Member S</w:t>
      </w:r>
      <w:r w:rsidRPr="00A245AA">
        <w:rPr>
          <w:color w:val="000000"/>
          <w:sz w:val="22"/>
          <w:szCs w:val="22"/>
        </w:rPr>
        <w:t xml:space="preserve">tates and NGOs. </w:t>
      </w:r>
    </w:p>
    <w:p w14:paraId="6B755646" w14:textId="77777777" w:rsidR="004C3879" w:rsidRDefault="004C3879" w:rsidP="00FE14D7">
      <w:pPr>
        <w:pStyle w:val="NormalWeb"/>
        <w:spacing w:before="0" w:beforeAutospacing="0" w:after="0" w:afterAutospacing="0" w:line="360" w:lineRule="auto"/>
        <w:ind w:firstLine="720"/>
        <w:jc w:val="both"/>
        <w:rPr>
          <w:color w:val="000000"/>
          <w:sz w:val="22"/>
          <w:szCs w:val="22"/>
        </w:rPr>
      </w:pPr>
    </w:p>
    <w:p w14:paraId="58C0CFBA" w14:textId="77777777" w:rsidR="00FE14D7" w:rsidRPr="00A245AA" w:rsidRDefault="00FE14D7" w:rsidP="00A5330E">
      <w:pPr>
        <w:pStyle w:val="Heading2"/>
      </w:pPr>
      <w:bookmarkStart w:id="106" w:name="_Toc453224259"/>
      <w:r>
        <w:lastRenderedPageBreak/>
        <w:t>8</w:t>
      </w:r>
      <w:r w:rsidRPr="00A245AA">
        <w:t>.</w:t>
      </w:r>
      <w:r>
        <w:t>3</w:t>
      </w:r>
      <w:r w:rsidRPr="00A245AA">
        <w:t xml:space="preserve"> Conclusion</w:t>
      </w:r>
      <w:bookmarkEnd w:id="106"/>
    </w:p>
    <w:p w14:paraId="77EDFB18" w14:textId="14173E6F" w:rsidR="00FE14D7" w:rsidRDefault="00FE14D7" w:rsidP="00FE14D7">
      <w:pPr>
        <w:pStyle w:val="NormalWeb"/>
        <w:spacing w:before="0" w:beforeAutospacing="0" w:after="0" w:afterAutospacing="0" w:line="360" w:lineRule="auto"/>
        <w:jc w:val="both"/>
        <w:rPr>
          <w:color w:val="000000"/>
          <w:sz w:val="22"/>
          <w:szCs w:val="22"/>
        </w:rPr>
      </w:pPr>
      <w:r>
        <w:rPr>
          <w:color w:val="000000"/>
          <w:sz w:val="22"/>
          <w:szCs w:val="22"/>
        </w:rPr>
        <w:t xml:space="preserve">In this chapter, I argue that </w:t>
      </w:r>
      <w:r w:rsidRPr="00A245AA">
        <w:rPr>
          <w:color w:val="000000"/>
          <w:sz w:val="22"/>
          <w:szCs w:val="22"/>
        </w:rPr>
        <w:t xml:space="preserve">is necessary to conceptualise sturgeon as being geopolitically important. </w:t>
      </w:r>
      <w:r w:rsidR="00B348C4">
        <w:rPr>
          <w:color w:val="000000"/>
          <w:sz w:val="22"/>
          <w:szCs w:val="22"/>
        </w:rPr>
        <w:t xml:space="preserve">In particular I examine how sturgeon are transformed into geopolitical subjects. This is demonstrated by the </w:t>
      </w:r>
      <w:r w:rsidR="004C3879">
        <w:rPr>
          <w:color w:val="000000"/>
          <w:sz w:val="22"/>
          <w:szCs w:val="22"/>
        </w:rPr>
        <w:t xml:space="preserve">actions of geopolitical actors </w:t>
      </w:r>
      <w:r w:rsidR="00B348C4">
        <w:rPr>
          <w:color w:val="000000"/>
          <w:sz w:val="22"/>
          <w:szCs w:val="22"/>
        </w:rPr>
        <w:t xml:space="preserve">who exploit grey areas in the regulatory frameworks designed to prevent sturgeon crimes, as a way of managing and controlling sturgeon in order to achieve their </w:t>
      </w:r>
      <w:r>
        <w:rPr>
          <w:color w:val="000000"/>
          <w:sz w:val="22"/>
          <w:szCs w:val="22"/>
        </w:rPr>
        <w:t>underlying geopolitical goals. Moreover, I argue that sturgeon are geopolitical actors, and show how their movements, materialities and ecologies shape the outcome</w:t>
      </w:r>
      <w:r w:rsidR="00B348C4">
        <w:rPr>
          <w:color w:val="000000"/>
          <w:sz w:val="22"/>
          <w:szCs w:val="22"/>
        </w:rPr>
        <w:t xml:space="preserve"> of geopolitical configurations in the EU.</w:t>
      </w:r>
      <w:r>
        <w:rPr>
          <w:color w:val="000000"/>
          <w:sz w:val="22"/>
          <w:szCs w:val="22"/>
        </w:rPr>
        <w:t xml:space="preserve"> Rather than inert ‘living fossils’, I have illustrated that sturgeon are a species intrinsically intertwined with, and co-producing of geopolitics.  </w:t>
      </w:r>
    </w:p>
    <w:p w14:paraId="7FC6C778" w14:textId="5811A905" w:rsidR="00FE14D7" w:rsidRPr="00A245AA" w:rsidRDefault="00FE14D7" w:rsidP="00FE14D7">
      <w:pPr>
        <w:pStyle w:val="NormalWeb"/>
        <w:spacing w:before="0" w:beforeAutospacing="0" w:after="0" w:afterAutospacing="0" w:line="360" w:lineRule="auto"/>
        <w:jc w:val="both"/>
        <w:rPr>
          <w:color w:val="000000"/>
          <w:sz w:val="22"/>
          <w:szCs w:val="22"/>
        </w:rPr>
      </w:pPr>
      <w:r>
        <w:rPr>
          <w:color w:val="000000"/>
          <w:sz w:val="22"/>
          <w:szCs w:val="22"/>
        </w:rPr>
        <w:tab/>
        <w:t xml:space="preserve">Gaps and grey areas in caviar trade regulations are central to the constitution of sturgeon as unlikely geopolitical subjects and actors. Geopolitical actors seek out </w:t>
      </w:r>
      <w:r w:rsidR="004C3879">
        <w:rPr>
          <w:color w:val="000000"/>
          <w:sz w:val="22"/>
          <w:szCs w:val="22"/>
        </w:rPr>
        <w:t>irregularities and ambiguities</w:t>
      </w:r>
      <w:r>
        <w:rPr>
          <w:color w:val="000000"/>
          <w:sz w:val="22"/>
          <w:szCs w:val="22"/>
        </w:rPr>
        <w:t xml:space="preserve"> in regulations in order to utilise sturgeon as resources they can access and control to meet their wider geopolitical goals. But sturgeon themselves also bring to light </w:t>
      </w:r>
      <w:r w:rsidR="004C3879">
        <w:rPr>
          <w:color w:val="000000"/>
          <w:sz w:val="22"/>
          <w:szCs w:val="22"/>
        </w:rPr>
        <w:t>inconsistencies</w:t>
      </w:r>
      <w:r>
        <w:rPr>
          <w:color w:val="000000"/>
          <w:sz w:val="22"/>
          <w:szCs w:val="22"/>
        </w:rPr>
        <w:t xml:space="preserve"> in regulations, and in doing so catalyse responses from a range of actors including NGOs, EU institution</w:t>
      </w:r>
      <w:r w:rsidR="00B348C4">
        <w:rPr>
          <w:color w:val="000000"/>
          <w:sz w:val="22"/>
          <w:szCs w:val="22"/>
        </w:rPr>
        <w:t>s and EU Member S</w:t>
      </w:r>
      <w:r>
        <w:rPr>
          <w:color w:val="000000"/>
          <w:sz w:val="22"/>
          <w:szCs w:val="22"/>
        </w:rPr>
        <w:t>tates, which have geopolitical consequences. Thus</w:t>
      </w:r>
      <w:r w:rsidR="00B348C4">
        <w:rPr>
          <w:color w:val="000000"/>
          <w:sz w:val="22"/>
          <w:szCs w:val="22"/>
        </w:rPr>
        <w:t>,</w:t>
      </w:r>
      <w:r>
        <w:rPr>
          <w:color w:val="000000"/>
          <w:sz w:val="22"/>
          <w:szCs w:val="22"/>
        </w:rPr>
        <w:t xml:space="preserve"> I argue that sturgeon have a distinct role to play in co-producing the multifaceted geopolitical discussions and realities that arise from sturgeon movements and ecological behaviours.  </w:t>
      </w:r>
      <w:r w:rsidRPr="00A245AA">
        <w:rPr>
          <w:color w:val="000000"/>
          <w:sz w:val="22"/>
          <w:szCs w:val="22"/>
        </w:rPr>
        <w:tab/>
        <w:t xml:space="preserve"> </w:t>
      </w:r>
    </w:p>
    <w:p w14:paraId="07DF3B43" w14:textId="0A65526C" w:rsidR="00FE14D7" w:rsidRPr="00A245AA" w:rsidRDefault="00FE14D7" w:rsidP="00FE14D7">
      <w:pPr>
        <w:pStyle w:val="NormalWeb"/>
        <w:spacing w:before="0" w:beforeAutospacing="0" w:after="0" w:afterAutospacing="0" w:line="360" w:lineRule="auto"/>
        <w:jc w:val="both"/>
        <w:rPr>
          <w:color w:val="000000"/>
          <w:sz w:val="22"/>
          <w:szCs w:val="22"/>
        </w:rPr>
      </w:pPr>
      <w:r w:rsidRPr="00A245AA">
        <w:rPr>
          <w:color w:val="000000"/>
          <w:sz w:val="22"/>
          <w:szCs w:val="22"/>
        </w:rPr>
        <w:tab/>
        <w:t xml:space="preserve">In sum, </w:t>
      </w:r>
      <w:r>
        <w:rPr>
          <w:color w:val="000000"/>
          <w:sz w:val="22"/>
          <w:szCs w:val="22"/>
        </w:rPr>
        <w:t>examining the implications of gaps and grey ar</w:t>
      </w:r>
      <w:r w:rsidR="004C3879">
        <w:rPr>
          <w:color w:val="000000"/>
          <w:sz w:val="22"/>
          <w:szCs w:val="22"/>
        </w:rPr>
        <w:t>eas in caviar trade regulations</w:t>
      </w:r>
      <w:r>
        <w:rPr>
          <w:color w:val="000000"/>
          <w:sz w:val="22"/>
          <w:szCs w:val="22"/>
        </w:rPr>
        <w:t xml:space="preserve"> is revealing of unique geopolitical impacts that extend far beyond the remit of regulating the trade in caviar in the EU. The discussion shows that </w:t>
      </w:r>
      <w:r w:rsidRPr="00A245AA">
        <w:rPr>
          <w:color w:val="000000"/>
          <w:sz w:val="22"/>
          <w:szCs w:val="22"/>
        </w:rPr>
        <w:t xml:space="preserve">gaps and grey areas </w:t>
      </w:r>
      <w:r>
        <w:rPr>
          <w:color w:val="000000"/>
          <w:sz w:val="22"/>
          <w:szCs w:val="22"/>
        </w:rPr>
        <w:t xml:space="preserve">in regulations </w:t>
      </w:r>
      <w:r w:rsidRPr="00A245AA">
        <w:rPr>
          <w:color w:val="000000"/>
          <w:sz w:val="22"/>
          <w:szCs w:val="22"/>
        </w:rPr>
        <w:t>are not only sought out by poachers or organised criminal groups for the purposes of illegal</w:t>
      </w:r>
      <w:r>
        <w:rPr>
          <w:color w:val="000000"/>
          <w:sz w:val="22"/>
          <w:szCs w:val="22"/>
        </w:rPr>
        <w:t xml:space="preserve"> caviar</w:t>
      </w:r>
      <w:r w:rsidRPr="00A245AA">
        <w:rPr>
          <w:color w:val="000000"/>
          <w:sz w:val="22"/>
          <w:szCs w:val="22"/>
        </w:rPr>
        <w:t xml:space="preserve"> trade, but that these </w:t>
      </w:r>
      <w:r w:rsidR="004C3879">
        <w:rPr>
          <w:color w:val="000000"/>
          <w:sz w:val="22"/>
          <w:szCs w:val="22"/>
        </w:rPr>
        <w:t xml:space="preserve">legislative discrepancies </w:t>
      </w:r>
      <w:r w:rsidRPr="00A245AA">
        <w:rPr>
          <w:color w:val="000000"/>
          <w:sz w:val="22"/>
          <w:szCs w:val="22"/>
        </w:rPr>
        <w:t xml:space="preserve">are capitalised upon by </w:t>
      </w:r>
      <w:r>
        <w:rPr>
          <w:color w:val="000000"/>
          <w:sz w:val="22"/>
          <w:szCs w:val="22"/>
        </w:rPr>
        <w:t xml:space="preserve">political </w:t>
      </w:r>
      <w:r w:rsidRPr="00A245AA">
        <w:rPr>
          <w:color w:val="000000"/>
          <w:sz w:val="22"/>
          <w:szCs w:val="22"/>
        </w:rPr>
        <w:t xml:space="preserve">actors for broader </w:t>
      </w:r>
      <w:r>
        <w:rPr>
          <w:color w:val="000000"/>
          <w:sz w:val="22"/>
          <w:szCs w:val="22"/>
        </w:rPr>
        <w:t>geo</w:t>
      </w:r>
      <w:r w:rsidRPr="00A245AA">
        <w:rPr>
          <w:color w:val="000000"/>
          <w:sz w:val="22"/>
          <w:szCs w:val="22"/>
        </w:rPr>
        <w:t xml:space="preserve">political purposes. The </w:t>
      </w:r>
      <w:r w:rsidR="004C3879">
        <w:rPr>
          <w:color w:val="000000"/>
          <w:sz w:val="22"/>
          <w:szCs w:val="22"/>
        </w:rPr>
        <w:t xml:space="preserve">gaps and grey areas in </w:t>
      </w:r>
      <w:r w:rsidRPr="00A245AA">
        <w:rPr>
          <w:color w:val="000000"/>
          <w:sz w:val="22"/>
          <w:szCs w:val="22"/>
        </w:rPr>
        <w:t>regulations to prevent sturgeon crime the</w:t>
      </w:r>
      <w:r>
        <w:rPr>
          <w:color w:val="000000"/>
          <w:sz w:val="22"/>
          <w:szCs w:val="22"/>
        </w:rPr>
        <w:t>refore have far-reaching implications</w:t>
      </w:r>
      <w:r w:rsidRPr="00A245AA">
        <w:rPr>
          <w:color w:val="000000"/>
          <w:sz w:val="22"/>
          <w:szCs w:val="22"/>
        </w:rPr>
        <w:t xml:space="preserve"> that move beyond the more localised security </w:t>
      </w:r>
      <w:r>
        <w:rPr>
          <w:color w:val="000000"/>
          <w:sz w:val="22"/>
          <w:szCs w:val="22"/>
        </w:rPr>
        <w:t>impacts</w:t>
      </w:r>
      <w:r w:rsidRPr="00A245AA">
        <w:rPr>
          <w:color w:val="000000"/>
          <w:sz w:val="22"/>
          <w:szCs w:val="22"/>
        </w:rPr>
        <w:t xml:space="preserve"> discussed in</w:t>
      </w:r>
      <w:r>
        <w:rPr>
          <w:color w:val="000000"/>
          <w:sz w:val="22"/>
          <w:szCs w:val="22"/>
        </w:rPr>
        <w:t xml:space="preserve"> chapters six and seven; and the impacts upon the political ecologies of illicit caviar trade discussed in chapters four and five.</w:t>
      </w:r>
      <w:r w:rsidRPr="00A245AA">
        <w:rPr>
          <w:color w:val="000000"/>
          <w:sz w:val="22"/>
          <w:szCs w:val="22"/>
        </w:rPr>
        <w:t xml:space="preserve"> Sturgeon reveal these </w:t>
      </w:r>
      <w:r w:rsidR="004C3879">
        <w:rPr>
          <w:color w:val="000000"/>
          <w:sz w:val="22"/>
          <w:szCs w:val="22"/>
        </w:rPr>
        <w:t>regulatory omissions and ambiguities</w:t>
      </w:r>
      <w:r w:rsidRPr="00A245AA">
        <w:rPr>
          <w:color w:val="000000"/>
          <w:sz w:val="22"/>
          <w:szCs w:val="22"/>
        </w:rPr>
        <w:t xml:space="preserve">, and in doing so </w:t>
      </w:r>
      <w:r w:rsidR="00B348C4">
        <w:rPr>
          <w:color w:val="000000"/>
          <w:sz w:val="22"/>
          <w:szCs w:val="22"/>
        </w:rPr>
        <w:t>co-</w:t>
      </w:r>
      <w:r w:rsidRPr="00A245AA">
        <w:rPr>
          <w:color w:val="000000"/>
          <w:sz w:val="22"/>
          <w:szCs w:val="22"/>
        </w:rPr>
        <w:t xml:space="preserve">produce </w:t>
      </w:r>
      <w:r w:rsidR="00B348C4">
        <w:rPr>
          <w:color w:val="000000"/>
          <w:sz w:val="22"/>
          <w:szCs w:val="22"/>
        </w:rPr>
        <w:t xml:space="preserve">the </w:t>
      </w:r>
      <w:r w:rsidRPr="00A245AA">
        <w:rPr>
          <w:color w:val="000000"/>
          <w:sz w:val="22"/>
          <w:szCs w:val="22"/>
        </w:rPr>
        <w:t>su</w:t>
      </w:r>
      <w:r w:rsidR="00D62D3E">
        <w:rPr>
          <w:color w:val="000000"/>
          <w:sz w:val="22"/>
          <w:szCs w:val="22"/>
        </w:rPr>
        <w:t>bsequent geopolitical responses. T</w:t>
      </w:r>
      <w:r>
        <w:rPr>
          <w:color w:val="000000"/>
          <w:sz w:val="22"/>
          <w:szCs w:val="22"/>
        </w:rPr>
        <w:t xml:space="preserve">his </w:t>
      </w:r>
      <w:r w:rsidRPr="00A245AA">
        <w:rPr>
          <w:color w:val="000000"/>
          <w:sz w:val="22"/>
          <w:szCs w:val="22"/>
        </w:rPr>
        <w:t xml:space="preserve">therefore situates sturgeon as geopolitically significant. </w:t>
      </w:r>
    </w:p>
    <w:p w14:paraId="19F125C6" w14:textId="684CDB9C" w:rsidR="00D246D6" w:rsidRDefault="00FE14D7" w:rsidP="00FE14D7">
      <w:pPr>
        <w:pStyle w:val="NormalWeb"/>
        <w:spacing w:before="0" w:beforeAutospacing="0" w:after="0" w:afterAutospacing="0" w:line="360" w:lineRule="auto"/>
        <w:jc w:val="both"/>
        <w:rPr>
          <w:color w:val="000000"/>
          <w:sz w:val="22"/>
          <w:szCs w:val="22"/>
        </w:rPr>
      </w:pPr>
      <w:r w:rsidRPr="00A245AA">
        <w:rPr>
          <w:color w:val="000000"/>
          <w:sz w:val="22"/>
          <w:szCs w:val="22"/>
        </w:rPr>
        <w:tab/>
        <w:t xml:space="preserve">Finally, it is important to dwell on why it is necessary to think about sturgeon as both geopolitically significant, and geopolitical actors. I argue that giving space for conceptualising the agency of nonhumans – in this case thinking about sturgeon as ‘living encyclopaedia’ rather than ‘living fossils’ – allows us to take more seriously the definitive role that nonhumans play in co-producing our geopolitical realities. Accepting that nonhumans can illustrate where policies and regulations prove to be unsuccessful or lacking, opens up avenues for producing policy that is more attuned to the needs of nonhumans and their role in geopolitical-ecologies. </w:t>
      </w:r>
    </w:p>
    <w:p w14:paraId="6791CC0E" w14:textId="77777777" w:rsidR="00D246D6" w:rsidRDefault="00D246D6">
      <w:pPr>
        <w:spacing w:line="259" w:lineRule="auto"/>
        <w:jc w:val="left"/>
        <w:rPr>
          <w:rFonts w:cs="Times New Roman"/>
          <w:color w:val="000000"/>
          <w:sz w:val="22"/>
          <w:lang w:eastAsia="en-US"/>
        </w:rPr>
      </w:pPr>
      <w:r>
        <w:rPr>
          <w:color w:val="000000"/>
          <w:sz w:val="22"/>
        </w:rPr>
        <w:br w:type="page"/>
      </w:r>
    </w:p>
    <w:p w14:paraId="415B5807" w14:textId="5F4E33DD" w:rsidR="00FE14D7" w:rsidRDefault="00D246D6" w:rsidP="00EE2D66">
      <w:pPr>
        <w:pStyle w:val="Heading1"/>
      </w:pPr>
      <w:bookmarkStart w:id="107" w:name="_Toc453224260"/>
      <w:r>
        <w:lastRenderedPageBreak/>
        <w:t>Chapter 9: Conclusion</w:t>
      </w:r>
      <w:bookmarkEnd w:id="107"/>
    </w:p>
    <w:p w14:paraId="076D0CBA" w14:textId="7D8DF44A" w:rsidR="005560D3" w:rsidRDefault="005560D3" w:rsidP="005560D3">
      <w:pPr>
        <w:pStyle w:val="Heading2"/>
      </w:pPr>
      <w:bookmarkStart w:id="108" w:name="_Toc453224261"/>
      <w:r>
        <w:t>9.0 Introduction</w:t>
      </w:r>
      <w:bookmarkEnd w:id="108"/>
    </w:p>
    <w:p w14:paraId="33FF9E07" w14:textId="6A30DA47" w:rsidR="00F97852" w:rsidRDefault="00E145C6" w:rsidP="005560D3">
      <w:pPr>
        <w:rPr>
          <w:rFonts w:cs="Times New Roman"/>
          <w:sz w:val="22"/>
        </w:rPr>
      </w:pPr>
      <w:r>
        <w:rPr>
          <w:rFonts w:cs="Times New Roman"/>
          <w:sz w:val="22"/>
        </w:rPr>
        <w:t>This research demonstrates that caviar trade regulations have had unintended geopolitical-ecological implications in the European Union.</w:t>
      </w:r>
      <w:r w:rsidR="00FA10A4">
        <w:rPr>
          <w:rFonts w:cs="Times New Roman"/>
          <w:sz w:val="22"/>
        </w:rPr>
        <w:t xml:space="preserve"> The caviar trade regulations and associated policy mechanisms have indelibly shaped dynamics of illegal caviar trade in the EU. However, the regulatory frameworks have also had wider</w:t>
      </w:r>
      <w:r w:rsidR="003170DB">
        <w:rPr>
          <w:rFonts w:cs="Times New Roman"/>
          <w:sz w:val="22"/>
        </w:rPr>
        <w:t xml:space="preserve"> </w:t>
      </w:r>
      <w:r w:rsidR="00FA10A4">
        <w:rPr>
          <w:rFonts w:cs="Times New Roman"/>
          <w:sz w:val="22"/>
        </w:rPr>
        <w:t>ramifications for EU geopolitic</w:t>
      </w:r>
      <w:r w:rsidR="003170DB">
        <w:rPr>
          <w:rFonts w:cs="Times New Roman"/>
          <w:sz w:val="22"/>
        </w:rPr>
        <w:t>s, economies, and environments. These broader consequences are catalysed by a number of gaps and grey are</w:t>
      </w:r>
      <w:r w:rsidR="003816B4">
        <w:rPr>
          <w:rFonts w:cs="Times New Roman"/>
          <w:sz w:val="22"/>
        </w:rPr>
        <w:t xml:space="preserve">as in the regulatory frameworks. Moreover, sturgeon and caviar bring to light and interact with the inconsistencies and absences in policy, in ways that are inherently geopolitical. Thus, in </w:t>
      </w:r>
      <w:r w:rsidR="00366527">
        <w:rPr>
          <w:rFonts w:cs="Times New Roman"/>
          <w:sz w:val="22"/>
        </w:rPr>
        <w:t>analysing the multifaceted effects of the EU caviar trade regulations, I ultimately conclude that both caviar and sturgeon have a distinct role in shaping the unintended geopolitical-ecological implications of the regulatory frameworks.</w:t>
      </w:r>
      <w:r w:rsidR="003816B4">
        <w:rPr>
          <w:rFonts w:cs="Times New Roman"/>
          <w:sz w:val="22"/>
        </w:rPr>
        <w:t xml:space="preserve"> </w:t>
      </w:r>
      <w:r w:rsidR="00366527">
        <w:rPr>
          <w:rFonts w:cs="Times New Roman"/>
          <w:sz w:val="22"/>
        </w:rPr>
        <w:t xml:space="preserve">To this extent, sturgeon and caviar are unlikely geopolitical actors. </w:t>
      </w:r>
    </w:p>
    <w:p w14:paraId="684F8F31" w14:textId="20B38508" w:rsidR="00F97852" w:rsidRDefault="005560D3" w:rsidP="003816B4">
      <w:pPr>
        <w:ind w:firstLine="720"/>
        <w:rPr>
          <w:rFonts w:cs="Times New Roman"/>
          <w:sz w:val="22"/>
        </w:rPr>
      </w:pPr>
      <w:r>
        <w:rPr>
          <w:rFonts w:cs="Times New Roman"/>
          <w:sz w:val="22"/>
        </w:rPr>
        <w:t xml:space="preserve">Caviar trade in the European Union is regulated via the EU Wildlife trade regulations, which over the last two decades have set out a number of policy mechanisms and related enforcement strategies that are designed to prevent illegal caviar trade and limit overexploitation of endangered wild sturgeon populations in the EU. However, within policy and scholarly circles alike, the impacts and effects of the implementation of caviar trade regulations have garnered limited attention beyond a narrow focus on levels of seizures of contraband caviar. </w:t>
      </w:r>
      <w:r w:rsidR="00F97852">
        <w:rPr>
          <w:rFonts w:cs="Times New Roman"/>
          <w:sz w:val="22"/>
        </w:rPr>
        <w:t xml:space="preserve">Taking the legal frameworks and regulatory mechanisms as the starting point of analysis, I followed-the-policy </w:t>
      </w:r>
      <w:r w:rsidR="00F97852">
        <w:rPr>
          <w:rFonts w:cs="Times New Roman"/>
          <w:sz w:val="22"/>
        </w:rPr>
        <w:fldChar w:fldCharType="begin" w:fldLock="1"/>
      </w:r>
      <w:r w:rsidR="00F97852">
        <w:rPr>
          <w:rFonts w:cs="Times New Roman"/>
          <w:sz w:val="22"/>
        </w:rPr>
        <w:instrText>ADDIN CSL_CITATION {"citationItems":[{"id":"ITEM-1","itemData":{"DOI":"10.1068/a44179","ISSN":"0308518X","abstract":"The paper reflects on the methodological challenges involved in research on the movement and mutation of fast-moving policies, through globalizing networks and across translocal settings. Inspired by the 'follow the thing' methods and by the global ethnography program, it outlines a distended case-study approach to the study of policy mobiilities","author":[{"dropping-particle":"","family":"Peck","given":"Jamie","non-dropping-particle":"","parse-names":false,"suffix":""},{"dropping-particle":"","family":"Theodore","given":"Nik","non-dropping-particle":"","parse-names":false,"suffix":""}],"container-title":"Environment and Planning A","id":"ITEM-1","issue":"1","issued":{"date-parts":[["2012"]]},"page":"21-30","title":"Follow the policy: A distended case approach","type":"article-journal","volume":"44"},"uris":["http://www.mendeley.com/documents/?uuid=5b8ed9ea-1bba-3e46-b815-21f36c135e0a"]}],"mendeley":{"formattedCitation":"(Peck and Theodore, 2012)","plainTextFormattedCitation":"(Peck and Theodore, 2012)","previouslyFormattedCitation":"(Peck and Theodore, 2012)"},"properties":{"noteIndex":0},"schema":"https://github.com/citation-style-language/schema/raw/master/csl-citation.json"}</w:instrText>
      </w:r>
      <w:r w:rsidR="00F97852">
        <w:rPr>
          <w:rFonts w:cs="Times New Roman"/>
          <w:sz w:val="22"/>
        </w:rPr>
        <w:fldChar w:fldCharType="separate"/>
      </w:r>
      <w:r w:rsidR="00F97852" w:rsidRPr="008B3240">
        <w:rPr>
          <w:rFonts w:cs="Times New Roman"/>
          <w:noProof/>
          <w:sz w:val="22"/>
        </w:rPr>
        <w:t>(Peck and Theodore, 2012)</w:t>
      </w:r>
      <w:r w:rsidR="00F97852">
        <w:rPr>
          <w:rFonts w:cs="Times New Roman"/>
          <w:sz w:val="22"/>
        </w:rPr>
        <w:fldChar w:fldCharType="end"/>
      </w:r>
      <w:r w:rsidR="00F97852">
        <w:rPr>
          <w:rFonts w:cs="Times New Roman"/>
          <w:sz w:val="22"/>
        </w:rPr>
        <w:t xml:space="preserve"> to ascertain how caviar trade policies have shaped the geopolitical-ecologies of caviar trade in the European Union. The findings of this research therefore shed necessary empirical light upon the broad – and largely overlooked – implications of regulating caviar trade in the EU. </w:t>
      </w:r>
    </w:p>
    <w:p w14:paraId="6EBA1E07" w14:textId="42D6DDE9" w:rsidR="005560D3" w:rsidRDefault="005560D3" w:rsidP="005560D3">
      <w:pPr>
        <w:ind w:firstLine="720"/>
        <w:rPr>
          <w:rFonts w:cs="Times New Roman"/>
          <w:sz w:val="22"/>
        </w:rPr>
      </w:pPr>
      <w:r>
        <w:rPr>
          <w:rFonts w:cs="Times New Roman"/>
          <w:sz w:val="22"/>
        </w:rPr>
        <w:t xml:space="preserve">Throughout this thesis I develop ‘more-than-human geopolitical ecology’ as the theoretical framework to elucidate my arguments and conclusions. This framework </w:t>
      </w:r>
      <w:r w:rsidR="003816B4">
        <w:rPr>
          <w:rFonts w:cs="Times New Roman"/>
          <w:sz w:val="22"/>
        </w:rPr>
        <w:t>synthesises</w:t>
      </w:r>
      <w:r>
        <w:rPr>
          <w:rFonts w:cs="Times New Roman"/>
          <w:sz w:val="22"/>
        </w:rPr>
        <w:t xml:space="preserve"> and enlivens approaches from environmental geopolitics </w:t>
      </w:r>
      <w:r>
        <w:rPr>
          <w:rFonts w:cs="Times New Roman"/>
          <w:sz w:val="22"/>
        </w:rPr>
        <w:fldChar w:fldCharType="begin" w:fldLock="1"/>
      </w:r>
      <w:r>
        <w:rPr>
          <w:rFonts w:cs="Times New Roman"/>
          <w:sz w:val="22"/>
        </w:rPr>
        <w:instrText>ADDIN CSL_CITATION {"citationItems":[{"id":"ITEM-1","itemData":{"ISBN":"9781788971249","abstract":"\"Elgar Research Agendas outline the future of research in a given area. Leading scholars are given the space to explore their subject in provocative ways, and map out the potential directions of travel. They are relevant but also visionary. Challenging the mainstream view of the environment as either threatening or valuable, this book considers how geographic knowledge can be applied to offer a more nuanced understanding. Framed within geopolitics and using a range of methodologies, the chapters encapsulate different approaches to demonstrate how selective forms of knowledge, measurement, and spatial focus both embody and stabilise power, shaping how people perceive and respond to changing features of human-environment interactions. With key case studies analysed throughout, this will be a timely read for geography and environmental studies scholars. It will also be beneficial to those studying political science and regional studies, as well as those working in NGOs and think tanks\"-- 1. Environmental geopolitics: an introduction to questions and research approaches / Shannon O'Lear -- Part I: Interpreting and measuring the environment -- 2. Getting the measure of nature: the inconspicuous geopolitics of environmental measurement / Brendon Blue and Marc Tadaki -- 3. Science, territory, and the geopolitics of high seas conservation / Noella J. Gray, Leslie Acton, and Lisa M. Campbell -- 4. The geopolitics of environmental global mapping services: an analysis of global forest watch / Birgit Schneider and Lynda Olman -- Part II: Power, knowledge and human-environment interactions -- 5. Conflicts, commodities and the environmental geopolitics of supply chains / Philippe Le Billon and Lauren Shykora -- 6. Underground geopolitics: science, race, and territory in Peru during the late nineteenth century / Matthew Himley -- 7. Local knowledges and environmental governance: making space for alternative futures in the Arctic circumpolar region and the Mekong River Basin / Coleen A. Fox and Christopher Sneddon -- Part III: Overcoming selective spatial focus -- 8. The geopolitics of transportation in the melting Arctic / Frédéric Lasserre and Pierre-Louis Têtu -- 9. Environmental geopolitics of rumor: the sociality of uncertainty during Northern Thailand's smoky season / Mary Mostafanezhad and Olivier Evrard -- 10. Digging deep: crossing scale in the Georgian mining industry / Jesse Swann-Quinn -- 11. Looking ahead: environmental geopolitics research / Shannon O'Lea…","author":[{"dropping-particle":"","family":"O'Lear","given":"Shannon","non-dropping-particle":"","parse-names":false,"suffix":""}],"id":"ITEM-1","issued":{"date-parts":[["2020"]]},"number-of-pages":"192","title":"A research agenda for environmental geopolitics","type":"book"},"uris":["http://www.mendeley.com/documents/?uuid=0f6c42a6-6a63-31f3-a586-43ab6784e788"]},{"id":"ITEM-2","itemData":{"ISBN":"1442265817","abstract":" This thought-provoking and clearly argued text provides a critical geopolitical lens for understanding global environment politics. A subfield of political geography, environmental geopolitics examines how environmental themes are used to support geopolitical arguments and physical realities of power and place. Shannon O’Lear considers common, problematic traits of such familiar but widely misunderstood narratives about human-environment relationships. Mainstream themes about human-environment relationships include narratives about presumed connections between human population trends and resource scarcity; ways in which conflict and violence are linked to resource use or environmental degradation; climate security; and the application of science to solve environmental problems. O’Lear questions these narratives, arguing that the role or meaning of the environment is rarely specified, humans’ role in these situations tends to be considered selectively, and little attention is paid to spatial dimensions of human-environment relationships. She shows that how we tend to think about environmental concerns often obscure value judgments and constrain more dynamic approaches to human-environment relationships. Environmental geopolitics demonstrates how we can question familiar assumptions to generate more just and creative approaches to our many relationships with the environment.\r\n","author":[{"dropping-particle":"","family":"O'Lear","given":"Shannon","non-dropping-particle":"","parse-names":false,"suffix":""}],"id":"ITEM-2","issued":{"date-parts":[["2018"]]},"number-of-pages":"216","title":"Environmental Geopolitics","type":"book"},"uris":["http://www.mendeley.com/documents/?uuid=59389a53-42d6-3563-9aec-f89f03ab5871"]}],"mendeley":{"formattedCitation":"(O’Lear, 2018, 2020)","plainTextFormattedCitation":"(O’Lear, 2018, 2020)","previouslyFormattedCitation":"(O’Lear, 2018, 2020)"},"properties":{"noteIndex":0},"schema":"https://github.com/citation-style-language/schema/raw/master/csl-citation.json"}</w:instrText>
      </w:r>
      <w:r>
        <w:rPr>
          <w:rFonts w:cs="Times New Roman"/>
          <w:sz w:val="22"/>
        </w:rPr>
        <w:fldChar w:fldCharType="separate"/>
      </w:r>
      <w:r w:rsidRPr="00F968AF">
        <w:rPr>
          <w:rFonts w:cs="Times New Roman"/>
          <w:noProof/>
          <w:sz w:val="22"/>
        </w:rPr>
        <w:t>(O’Lear, 2018, 2020)</w:t>
      </w:r>
      <w:r>
        <w:rPr>
          <w:rFonts w:cs="Times New Roman"/>
          <w:sz w:val="22"/>
        </w:rPr>
        <w:fldChar w:fldCharType="end"/>
      </w:r>
      <w:r>
        <w:rPr>
          <w:rFonts w:cs="Times New Roman"/>
          <w:sz w:val="22"/>
        </w:rPr>
        <w:t xml:space="preserve"> and geopolitical ecology </w:t>
      </w:r>
      <w:r>
        <w:rPr>
          <w:rFonts w:cs="Times New Roman"/>
          <w:sz w:val="22"/>
        </w:rPr>
        <w:fldChar w:fldCharType="begin" w:fldLock="1"/>
      </w:r>
      <w:r w:rsidR="00CC32FA">
        <w:rPr>
          <w:rFonts w:cs="Times New Roman"/>
          <w:sz w:val="22"/>
        </w:rPr>
        <w:instrText>ADDIN CSL_CITATION {"citationItems":[{"id":"ITEM-1","itemData":{"DOI":"10.1016/J.POLGEO.2017.03.007","ISSN":"0962-6298","abstract":"The United States military is treating climate change as a crucial factor in its preparation for future conflicts. This concern manifests not only in strategic planning and forward-looking documents, but also in building infrastructural capacity and material provision. Yet, the impetus to ‘green’ the military goes beyond the deployment of existing technologies. We examine several facets of the military's role as an environmental actor, particularly through its promotion of the US Navy's ‘Great Green Fleet’ (GGF), which actively supports the development of advanced biofuels by subsidizing their development and facilitating wider marketization. The GGF promises to reduce military reliance on conventional fossil fuels and reconfigure its energy sourcing, thus reducing dependence on imported hydrocarbons; this is with an eye towards ultimately severing the logistical relationship between existing energy infrastructures and the spaces of military intervention. Taking an integrated lens of political ecology and geopolitics - ‘geopolitical ecology’ - we seek to provide an understanding of the production of weaponized nature. We demonstrate that the US military's discursive use of climate change to justify the provision of new military hardware and advanced biofuels promotes a vision of resource conflicts to support the development of technologies to overcome the constraints to delivery of fuel to emergent front lines. We argue that while this may appear to be militarized greenwashing, it signals a shift in the logics and practices of fuel sourcing driven by a dystopian vision of climate change, which the US military played a significant role in creating.","author":[{"dropping-particle":"","family":"Bigger","given":"Patrick","non-dropping-particle":"","parse-names":false,"suffix":""},{"dropping-particle":"","family":"Neimark","given":"Benjamin D.","non-dropping-particle":"","parse-names":false,"suffix":""}],"container-title":"Political Geography","id":"ITEM-1","issued":{"date-parts":[["2017","9","1"]]},"page":"13-22","publisher":"Pergamon","title":"Weaponizing nature: The geopolitical ecology of the US Navy’s biofuel program","type":"article-journal","volume":"60"},"uris":["http://www.mendeley.com/documents/?uuid=284b1a67-7602-3066-a25f-5d25723549cc"]},{"id":"ITEM-2","itemData":{"DOI":"10.1111/tran.12319","ISSN":"14755661","abstract":"This paper examines the US military's impact on climate by analysing the geopolitical ecology of its global logistical supply chains. Our geopolitical ecology framework interrogates the material-ecological metabolic flows (hydrocarbon-based fuels, water, sand, concrete) that shape geopolitical and geoeconomic power relations. We argue that to account for the US military as a major climate actor, one must understand the logistical supply chain that makes its acquisition and consumption of hydrocarbon-based fuels possible. Our paper focuses on the US Defense Logistics Agency – Energy (DLA-E), a large yet virtually unresearched sub-agency within the US Department of Defense. The DLA-E is the primary purchase-point for hydrocarbon-based fuels for the US military, as well as a powerful actor in the global oil market. After outlining our geopolitical ecology approach, we detail the scope of the DLA-E's operations, its supply chain, bureaucratic practices, and the physical infrastructure that facilitates the US military's consumption of hydro-based carbons on a global scale. We show several “path dependencies” – warfighting paradigms, weapons systems, bureaucratic requirements, and waste – that are put in place by military supply chains and undergird a heavy reliance on carbon-based fuels by the US military for years to come. The paper, based on comprehensive records of bulk fuel purchases we have gathered from DLA-E through Freedom of Information Act requests, represents a partial yet robust picture of the geopolitical ecology of American imperialism.","author":[{"dropping-particle":"","family":"Belcher","given":"Oliver","non-dropping-particle":"","parse-names":false,"suffix":""},{"dropping-particle":"","family":"Bigger","given":"Patrick","non-dropping-particle":"","parse-names":false,"suffix":""},{"dropping-particle":"","family":"Neimark","given":"Ben","non-dropping-particle":"","parse-names":false,"suffix":""},{"dropping-particle":"","family":"Kennelly","given":"Cara","non-dropping-particle":"","parse-names":false,"suffix":""}],"container-title":"Transactions of the Institute of British Geographers","id":"ITEM-2","issue":"May","issued":{"date-parts":[["2019"]]},"page":"1-16","title":"Hidden carbon costs of the “everywhere war”: Logistics, geopolitical ecology, and the carbon boot-print of the US military","type":"article-journal"},"uris":["http://www.mendeley.com/documents/?uuid=8269da4a-ff8f-4dd0-9952-fd48160f3b55"]},{"id":"ITEM-3","itemData":{"DOI":"10.1016/j.worlddev.2020.104958","ISSN":"18735991","abstract":"In this article we develop a geopolitical ecology of foreign conservation assistance. While the literature on the political nature of foreign assistance writ large highlights how geopolitical agendas are pursued through foreign assistance, we focus on how this geopolitics of foreign assistance articulates with biodiversity conservation concerns. We draw attention to how conservation donor agencies negotiate shifting geopolitical contexts in which the protection of biodiversity from the illegal wildlife trade (IWT) is increasingly framed in the language of national security concerns. We ask: Does framing IWT as a national security concern shape the allocation of foreign conservation assistance? What can answering this question tell us, both empirically and conceptually, about the geopolitical ecology of foreign conservation assistance specifically, and about the meaning of biodiversity conservation efforts to the state more broadly? We approach these questions by combining in-depth qualitative and quantitative analyses of the foreign conservation assistance provided by the US’ lead wildlife conservation agency, the United States Fish and Wildlife Service (USFWS). Between 2002 to the end of fiscal year 2018, the USFWS Division of International Affairs provided assistance to 4142 projects across 106 countries worth over USD $301 million. Our results show that an increasing portion of foreign assistance for biodiversity conservation is allocated to projects that have the specific objective of combating wildlife trafficking (CWT) at the expense of other conservation priorities. This transformation of what it means to fund conservation work overseas, we argue, lies at the heart of an emerging and intensifying geopolitical ecology of conservation, marked by increasing efforts to link the illicit harvesting and trafficking of wildlife with concerns about threats to national security. We conclude by discussing what a geopolitical ecology lens offers for understanding international assistance, biodiversity conservation, more traditional geopolitical concerns, and the intersections between them.","author":[{"dropping-particle":"","family":"Massé","given":"Francis","non-dropping-particle":"","parse-names":false,"suffix":""},{"dropping-particle":"","family":"Margulies","given":"Jared D.","non-dropping-particle":"","parse-names":false,"suffix":""}],"container-title":"World Development","id":"ITEM-3","issued":{"date-parts":[["2020"]]},"page":"104958","publisher":"The Authors","title":"The geopolitical ecology of conservation: The emergence of illegal wildlife trade as national security interest and the re-shaping of US foreign conservation assistance","type":"article-journal","volume":"132"},"uris":["http://www.mendeley.com/documents/?uuid=1401e36b-7eb2-43dc-ab48-f61cc16a8da5"]}],"mendeley":{"formattedCitation":"(Bigger and Neimark, 2017; Belcher &lt;i&gt;et al.&lt;/i&gt;, 2019; Francis Massé and Margulies, 2020)","plainTextFormattedCitation":"(Bigger and Neimark, 2017; Belcher et al., 2019; Francis Massé and Margulies, 2020)","previouslyFormattedCitation":"(Bigger and Neimark, 2017; Belcher &lt;i&gt;et al.&lt;/i&gt;, 2019; Francis Massé and Margulies, 2020)"},"properties":{"noteIndex":0},"schema":"https://github.com/citation-style-language/schema/raw/master/csl-citation.json"}</w:instrText>
      </w:r>
      <w:r>
        <w:rPr>
          <w:rFonts w:cs="Times New Roman"/>
          <w:sz w:val="22"/>
        </w:rPr>
        <w:fldChar w:fldCharType="separate"/>
      </w:r>
      <w:r w:rsidR="00D503EA" w:rsidRPr="00D503EA">
        <w:rPr>
          <w:rFonts w:cs="Times New Roman"/>
          <w:noProof/>
          <w:sz w:val="22"/>
        </w:rPr>
        <w:t xml:space="preserve">(Bigger and Neimark, 2017; Belcher </w:t>
      </w:r>
      <w:r w:rsidR="00D503EA" w:rsidRPr="00D503EA">
        <w:rPr>
          <w:rFonts w:cs="Times New Roman"/>
          <w:i/>
          <w:noProof/>
          <w:sz w:val="22"/>
        </w:rPr>
        <w:t>et al.</w:t>
      </w:r>
      <w:r w:rsidR="00D503EA" w:rsidRPr="00D503EA">
        <w:rPr>
          <w:rFonts w:cs="Times New Roman"/>
          <w:noProof/>
          <w:sz w:val="22"/>
        </w:rPr>
        <w:t>, 2019; Francis Massé and Margulies, 2020)</w:t>
      </w:r>
      <w:r>
        <w:rPr>
          <w:rFonts w:cs="Times New Roman"/>
          <w:sz w:val="22"/>
        </w:rPr>
        <w:fldChar w:fldCharType="end"/>
      </w:r>
      <w:r>
        <w:rPr>
          <w:rFonts w:cs="Times New Roman"/>
          <w:sz w:val="22"/>
        </w:rPr>
        <w:t xml:space="preserve">, through a more-than-human theoretical lens. I develop this theoretical framework based upon my conclusions outlined in chapter two. Namely, that whilst useful </w:t>
      </w:r>
      <w:r w:rsidR="003816B4">
        <w:rPr>
          <w:rFonts w:cs="Times New Roman"/>
          <w:sz w:val="22"/>
        </w:rPr>
        <w:t>foundations for theorising how “</w:t>
      </w:r>
      <w:r>
        <w:rPr>
          <w:rFonts w:cs="Times New Roman"/>
          <w:sz w:val="22"/>
        </w:rPr>
        <w:t>large geopolitical institutions eme</w:t>
      </w:r>
      <w:r w:rsidR="003816B4">
        <w:rPr>
          <w:rFonts w:cs="Times New Roman"/>
          <w:sz w:val="22"/>
        </w:rPr>
        <w:t>rge as key environmental actors” that “</w:t>
      </w:r>
      <w:r>
        <w:rPr>
          <w:rFonts w:cs="Times New Roman"/>
          <w:sz w:val="22"/>
        </w:rPr>
        <w:t>def</w:t>
      </w:r>
      <w:r w:rsidR="003816B4">
        <w:rPr>
          <w:rFonts w:cs="Times New Roman"/>
          <w:sz w:val="22"/>
        </w:rPr>
        <w:t xml:space="preserve">ine, control and manage nature” </w:t>
      </w:r>
      <w:r>
        <w:rPr>
          <w:rFonts w:cs="Times New Roman"/>
          <w:sz w:val="22"/>
        </w:rPr>
        <w:t xml:space="preserve">(Bigger and Neimark, 2017:20); neither geopolitical ecology nor environmental geopolitics approaches can adequately account for the role of sturgeon and caviar in shaping the intersections of geopolitics, political economy, and environmental change that emerge through efforts to regulate caviar trade in the EU. Rather, the two approaches can only go as far as to explain how caviar and sturgeon are positioned as geopolitical subjects that large environmental actors seek to manage. To this extent, the theoretical framework developed in this thesis makes an original contribution by pointing to the wider </w:t>
      </w:r>
      <w:r>
        <w:rPr>
          <w:rFonts w:cs="Times New Roman"/>
          <w:sz w:val="22"/>
        </w:rPr>
        <w:lastRenderedPageBreak/>
        <w:t xml:space="preserve">importance of theorising the role of nonhuman nature as an active force that co-produces geopolitical-ecologies alongside human actors. </w:t>
      </w:r>
    </w:p>
    <w:p w14:paraId="3FFFD360" w14:textId="6626F2D8" w:rsidR="005560D3" w:rsidRDefault="000B11BB" w:rsidP="000B11BB">
      <w:pPr>
        <w:ind w:firstLine="720"/>
        <w:rPr>
          <w:rFonts w:cs="Times New Roman"/>
          <w:sz w:val="22"/>
        </w:rPr>
      </w:pPr>
      <w:r>
        <w:rPr>
          <w:rFonts w:cs="Times New Roman"/>
          <w:sz w:val="22"/>
        </w:rPr>
        <w:t>In section 9.1, I first outline</w:t>
      </w:r>
      <w:r w:rsidR="005560D3">
        <w:rPr>
          <w:rFonts w:cs="Times New Roman"/>
          <w:sz w:val="22"/>
        </w:rPr>
        <w:t xml:space="preserve"> </w:t>
      </w:r>
      <w:r>
        <w:rPr>
          <w:rFonts w:cs="Times New Roman"/>
          <w:sz w:val="22"/>
        </w:rPr>
        <w:t xml:space="preserve">how </w:t>
      </w:r>
      <w:r w:rsidR="005560D3">
        <w:rPr>
          <w:rFonts w:cs="Times New Roman"/>
          <w:sz w:val="22"/>
        </w:rPr>
        <w:t xml:space="preserve">I have categorised the major </w:t>
      </w:r>
      <w:r>
        <w:rPr>
          <w:rFonts w:cs="Times New Roman"/>
          <w:sz w:val="22"/>
        </w:rPr>
        <w:t xml:space="preserve">gaps and grey areas </w:t>
      </w:r>
      <w:r w:rsidR="005560D3">
        <w:rPr>
          <w:rFonts w:cs="Times New Roman"/>
          <w:sz w:val="22"/>
        </w:rPr>
        <w:t xml:space="preserve">in </w:t>
      </w:r>
      <w:r>
        <w:rPr>
          <w:rFonts w:cs="Times New Roman"/>
          <w:sz w:val="22"/>
        </w:rPr>
        <w:t xml:space="preserve">EU </w:t>
      </w:r>
      <w:r w:rsidR="005560D3">
        <w:rPr>
          <w:rFonts w:cs="Times New Roman"/>
          <w:sz w:val="22"/>
        </w:rPr>
        <w:t xml:space="preserve">caviar trade policies according to three classifications: gaps in legislative content; gaps in implementation and enforcement; and gaps in policy narratives. </w:t>
      </w:r>
      <w:r>
        <w:rPr>
          <w:rFonts w:cs="Times New Roman"/>
          <w:sz w:val="22"/>
        </w:rPr>
        <w:t xml:space="preserve">In </w:t>
      </w:r>
      <w:r w:rsidR="005560D3">
        <w:rPr>
          <w:rFonts w:cs="Times New Roman"/>
          <w:sz w:val="22"/>
        </w:rPr>
        <w:t xml:space="preserve">section 9.2 I draw out thematic conclusions to answer the main question guiding this research, namely: </w:t>
      </w:r>
      <w:r w:rsidR="005560D3" w:rsidRPr="00B54058">
        <w:rPr>
          <w:rFonts w:cs="Times New Roman"/>
          <w:i/>
          <w:sz w:val="22"/>
        </w:rPr>
        <w:t>what are the geopolitical-ecological implications of regulating the caviar trade in the European Union</w:t>
      </w:r>
      <w:r w:rsidR="00280169">
        <w:rPr>
          <w:rFonts w:cs="Times New Roman"/>
          <w:sz w:val="22"/>
        </w:rPr>
        <w:t xml:space="preserve">? </w:t>
      </w:r>
      <w:r>
        <w:rPr>
          <w:rFonts w:cs="Times New Roman"/>
          <w:sz w:val="22"/>
        </w:rPr>
        <w:t>I conclude that the</w:t>
      </w:r>
      <w:r w:rsidR="005560D3">
        <w:rPr>
          <w:rFonts w:cs="Times New Roman"/>
          <w:sz w:val="22"/>
        </w:rPr>
        <w:t xml:space="preserve"> caviar trade policies have implications for: illegal caviar trade and the caviar industry; hidden political ecologies; security and power; sturgeon geopolitics and caviar diplomacy. Finally, in section 9.3 I consider the questions and tr</w:t>
      </w:r>
      <w:r>
        <w:rPr>
          <w:rFonts w:cs="Times New Roman"/>
          <w:sz w:val="22"/>
        </w:rPr>
        <w:t xml:space="preserve">ajectories for further research which emerge </w:t>
      </w:r>
      <w:r w:rsidR="005560D3">
        <w:rPr>
          <w:rFonts w:cs="Times New Roman"/>
          <w:sz w:val="22"/>
        </w:rPr>
        <w:t xml:space="preserve">from my analysis. </w:t>
      </w:r>
    </w:p>
    <w:p w14:paraId="545CD939" w14:textId="77777777" w:rsidR="005560D3" w:rsidRPr="00B54058" w:rsidRDefault="005560D3" w:rsidP="005560D3">
      <w:pPr>
        <w:pStyle w:val="Heading2"/>
      </w:pPr>
      <w:bookmarkStart w:id="109" w:name="_Toc453224262"/>
      <w:r w:rsidRPr="00B54058">
        <w:t>9.1 Policy gaps and grey areas</w:t>
      </w:r>
      <w:bookmarkEnd w:id="109"/>
      <w:r w:rsidRPr="00B54058">
        <w:t xml:space="preserve"> </w:t>
      </w:r>
    </w:p>
    <w:p w14:paraId="265ACFBC" w14:textId="7F3F2706" w:rsidR="00A52453" w:rsidRDefault="00A52453" w:rsidP="005560D3">
      <w:pPr>
        <w:rPr>
          <w:rFonts w:cs="Times New Roman"/>
          <w:sz w:val="22"/>
        </w:rPr>
      </w:pPr>
      <w:r>
        <w:rPr>
          <w:rFonts w:cs="Times New Roman"/>
          <w:sz w:val="22"/>
        </w:rPr>
        <w:t>Following the caviar trade policies and analysing their variegated imp</w:t>
      </w:r>
      <w:r w:rsidR="00E9673C">
        <w:rPr>
          <w:rFonts w:cs="Times New Roman"/>
          <w:sz w:val="22"/>
        </w:rPr>
        <w:t>lications</w:t>
      </w:r>
      <w:r>
        <w:rPr>
          <w:rFonts w:cs="Times New Roman"/>
          <w:sz w:val="22"/>
        </w:rPr>
        <w:t xml:space="preserve"> in the European Union, exposed a number of idiosyncrasies and omissions</w:t>
      </w:r>
      <w:r w:rsidR="00E9673C">
        <w:rPr>
          <w:rFonts w:cs="Times New Roman"/>
          <w:sz w:val="22"/>
        </w:rPr>
        <w:t xml:space="preserve"> within the legislative frameworks</w:t>
      </w:r>
      <w:r>
        <w:rPr>
          <w:rFonts w:cs="Times New Roman"/>
          <w:sz w:val="22"/>
        </w:rPr>
        <w:t>. These policy ambiguities have</w:t>
      </w:r>
      <w:r w:rsidR="00E9673C">
        <w:rPr>
          <w:rFonts w:cs="Times New Roman"/>
          <w:sz w:val="22"/>
        </w:rPr>
        <w:t xml:space="preserve"> greatly</w:t>
      </w:r>
      <w:r>
        <w:rPr>
          <w:rFonts w:cs="Times New Roman"/>
          <w:sz w:val="22"/>
        </w:rPr>
        <w:t xml:space="preserve"> influenced the </w:t>
      </w:r>
      <w:r w:rsidR="00E9673C">
        <w:rPr>
          <w:rFonts w:cs="Times New Roman"/>
          <w:sz w:val="22"/>
        </w:rPr>
        <w:t xml:space="preserve">overall impacts of the caviar trade regulations within the EU; and are the root cause of many of the unintended outcomes of the policies. </w:t>
      </w:r>
      <w:r w:rsidR="00F268B2">
        <w:rPr>
          <w:rFonts w:cs="Times New Roman"/>
          <w:sz w:val="22"/>
        </w:rPr>
        <w:t>Furthermore, s</w:t>
      </w:r>
      <w:r w:rsidR="005636CD">
        <w:rPr>
          <w:rFonts w:cs="Times New Roman"/>
          <w:sz w:val="22"/>
        </w:rPr>
        <w:t xml:space="preserve">turgeon and caviar play a role in illuminating the multiple flaws in the permutations of the </w:t>
      </w:r>
      <w:r w:rsidR="00280169">
        <w:rPr>
          <w:rFonts w:cs="Times New Roman"/>
          <w:sz w:val="22"/>
        </w:rPr>
        <w:t xml:space="preserve">EU </w:t>
      </w:r>
      <w:r w:rsidR="005636CD">
        <w:rPr>
          <w:rFonts w:cs="Times New Roman"/>
          <w:sz w:val="22"/>
        </w:rPr>
        <w:t xml:space="preserve">caviar trade policies. Overall, my analysis indicates that </w:t>
      </w:r>
      <w:r w:rsidR="00E9673C">
        <w:rPr>
          <w:rFonts w:cs="Times New Roman"/>
          <w:sz w:val="22"/>
        </w:rPr>
        <w:t xml:space="preserve">the legislative gaps and grey areas fall under three interrelated categories: </w:t>
      </w:r>
      <w:r w:rsidR="005636CD">
        <w:rPr>
          <w:rFonts w:cs="Times New Roman"/>
          <w:sz w:val="22"/>
        </w:rPr>
        <w:t xml:space="preserve">holes </w:t>
      </w:r>
      <w:r w:rsidR="00E9673C">
        <w:rPr>
          <w:rFonts w:cs="Times New Roman"/>
          <w:sz w:val="22"/>
        </w:rPr>
        <w:t xml:space="preserve">in </w:t>
      </w:r>
      <w:r w:rsidR="005636CD">
        <w:rPr>
          <w:rFonts w:cs="Times New Roman"/>
          <w:sz w:val="22"/>
        </w:rPr>
        <w:t>legislative content; inconsistencies in the implementation and enforcement of the caviar trade regulations; and gaps in the dominant policy narratives that frame</w:t>
      </w:r>
      <w:r w:rsidR="00F268B2">
        <w:rPr>
          <w:rFonts w:cs="Times New Roman"/>
          <w:sz w:val="22"/>
        </w:rPr>
        <w:t xml:space="preserve"> and shape</w:t>
      </w:r>
      <w:r w:rsidR="005636CD">
        <w:rPr>
          <w:rFonts w:cs="Times New Roman"/>
          <w:sz w:val="22"/>
        </w:rPr>
        <w:t xml:space="preserve"> the </w:t>
      </w:r>
      <w:r w:rsidR="00F268B2">
        <w:rPr>
          <w:rFonts w:cs="Times New Roman"/>
          <w:sz w:val="22"/>
        </w:rPr>
        <w:t xml:space="preserve">on-going </w:t>
      </w:r>
      <w:r w:rsidR="005636CD">
        <w:rPr>
          <w:rFonts w:cs="Times New Roman"/>
          <w:sz w:val="22"/>
        </w:rPr>
        <w:t xml:space="preserve">regulation of caviar trade in the EU. </w:t>
      </w:r>
    </w:p>
    <w:p w14:paraId="34C91A39" w14:textId="77777777" w:rsidR="00280169" w:rsidRDefault="005560D3" w:rsidP="00846B53">
      <w:pPr>
        <w:ind w:firstLine="720"/>
        <w:rPr>
          <w:rFonts w:cs="Times New Roman"/>
          <w:sz w:val="22"/>
        </w:rPr>
      </w:pPr>
      <w:r>
        <w:rPr>
          <w:rFonts w:cs="Times New Roman"/>
          <w:sz w:val="22"/>
        </w:rPr>
        <w:t xml:space="preserve">First, there are significant gaps and grey areas in the content of the regulations. </w:t>
      </w:r>
      <w:r w:rsidR="00F268B2">
        <w:rPr>
          <w:rFonts w:cs="Times New Roman"/>
          <w:sz w:val="22"/>
        </w:rPr>
        <w:t xml:space="preserve">I describe the content of the EU caviar trade regulations in chapter four, before drawing attention to some of the ambiguities in these policy mechanisms. </w:t>
      </w:r>
      <w:r>
        <w:rPr>
          <w:rFonts w:cs="Times New Roman"/>
          <w:sz w:val="22"/>
        </w:rPr>
        <w:t xml:space="preserve">One such grey area exists in the universal caviar labelling system, where there is a lack of specification about the design of mandatory labels for tins of caviar sold on both domestic and international markets. </w:t>
      </w:r>
      <w:r w:rsidR="00F268B2">
        <w:rPr>
          <w:rFonts w:cs="Times New Roman"/>
          <w:sz w:val="22"/>
        </w:rPr>
        <w:t>Legislative irregularities</w:t>
      </w:r>
      <w:r>
        <w:rPr>
          <w:rFonts w:cs="Times New Roman"/>
          <w:sz w:val="22"/>
        </w:rPr>
        <w:t xml:space="preserve"> </w:t>
      </w:r>
      <w:r w:rsidR="00087628">
        <w:rPr>
          <w:rFonts w:cs="Times New Roman"/>
          <w:sz w:val="22"/>
        </w:rPr>
        <w:t xml:space="preserve">also </w:t>
      </w:r>
      <w:r>
        <w:rPr>
          <w:rFonts w:cs="Times New Roman"/>
          <w:sz w:val="22"/>
        </w:rPr>
        <w:t>exist around the issuance of permits for scientific fishing of wild sturgeon in EU sturgeon range states</w:t>
      </w:r>
      <w:r w:rsidR="00F268B2">
        <w:rPr>
          <w:rFonts w:cs="Times New Roman"/>
          <w:sz w:val="22"/>
        </w:rPr>
        <w:t xml:space="preserve"> (as discussed in chapter eight)</w:t>
      </w:r>
      <w:r>
        <w:rPr>
          <w:rFonts w:cs="Times New Roman"/>
          <w:sz w:val="22"/>
        </w:rPr>
        <w:t xml:space="preserve">. </w:t>
      </w:r>
      <w:r w:rsidR="00F268B2">
        <w:rPr>
          <w:rFonts w:cs="Times New Roman"/>
          <w:sz w:val="22"/>
        </w:rPr>
        <w:t xml:space="preserve">Furthermore, </w:t>
      </w:r>
      <w:r w:rsidR="00921C75">
        <w:rPr>
          <w:rFonts w:cs="Times New Roman"/>
          <w:sz w:val="22"/>
        </w:rPr>
        <w:t>scientific grey areas abound in the designation of the ‘</w:t>
      </w:r>
      <w:r w:rsidR="00921C75" w:rsidRPr="00921C75">
        <w:rPr>
          <w:rFonts w:cs="Times New Roman"/>
          <w:i/>
          <w:sz w:val="22"/>
        </w:rPr>
        <w:t>North-West Black Sea and Lower Danube</w:t>
      </w:r>
      <w:r w:rsidR="00921C75">
        <w:rPr>
          <w:rFonts w:cs="Times New Roman"/>
          <w:sz w:val="22"/>
        </w:rPr>
        <w:t xml:space="preserve">’ shared stock in CITES Resolution Conf 12.7 (see chapter eight). The ecological distribution of sturgeon is the crux </w:t>
      </w:r>
      <w:r w:rsidR="00087628">
        <w:rPr>
          <w:rFonts w:cs="Times New Roman"/>
          <w:sz w:val="22"/>
        </w:rPr>
        <w:t>of the scientific uncertainties;</w:t>
      </w:r>
      <w:r w:rsidR="00846B53">
        <w:rPr>
          <w:rFonts w:cs="Times New Roman"/>
          <w:sz w:val="22"/>
        </w:rPr>
        <w:t xml:space="preserve"> and thus understanding the</w:t>
      </w:r>
      <w:r w:rsidR="00921C75">
        <w:rPr>
          <w:rFonts w:cs="Times New Roman"/>
          <w:sz w:val="22"/>
        </w:rPr>
        <w:t xml:space="preserve"> behaviours</w:t>
      </w:r>
      <w:r w:rsidR="00846B53">
        <w:rPr>
          <w:rFonts w:cs="Times New Roman"/>
          <w:sz w:val="22"/>
        </w:rPr>
        <w:t xml:space="preserve"> of sturgeon</w:t>
      </w:r>
      <w:r w:rsidR="00921C75">
        <w:rPr>
          <w:rFonts w:cs="Times New Roman"/>
          <w:sz w:val="22"/>
        </w:rPr>
        <w:t xml:space="preserve"> becomes imperative for resolving</w:t>
      </w:r>
      <w:r w:rsidR="00087628">
        <w:rPr>
          <w:rFonts w:cs="Times New Roman"/>
          <w:sz w:val="22"/>
        </w:rPr>
        <w:t xml:space="preserve"> both the policy ambiguities and</w:t>
      </w:r>
      <w:r w:rsidR="00921C75">
        <w:rPr>
          <w:rFonts w:cs="Times New Roman"/>
          <w:sz w:val="22"/>
        </w:rPr>
        <w:t xml:space="preserve"> the ensuin</w:t>
      </w:r>
      <w:r w:rsidR="00087628">
        <w:rPr>
          <w:rFonts w:cs="Times New Roman"/>
          <w:sz w:val="22"/>
        </w:rPr>
        <w:t xml:space="preserve">g heated geopolitical debates. </w:t>
      </w:r>
    </w:p>
    <w:p w14:paraId="270DFF4B" w14:textId="21FFDF17" w:rsidR="00087628" w:rsidRDefault="00087628" w:rsidP="00846B53">
      <w:pPr>
        <w:ind w:firstLine="720"/>
        <w:rPr>
          <w:rFonts w:cs="Times New Roman"/>
          <w:sz w:val="22"/>
        </w:rPr>
      </w:pPr>
      <w:r>
        <w:rPr>
          <w:rFonts w:cs="Times New Roman"/>
          <w:sz w:val="22"/>
        </w:rPr>
        <w:t xml:space="preserve">There are also oversights in the content of the regulatory mechanisms. A significant omission is the lack of provisions for fishing communities whose livelihoods have been criminalized by caviar trade regulations. The </w:t>
      </w:r>
      <w:r w:rsidR="005C6A78">
        <w:rPr>
          <w:rFonts w:cs="Times New Roman"/>
          <w:sz w:val="22"/>
        </w:rPr>
        <w:t>socio-economic consequences</w:t>
      </w:r>
      <w:r>
        <w:rPr>
          <w:rFonts w:cs="Times New Roman"/>
          <w:sz w:val="22"/>
        </w:rPr>
        <w:t xml:space="preserve"> of this policy gap are acute</w:t>
      </w:r>
      <w:r w:rsidR="005C6A78">
        <w:rPr>
          <w:rFonts w:cs="Times New Roman"/>
          <w:sz w:val="22"/>
        </w:rPr>
        <w:t xml:space="preserve"> (with spill-over effects for sturgeon and EU environments)</w:t>
      </w:r>
      <w:r>
        <w:rPr>
          <w:rFonts w:cs="Times New Roman"/>
          <w:sz w:val="22"/>
        </w:rPr>
        <w:t xml:space="preserve">, and I discuss them in chapter four. A </w:t>
      </w:r>
      <w:r w:rsidR="005560D3">
        <w:rPr>
          <w:rFonts w:cs="Times New Roman"/>
          <w:sz w:val="22"/>
        </w:rPr>
        <w:t xml:space="preserve">further omission in </w:t>
      </w:r>
      <w:r w:rsidR="005560D3">
        <w:rPr>
          <w:rFonts w:cs="Times New Roman"/>
          <w:sz w:val="22"/>
        </w:rPr>
        <w:lastRenderedPageBreak/>
        <w:t>the content of caviar trade policies</w:t>
      </w:r>
      <w:r>
        <w:rPr>
          <w:rFonts w:cs="Times New Roman"/>
          <w:sz w:val="22"/>
        </w:rPr>
        <w:t xml:space="preserve"> (examined in chapter </w:t>
      </w:r>
      <w:r w:rsidR="00846B53">
        <w:rPr>
          <w:rFonts w:cs="Times New Roman"/>
          <w:sz w:val="22"/>
        </w:rPr>
        <w:t>six)</w:t>
      </w:r>
      <w:r>
        <w:rPr>
          <w:rFonts w:cs="Times New Roman"/>
          <w:sz w:val="22"/>
        </w:rPr>
        <w:t xml:space="preserve"> is that the ethical dimensions of sturgeon farming have been overlooked in the policy shift towards farmed caviar production. </w:t>
      </w:r>
    </w:p>
    <w:p w14:paraId="35669DCE" w14:textId="77777777" w:rsidR="00280169" w:rsidRDefault="005C6A78" w:rsidP="003275B0">
      <w:pPr>
        <w:ind w:firstLine="720"/>
        <w:rPr>
          <w:rFonts w:cs="Times New Roman"/>
          <w:sz w:val="22"/>
        </w:rPr>
      </w:pPr>
      <w:r>
        <w:rPr>
          <w:rFonts w:cs="Times New Roman"/>
          <w:sz w:val="22"/>
        </w:rPr>
        <w:t>T</w:t>
      </w:r>
      <w:r w:rsidR="005560D3">
        <w:rPr>
          <w:rFonts w:cs="Times New Roman"/>
          <w:sz w:val="22"/>
        </w:rPr>
        <w:t xml:space="preserve">here are </w:t>
      </w:r>
      <w:r>
        <w:rPr>
          <w:rFonts w:cs="Times New Roman"/>
          <w:sz w:val="22"/>
        </w:rPr>
        <w:t xml:space="preserve">also </w:t>
      </w:r>
      <w:r w:rsidR="005560D3">
        <w:rPr>
          <w:rFonts w:cs="Times New Roman"/>
          <w:sz w:val="22"/>
        </w:rPr>
        <w:t>gaps and grey areas in the implementation and enforcement of caviar trade policies within the EU. Chapter four demonstrates that the implementation of a mandatory labelling system for caviar sold on domestic E</w:t>
      </w:r>
      <w:r>
        <w:rPr>
          <w:rFonts w:cs="Times New Roman"/>
          <w:sz w:val="22"/>
        </w:rPr>
        <w:t>U markets is uneven amo</w:t>
      </w:r>
      <w:r w:rsidR="00B15B53">
        <w:rPr>
          <w:rFonts w:cs="Times New Roman"/>
          <w:sz w:val="22"/>
        </w:rPr>
        <w:t>ngst EU Member States. Such inconsistencies</w:t>
      </w:r>
      <w:r>
        <w:rPr>
          <w:rFonts w:cs="Times New Roman"/>
          <w:sz w:val="22"/>
        </w:rPr>
        <w:t xml:space="preserve"> in implementation</w:t>
      </w:r>
      <w:r w:rsidR="005560D3">
        <w:rPr>
          <w:rFonts w:cs="Times New Roman"/>
          <w:sz w:val="22"/>
        </w:rPr>
        <w:t xml:space="preserve"> undermine the effectiveness of the labelling system and provide loopholes for illicit trade. Moreover, chapter five reveals that there are </w:t>
      </w:r>
      <w:r w:rsidR="00B15B53">
        <w:rPr>
          <w:rFonts w:cs="Times New Roman"/>
          <w:sz w:val="22"/>
        </w:rPr>
        <w:t xml:space="preserve">gaps </w:t>
      </w:r>
      <w:r w:rsidR="005560D3">
        <w:rPr>
          <w:rFonts w:cs="Times New Roman"/>
          <w:sz w:val="22"/>
        </w:rPr>
        <w:t xml:space="preserve">in the enforcement of caviar trade policies in the EU. </w:t>
      </w:r>
      <w:r>
        <w:rPr>
          <w:rFonts w:cs="Times New Roman"/>
          <w:sz w:val="22"/>
        </w:rPr>
        <w:t xml:space="preserve">Despite being advocated for as long ago as 2006 at a European Commission workshop on enforcement against sturgeon crimes, there remains a lack of widespread isotope or DNA testing of caviar by customs authorities in the EU. </w:t>
      </w:r>
      <w:r w:rsidR="005560D3">
        <w:rPr>
          <w:rFonts w:cs="Times New Roman"/>
          <w:sz w:val="22"/>
        </w:rPr>
        <w:t xml:space="preserve">The lack of caviar testing is linked to a further issue </w:t>
      </w:r>
      <w:r w:rsidR="00B15B53">
        <w:rPr>
          <w:rFonts w:cs="Times New Roman"/>
          <w:sz w:val="22"/>
        </w:rPr>
        <w:t>that impedes enforcement capacity: gaps in funding. Customs in Western European Member S</w:t>
      </w:r>
      <w:r w:rsidR="005560D3">
        <w:rPr>
          <w:rFonts w:cs="Times New Roman"/>
          <w:sz w:val="22"/>
        </w:rPr>
        <w:t>tates are unable to test caviar indiscriminately du</w:t>
      </w:r>
      <w:r w:rsidR="00B15B53">
        <w:rPr>
          <w:rFonts w:cs="Times New Roman"/>
          <w:sz w:val="22"/>
        </w:rPr>
        <w:t>e to the high costs of testing</w:t>
      </w:r>
      <w:r w:rsidR="005560D3">
        <w:rPr>
          <w:rFonts w:cs="Times New Roman"/>
          <w:sz w:val="22"/>
        </w:rPr>
        <w:t>; and in EU sturgeon range states such as Romania, enforcement control operations are limited by a lack of sophisticated boats, enforcement technologies, and inadequate fuel supplies.</w:t>
      </w:r>
      <w:r w:rsidR="00280169">
        <w:rPr>
          <w:rFonts w:cs="Times New Roman"/>
          <w:sz w:val="22"/>
        </w:rPr>
        <w:t xml:space="preserve"> </w:t>
      </w:r>
    </w:p>
    <w:p w14:paraId="50E889DD" w14:textId="3CC0B35D" w:rsidR="005560D3" w:rsidRDefault="00280169" w:rsidP="003275B0">
      <w:pPr>
        <w:ind w:firstLine="720"/>
        <w:rPr>
          <w:rFonts w:cs="Times New Roman"/>
          <w:sz w:val="22"/>
        </w:rPr>
      </w:pPr>
      <w:r>
        <w:rPr>
          <w:rFonts w:cs="Times New Roman"/>
          <w:sz w:val="22"/>
        </w:rPr>
        <w:t>D</w:t>
      </w:r>
      <w:r w:rsidR="00B15B53">
        <w:rPr>
          <w:rFonts w:cs="Times New Roman"/>
          <w:sz w:val="22"/>
        </w:rPr>
        <w:t xml:space="preserve">espite evidence to suggest that caviar-repacking facilities and farmed caviar production facilities have a role to play in illegal caviar trade (as discussed in chapter five), these facilities are not routinely inspected by enforcement authorities, which points to another hole in the enforcement-chain. </w:t>
      </w:r>
      <w:r w:rsidR="003275B0">
        <w:rPr>
          <w:rFonts w:cs="Times New Roman"/>
          <w:sz w:val="22"/>
        </w:rPr>
        <w:t xml:space="preserve">Finally, there is a wider problem with gaps in enforcement knowledge. </w:t>
      </w:r>
      <w:r w:rsidR="005560D3">
        <w:rPr>
          <w:rFonts w:cs="Times New Roman"/>
          <w:sz w:val="22"/>
        </w:rPr>
        <w:t>Enforcement officials may have limited understanding about sturgeon and caviar specifically, or CITES</w:t>
      </w:r>
      <w:r w:rsidR="003275B0">
        <w:rPr>
          <w:rFonts w:cs="Times New Roman"/>
          <w:sz w:val="22"/>
        </w:rPr>
        <w:t xml:space="preserve"> issues more broadly; and the downgrading </w:t>
      </w:r>
      <w:r w:rsidR="005560D3">
        <w:rPr>
          <w:rFonts w:cs="Times New Roman"/>
          <w:sz w:val="22"/>
        </w:rPr>
        <w:t xml:space="preserve">of sturgeon and caviar as a CITES priority in the EU is likely to only worsen </w:t>
      </w:r>
      <w:r w:rsidR="003275B0">
        <w:rPr>
          <w:rFonts w:cs="Times New Roman"/>
          <w:sz w:val="22"/>
        </w:rPr>
        <w:t>general enforcement knowledge on sturgeon crimes</w:t>
      </w:r>
      <w:r w:rsidR="005560D3">
        <w:rPr>
          <w:rFonts w:cs="Times New Roman"/>
          <w:sz w:val="22"/>
        </w:rPr>
        <w:t xml:space="preserve">. Thus, my analysis illuminates manifold gaps and grey areas in the implementation and enforcement of caviar trade regulations in the EU. </w:t>
      </w:r>
    </w:p>
    <w:p w14:paraId="765857EC" w14:textId="524B186C" w:rsidR="007753C9" w:rsidRDefault="00846B53" w:rsidP="007753C9">
      <w:pPr>
        <w:ind w:firstLine="720"/>
        <w:rPr>
          <w:rFonts w:cs="Times New Roman"/>
          <w:sz w:val="22"/>
        </w:rPr>
      </w:pPr>
      <w:r>
        <w:rPr>
          <w:rFonts w:cs="Times New Roman"/>
          <w:sz w:val="22"/>
        </w:rPr>
        <w:t>Furthermore, I conclude that</w:t>
      </w:r>
      <w:r w:rsidR="005560D3">
        <w:rPr>
          <w:rFonts w:cs="Times New Roman"/>
          <w:sz w:val="22"/>
        </w:rPr>
        <w:t xml:space="preserve"> </w:t>
      </w:r>
      <w:r w:rsidR="003B4175">
        <w:rPr>
          <w:rFonts w:cs="Times New Roman"/>
          <w:sz w:val="22"/>
        </w:rPr>
        <w:t xml:space="preserve">the EU caviar trade regulations are shaped and sustained by a number of dominant policy narratives, which are marred with inconsistencies and selective oversights. </w:t>
      </w:r>
      <w:r w:rsidR="007753C9">
        <w:rPr>
          <w:rFonts w:cs="Times New Roman"/>
          <w:sz w:val="22"/>
        </w:rPr>
        <w:t>In particular, Western European policymakers and enforcement authorities have promulgated narratives that selectively deploy seizure data to proclaim that illegal caviar trade has been replaced as a result of regulatory changes in the EU (see discussion in chapter four). However,</w:t>
      </w:r>
      <w:r w:rsidR="005560D3">
        <w:rPr>
          <w:rFonts w:cs="Times New Roman"/>
          <w:sz w:val="22"/>
        </w:rPr>
        <w:t xml:space="preserve"> the seizure data </w:t>
      </w:r>
      <w:r w:rsidR="007753C9">
        <w:rPr>
          <w:rFonts w:cs="Times New Roman"/>
          <w:sz w:val="22"/>
        </w:rPr>
        <w:t xml:space="preserve">that </w:t>
      </w:r>
      <w:r w:rsidR="005560D3">
        <w:rPr>
          <w:rFonts w:cs="Times New Roman"/>
          <w:sz w:val="22"/>
        </w:rPr>
        <w:t>these narratives rely upon is flawed and incomplete. As such, the</w:t>
      </w:r>
      <w:r w:rsidR="007753C9">
        <w:rPr>
          <w:rFonts w:cs="Times New Roman"/>
          <w:sz w:val="22"/>
        </w:rPr>
        <w:t>se</w:t>
      </w:r>
      <w:r w:rsidR="005560D3">
        <w:rPr>
          <w:rFonts w:cs="Times New Roman"/>
          <w:sz w:val="22"/>
        </w:rPr>
        <w:t xml:space="preserve"> policy narratives are riddled with grey areas and inconsistences. Nevertheless, these narratives have largely taken root in the EU, garnering little critical appraisal in the process. </w:t>
      </w:r>
      <w:r>
        <w:rPr>
          <w:rFonts w:cs="Times New Roman"/>
          <w:sz w:val="22"/>
        </w:rPr>
        <w:t>Moreover, i</w:t>
      </w:r>
      <w:r w:rsidR="007753C9">
        <w:rPr>
          <w:rFonts w:cs="Times New Roman"/>
          <w:sz w:val="22"/>
        </w:rPr>
        <w:t xml:space="preserve">n chapter six I examine the dominant policy narrative that positions farmed caviar production as an example of ‘conservation farming’ </w:t>
      </w:r>
      <w:r w:rsidR="007753C9">
        <w:rPr>
          <w:rFonts w:cs="Times New Roman"/>
          <w:sz w:val="22"/>
        </w:rPr>
        <w:fldChar w:fldCharType="begin" w:fldLock="1"/>
      </w:r>
      <w:r w:rsidR="007753C9">
        <w:rPr>
          <w:rFonts w:cs="Times New Roman"/>
          <w:sz w:val="22"/>
        </w:rPr>
        <w:instrText>ADDIN CSL_CITATION {"citationItems":[{"id":"ITEM-1","itemData":{"DOI":"10.1111/conl.12681","ISSN":"1755263X","abstract":"Thousands of species worldwide are threatened with extinction due to human activities. For some animals, such as elephants, totoaba, and bluefin tuna, population declines are largely driven by hunting. High prices and large profits create a strong incentive for illegal hunting, even in the face of penalties and strict international restrictions against trade. One innovative solution to help reverse the declines of such species is to farm them to increase supply, thereby reducing prices and decreasing hunting incentives. However, this idea has been criticized as impractical, though some examples exist of successful implementation. Here, we evaluate the hurdles facing endangered species farming as a market-based mechanism to reduce illegal harvest of wild populations and provide guidance on when it is most likely to be effective. Using a simple model, we show how farming costs and enforcement of anti-poaching measures are key drivers of success for this solution. We also argue that many of the most promising candidates are aquatic species that have been largely overlooked. Thus, while conservation farming may not be a solution for all endangered species, it should be more seriously considered for species that could be produced quickly and cost-effectively.","author":[{"dropping-particle":"","family":"Gentry","given":"Rebecca R.","non-dropping-particle":"","parse-names":false,"suffix":""},{"dropping-particle":"","family":"Gaines","given":"Steven D.","non-dropping-particle":"","parse-names":false,"suffix":""},{"dropping-particle":"","family":"Gabe","given":"Jeremy S.","non-dropping-particle":"","parse-names":false,"suffix":""},{"dropping-particle":"","family":"Lester","given":"Sarah E.","non-dropping-particle":"","parse-names":false,"suffix":""}],"container-title":"Conservation Letters","id":"ITEM-1","issue":"6","issued":{"date-parts":[["2019"]]},"page":"1-7","title":"Looking to aquatic species for conservation farming success","type":"article-journal","volume":"12"},"uris":["http://www.mendeley.com/documents/?uuid=2d5d891b-ac98-4eee-8e5b-b53ae5e20d0a"]}],"mendeley":{"formattedCitation":"(Gentry &lt;i&gt;et al.&lt;/i&gt;, 2019)","plainTextFormattedCitation":"(Gentry et al., 2019)","previouslyFormattedCitation":"(Gentry &lt;i&gt;et al.&lt;/i&gt;, 2019)"},"properties":{"noteIndex":0},"schema":"https://github.com/citation-style-language/schema/raw/master/csl-citation.json"}</w:instrText>
      </w:r>
      <w:r w:rsidR="007753C9">
        <w:rPr>
          <w:rFonts w:cs="Times New Roman"/>
          <w:sz w:val="22"/>
        </w:rPr>
        <w:fldChar w:fldCharType="separate"/>
      </w:r>
      <w:r w:rsidR="007753C9" w:rsidRPr="005D150D">
        <w:rPr>
          <w:rFonts w:cs="Times New Roman"/>
          <w:noProof/>
          <w:sz w:val="22"/>
        </w:rPr>
        <w:t xml:space="preserve">(Gentry </w:t>
      </w:r>
      <w:r w:rsidR="007753C9" w:rsidRPr="005D150D">
        <w:rPr>
          <w:rFonts w:cs="Times New Roman"/>
          <w:i/>
          <w:noProof/>
          <w:sz w:val="22"/>
        </w:rPr>
        <w:t>et al.</w:t>
      </w:r>
      <w:r w:rsidR="007753C9" w:rsidRPr="005D150D">
        <w:rPr>
          <w:rFonts w:cs="Times New Roman"/>
          <w:noProof/>
          <w:sz w:val="22"/>
        </w:rPr>
        <w:t>, 2019)</w:t>
      </w:r>
      <w:r w:rsidR="007753C9">
        <w:rPr>
          <w:rFonts w:cs="Times New Roman"/>
          <w:sz w:val="22"/>
        </w:rPr>
        <w:fldChar w:fldCharType="end"/>
      </w:r>
      <w:r w:rsidR="007753C9">
        <w:rPr>
          <w:rFonts w:cs="Times New Roman"/>
          <w:sz w:val="22"/>
        </w:rPr>
        <w:t xml:space="preserve"> and ultimately the conservation panacea for endangered wild sturgeon. This narrative </w:t>
      </w:r>
      <w:r w:rsidR="005560D3">
        <w:rPr>
          <w:rFonts w:cs="Times New Roman"/>
          <w:sz w:val="22"/>
        </w:rPr>
        <w:t xml:space="preserve">overlooks important socio-economic-political factors that </w:t>
      </w:r>
      <w:r w:rsidR="007753C9">
        <w:rPr>
          <w:rFonts w:cs="Times New Roman"/>
          <w:sz w:val="22"/>
        </w:rPr>
        <w:t xml:space="preserve">serve to </w:t>
      </w:r>
      <w:r w:rsidR="005560D3">
        <w:rPr>
          <w:rFonts w:cs="Times New Roman"/>
          <w:sz w:val="22"/>
        </w:rPr>
        <w:t>cast doubt over the conservation potential of farmed caviar production</w:t>
      </w:r>
      <w:r w:rsidR="00861385">
        <w:rPr>
          <w:rFonts w:cs="Times New Roman"/>
          <w:sz w:val="22"/>
        </w:rPr>
        <w:t xml:space="preserve">; and I therefore conclude that </w:t>
      </w:r>
      <w:r w:rsidR="007753C9">
        <w:rPr>
          <w:rFonts w:cs="Times New Roman"/>
          <w:sz w:val="22"/>
        </w:rPr>
        <w:t>the conservation benefit of farmed caviar production remains a policy grey area.</w:t>
      </w:r>
    </w:p>
    <w:p w14:paraId="3FB03B9C" w14:textId="19BE5889" w:rsidR="00861385" w:rsidRDefault="00AC7E78" w:rsidP="00AC7E78">
      <w:pPr>
        <w:ind w:firstLine="720"/>
        <w:rPr>
          <w:rFonts w:cs="Times New Roman"/>
          <w:sz w:val="22"/>
        </w:rPr>
      </w:pPr>
      <w:r>
        <w:rPr>
          <w:rFonts w:cs="Times New Roman"/>
          <w:sz w:val="22"/>
        </w:rPr>
        <w:lastRenderedPageBreak/>
        <w:t>Finally</w:t>
      </w:r>
      <w:r w:rsidR="005560D3">
        <w:rPr>
          <w:rFonts w:cs="Times New Roman"/>
          <w:sz w:val="22"/>
        </w:rPr>
        <w:t xml:space="preserve">, </w:t>
      </w:r>
      <w:r w:rsidR="004C1627">
        <w:rPr>
          <w:rFonts w:cs="Times New Roman"/>
          <w:sz w:val="22"/>
        </w:rPr>
        <w:t>I conclude that the dominant policy narratives focusing on the</w:t>
      </w:r>
      <w:r w:rsidR="00F43D8A">
        <w:rPr>
          <w:rFonts w:cs="Times New Roman"/>
          <w:sz w:val="22"/>
        </w:rPr>
        <w:t xml:space="preserve"> ostensibly dissipating</w:t>
      </w:r>
      <w:r>
        <w:rPr>
          <w:rFonts w:cs="Times New Roman"/>
          <w:sz w:val="22"/>
        </w:rPr>
        <w:t xml:space="preserve"> security implications of illegal caviar trade in the EU, </w:t>
      </w:r>
      <w:r w:rsidR="004C1627">
        <w:rPr>
          <w:rFonts w:cs="Times New Roman"/>
          <w:sz w:val="22"/>
        </w:rPr>
        <w:t>fail to acknowledge that the regulatory frameworks have shifted the nature of organised crime and illegal caviar trade in ways that produce new security threats and configurations in the EU. I critique this oversight in po</w:t>
      </w:r>
      <w:r>
        <w:rPr>
          <w:rFonts w:cs="Times New Roman"/>
          <w:sz w:val="22"/>
        </w:rPr>
        <w:t>licy narrative in chapter seven;</w:t>
      </w:r>
      <w:r w:rsidR="004C1627">
        <w:rPr>
          <w:rFonts w:cs="Times New Roman"/>
          <w:sz w:val="22"/>
        </w:rPr>
        <w:t xml:space="preserve"> </w:t>
      </w:r>
      <w:r>
        <w:rPr>
          <w:rFonts w:cs="Times New Roman"/>
          <w:sz w:val="22"/>
        </w:rPr>
        <w:t xml:space="preserve">and instead highlight the alternative and competing </w:t>
      </w:r>
      <w:r w:rsidR="00AD72B2">
        <w:rPr>
          <w:rFonts w:cs="Times New Roman"/>
          <w:sz w:val="22"/>
        </w:rPr>
        <w:t>security framings, which flesh out</w:t>
      </w:r>
      <w:r>
        <w:rPr>
          <w:rFonts w:cs="Times New Roman"/>
          <w:sz w:val="22"/>
        </w:rPr>
        <w:t xml:space="preserve"> some of the gaps in the dominant EU-level security narratives. </w:t>
      </w:r>
    </w:p>
    <w:p w14:paraId="533F6317" w14:textId="41C93F99" w:rsidR="00EF66DC" w:rsidRDefault="005560D3" w:rsidP="00EF66DC">
      <w:pPr>
        <w:ind w:firstLine="720"/>
        <w:rPr>
          <w:rFonts w:cs="Times New Roman"/>
          <w:sz w:val="22"/>
        </w:rPr>
      </w:pPr>
      <w:r>
        <w:rPr>
          <w:rFonts w:cs="Times New Roman"/>
          <w:sz w:val="22"/>
        </w:rPr>
        <w:t>In sum, this thesis brings to light the manifold legislative gaps, grey areas, absences and weaknesses in the caviar trade regulations in the EU.</w:t>
      </w:r>
      <w:r w:rsidR="00F51DE9">
        <w:rPr>
          <w:rFonts w:cs="Times New Roman"/>
          <w:sz w:val="22"/>
        </w:rPr>
        <w:t xml:space="preserve"> My analysis highlights how sturgeon draw attention to these</w:t>
      </w:r>
      <w:r w:rsidR="00F43D8A">
        <w:rPr>
          <w:rFonts w:cs="Times New Roman"/>
          <w:sz w:val="22"/>
        </w:rPr>
        <w:t xml:space="preserve"> discrepancies in caviar trade </w:t>
      </w:r>
      <w:r w:rsidR="00F51DE9">
        <w:rPr>
          <w:rFonts w:cs="Times New Roman"/>
          <w:sz w:val="22"/>
        </w:rPr>
        <w:t>policies through their natural behaviours and inability to migrate (see discussion in chapter eight); and how caviar can confound classification and thereby point to issues inherent to both the labelling system and enforcement activities in the EU (see discussion i</w:t>
      </w:r>
      <w:r w:rsidR="00EF66DC">
        <w:rPr>
          <w:rFonts w:cs="Times New Roman"/>
          <w:sz w:val="22"/>
        </w:rPr>
        <w:t xml:space="preserve">n chapter five). I therefore </w:t>
      </w:r>
      <w:r>
        <w:rPr>
          <w:rFonts w:cs="Times New Roman"/>
          <w:sz w:val="22"/>
        </w:rPr>
        <w:t xml:space="preserve">categorise these </w:t>
      </w:r>
      <w:r w:rsidR="00846B53">
        <w:rPr>
          <w:rFonts w:cs="Times New Roman"/>
          <w:sz w:val="22"/>
        </w:rPr>
        <w:t xml:space="preserve">policy flaws </w:t>
      </w:r>
      <w:r>
        <w:rPr>
          <w:rFonts w:cs="Times New Roman"/>
          <w:sz w:val="22"/>
        </w:rPr>
        <w:t>according to: gaps in the content of caviar trade legislation; gaps in implementation and enforcement of caviar trade regulations; and gaps in the policy narratives that sustain and shape the nature of the regulatory environment in the EU. Ultimately I conclude that that these regulatory gaps and grey areas have produced unintended geopolitical-eco</w:t>
      </w:r>
      <w:r w:rsidR="00846B53">
        <w:rPr>
          <w:rFonts w:cs="Times New Roman"/>
          <w:sz w:val="22"/>
        </w:rPr>
        <w:t>logical implications in the EU, which extend beyond regulating dy</w:t>
      </w:r>
      <w:r w:rsidR="00EF66DC">
        <w:rPr>
          <w:rFonts w:cs="Times New Roman"/>
          <w:sz w:val="22"/>
        </w:rPr>
        <w:t xml:space="preserve">namics of illegal caviar trade. </w:t>
      </w:r>
      <w:r w:rsidR="00846B53">
        <w:rPr>
          <w:rFonts w:cs="Times New Roman"/>
          <w:sz w:val="22"/>
        </w:rPr>
        <w:t xml:space="preserve">I discuss these unintended geopolitical-ecological implications of the regulatory frameworks in the following section. </w:t>
      </w:r>
    </w:p>
    <w:p w14:paraId="778191D7" w14:textId="77777777" w:rsidR="00EF66DC" w:rsidRPr="00846B53" w:rsidRDefault="00EF66DC" w:rsidP="00EF66DC">
      <w:pPr>
        <w:ind w:firstLine="720"/>
        <w:rPr>
          <w:rFonts w:cs="Times New Roman"/>
          <w:sz w:val="22"/>
        </w:rPr>
      </w:pPr>
    </w:p>
    <w:p w14:paraId="34A3DF7E" w14:textId="77777777" w:rsidR="005560D3" w:rsidRPr="00F36F4A" w:rsidRDefault="005560D3" w:rsidP="005560D3">
      <w:pPr>
        <w:pStyle w:val="Heading2"/>
      </w:pPr>
      <w:bookmarkStart w:id="110" w:name="_Toc453224263"/>
      <w:r w:rsidRPr="00F36F4A">
        <w:t>9.2 Implications of regulating the caviar trade in the EU</w:t>
      </w:r>
      <w:bookmarkEnd w:id="110"/>
    </w:p>
    <w:p w14:paraId="02905E62" w14:textId="3A0BD589" w:rsidR="00EF66DC" w:rsidRDefault="00EF66DC" w:rsidP="003672A0">
      <w:pPr>
        <w:rPr>
          <w:rFonts w:cs="Times New Roman"/>
          <w:sz w:val="22"/>
        </w:rPr>
      </w:pPr>
      <w:r>
        <w:rPr>
          <w:rFonts w:cs="Times New Roman"/>
          <w:sz w:val="22"/>
        </w:rPr>
        <w:t xml:space="preserve">This thesis set out to answer: </w:t>
      </w:r>
      <w:r w:rsidRPr="00B54058">
        <w:rPr>
          <w:rFonts w:cs="Times New Roman"/>
          <w:i/>
          <w:sz w:val="22"/>
        </w:rPr>
        <w:t>what are the geopolitical-ecological implications of regulating the caviar trade in the European Union</w:t>
      </w:r>
      <w:r>
        <w:rPr>
          <w:rFonts w:cs="Times New Roman"/>
          <w:sz w:val="22"/>
        </w:rPr>
        <w:t xml:space="preserve">; and </w:t>
      </w:r>
      <w:r w:rsidR="006B6F78">
        <w:rPr>
          <w:rFonts w:cs="Times New Roman"/>
          <w:sz w:val="22"/>
        </w:rPr>
        <w:t xml:space="preserve">I have subsequently </w:t>
      </w:r>
      <w:r>
        <w:rPr>
          <w:rFonts w:cs="Times New Roman"/>
          <w:sz w:val="22"/>
        </w:rPr>
        <w:t xml:space="preserve">demonstrated that the caviar trade regulations have had multifaceted, multi-scalar, and more-than-human implications in the EU. </w:t>
      </w:r>
      <w:r w:rsidR="003672A0">
        <w:rPr>
          <w:rFonts w:cs="Times New Roman"/>
          <w:sz w:val="22"/>
        </w:rPr>
        <w:t xml:space="preserve">To provide conclusions to the research questions, I synthesise the lines of argument developed across the thesis according to the following themes that emerged from my analysis: illegal caviar trade and the caviar industry; hidden political ecologies; security and power; sturgeon geopolitics and caviar diplomacy. </w:t>
      </w:r>
      <w:r w:rsidR="00C7497B">
        <w:rPr>
          <w:rFonts w:cs="Times New Roman"/>
          <w:sz w:val="22"/>
        </w:rPr>
        <w:t xml:space="preserve">These </w:t>
      </w:r>
      <w:r w:rsidR="003672A0">
        <w:rPr>
          <w:rFonts w:cs="Times New Roman"/>
          <w:sz w:val="22"/>
        </w:rPr>
        <w:t xml:space="preserve">intersecting </w:t>
      </w:r>
      <w:r w:rsidR="00C7497B">
        <w:rPr>
          <w:rFonts w:cs="Times New Roman"/>
          <w:sz w:val="22"/>
        </w:rPr>
        <w:t>themes encapsulate the geopolitical-ecological implication</w:t>
      </w:r>
      <w:r w:rsidR="003672A0">
        <w:rPr>
          <w:rFonts w:cs="Times New Roman"/>
          <w:sz w:val="22"/>
        </w:rPr>
        <w:t>s of the caviar trade regulations</w:t>
      </w:r>
      <w:r w:rsidR="00C7497B">
        <w:rPr>
          <w:rFonts w:cs="Times New Roman"/>
          <w:sz w:val="22"/>
        </w:rPr>
        <w:t xml:space="preserve"> in the EU</w:t>
      </w:r>
      <w:r w:rsidR="003672A0">
        <w:rPr>
          <w:rFonts w:cs="Times New Roman"/>
          <w:sz w:val="22"/>
        </w:rPr>
        <w:t xml:space="preserve">, and speak to the theoretical framework for more-than-human geopolitical ecology that I outlined in chapter two. </w:t>
      </w:r>
    </w:p>
    <w:p w14:paraId="0DC1C330" w14:textId="77777777" w:rsidR="005560D3" w:rsidRDefault="005560D3" w:rsidP="005560D3">
      <w:pPr>
        <w:pStyle w:val="Heading3"/>
      </w:pPr>
      <w:r>
        <w:br/>
      </w:r>
      <w:bookmarkStart w:id="111" w:name="_Toc453224264"/>
      <w:r w:rsidRPr="00F36F4A">
        <w:t>Illegal caviar trade and the caviar industry</w:t>
      </w:r>
      <w:bookmarkEnd w:id="111"/>
    </w:p>
    <w:p w14:paraId="174BDE2E" w14:textId="77777777" w:rsidR="008A2739" w:rsidRDefault="005560D3" w:rsidP="005560D3">
      <w:pPr>
        <w:rPr>
          <w:rFonts w:cs="Times New Roman"/>
          <w:sz w:val="22"/>
        </w:rPr>
      </w:pPr>
      <w:r>
        <w:rPr>
          <w:rFonts w:cs="Times New Roman"/>
          <w:sz w:val="22"/>
        </w:rPr>
        <w:t xml:space="preserve">Clearly the principle implication of implementing caviar trade regulations and restrictions upon the catch and harvest of wild sturgeon in the EU, has been the wholesale shift from wild caught caviar to farmed caviar production. Between 1998 and 2006, 97% of the EU’s caviar imports were from wild-caught sturgeon </w:t>
      </w:r>
      <w:r>
        <w:rPr>
          <w:rFonts w:cs="Times New Roman"/>
          <w:sz w:val="22"/>
        </w:rPr>
        <w:fldChar w:fldCharType="begin" w:fldLock="1"/>
      </w:r>
      <w:r>
        <w:rPr>
          <w:rFonts w:cs="Times New Roman"/>
          <w:sz w:val="22"/>
        </w:rPr>
        <w:instrText>ADDIN CSL_CITATION {"citationItems":[{"id":"ITEM-1","itemData":{"author":[{"dropping-particle":"","family":"Engler","given":"Maylynn","non-dropping-particle":"","parse-names":false,"suffix":""},{"dropping-particle":"","family":"Knapp","given":"Amelie","non-dropping-particle":"","parse-names":false,"suffix":""}],"id":"ITEM-1","issued":{"date-parts":[["2008"]]},"title":"PART I. BRIEFING ON THE EVOLUTION OF THE CAVIAR TRADE AND RANGE STATE IMPLEMENTATION OF CITES RESOLUTION CONF. 12.7 (REV. COP 14)","type":"report"},"uris":["http://www.mendeley.com/documents/?uuid=1c1a14d9-1d45-3ab3-b856-7820271ca821"]}],"mendeley":{"formattedCitation":"(Engler and Knapp, 2008)","manualFormatting":"(Engler and Knapp, 2008: 12)","plainTextFormattedCitation":"(Engler and Knapp, 2008)","previouslyFormattedCitation":"(Engler and Knapp, 2008)"},"properties":{"noteIndex":0},"schema":"https://github.com/citation-style-language/schema/raw/master/csl-citation.json"}</w:instrText>
      </w:r>
      <w:r>
        <w:rPr>
          <w:rFonts w:cs="Times New Roman"/>
          <w:sz w:val="22"/>
        </w:rPr>
        <w:fldChar w:fldCharType="separate"/>
      </w:r>
      <w:r w:rsidRPr="00514430">
        <w:rPr>
          <w:rFonts w:cs="Times New Roman"/>
          <w:noProof/>
          <w:sz w:val="22"/>
        </w:rPr>
        <w:t>(Engler and Knapp, 2008</w:t>
      </w:r>
      <w:r>
        <w:rPr>
          <w:rFonts w:cs="Times New Roman"/>
          <w:noProof/>
          <w:sz w:val="22"/>
        </w:rPr>
        <w:t>: 12</w:t>
      </w:r>
      <w:r w:rsidRPr="00514430">
        <w:rPr>
          <w:rFonts w:cs="Times New Roman"/>
          <w:noProof/>
          <w:sz w:val="22"/>
        </w:rPr>
        <w:t>)</w:t>
      </w:r>
      <w:r>
        <w:rPr>
          <w:rFonts w:cs="Times New Roman"/>
          <w:sz w:val="22"/>
        </w:rPr>
        <w:fldChar w:fldCharType="end"/>
      </w:r>
      <w:r>
        <w:rPr>
          <w:rFonts w:cs="Times New Roman"/>
          <w:sz w:val="22"/>
        </w:rPr>
        <w:t xml:space="preserve">; but by 2015, 95% of all global exports of caviar by </w:t>
      </w:r>
      <w:r>
        <w:rPr>
          <w:rFonts w:cs="Times New Roman"/>
          <w:sz w:val="22"/>
        </w:rPr>
        <w:lastRenderedPageBreak/>
        <w:t xml:space="preserve">weight were caviar shipments produced by aquaculture methods </w:t>
      </w:r>
      <w:r>
        <w:rPr>
          <w:rFonts w:cs="Times New Roman"/>
          <w:sz w:val="22"/>
        </w:rPr>
        <w:fldChar w:fldCharType="begin" w:fldLock="1"/>
      </w:r>
      <w:r>
        <w:rPr>
          <w:rFonts w:cs="Times New Roman"/>
          <w:sz w:val="22"/>
        </w:rPr>
        <w:instrText>ADDIN CSL_CITATION {"citationItems":[{"id":"ITEM-1","itemData":{"ISBN":"9781858504360","author":[{"dropping-particle":"","family":"Harris","given":"Lindsay","non-dropping-particle":"","parse-names":false,"suffix":""},{"dropping-particle":"","family":"Shiraishi","given":"Hiromi","non-dropping-particle":"","parse-names":false,"suffix":""}],"id":"ITEM-1","issued":{"date-parts":[["2018"]]},"title":"Understanding the Global Caviar Market: Results of a rapid assessment on trade in sturgeon caviar","type":"book"},"uris":["http://www.mendeley.com/documents/?uuid=b9953e8f-b1a5-46a7-9bf4-15d5dcb4e9c7"]}],"mendeley":{"formattedCitation":"(Harris and Shiraishi, 2018)","manualFormatting":"(Harris and Shiraishi, 2018: 8)","plainTextFormattedCitation":"(Harris and Shiraishi, 2018)","previouslyFormattedCitation":"(Harris and Shiraishi, 2018)"},"properties":{"noteIndex":0},"schema":"https://github.com/citation-style-language/schema/raw/master/csl-citation.json"}</w:instrText>
      </w:r>
      <w:r>
        <w:rPr>
          <w:rFonts w:cs="Times New Roman"/>
          <w:sz w:val="22"/>
        </w:rPr>
        <w:fldChar w:fldCharType="separate"/>
      </w:r>
      <w:r w:rsidRPr="00514430">
        <w:rPr>
          <w:rFonts w:cs="Times New Roman"/>
          <w:noProof/>
          <w:sz w:val="22"/>
        </w:rPr>
        <w:t>(Harris and Shiraishi, 2018</w:t>
      </w:r>
      <w:r>
        <w:rPr>
          <w:rFonts w:cs="Times New Roman"/>
          <w:noProof/>
          <w:sz w:val="22"/>
        </w:rPr>
        <w:t>: 8</w:t>
      </w:r>
      <w:r w:rsidRPr="00514430">
        <w:rPr>
          <w:rFonts w:cs="Times New Roman"/>
          <w:noProof/>
          <w:sz w:val="22"/>
        </w:rPr>
        <w:t>)</w:t>
      </w:r>
      <w:r>
        <w:rPr>
          <w:rFonts w:cs="Times New Roman"/>
          <w:sz w:val="22"/>
        </w:rPr>
        <w:fldChar w:fldCharType="end"/>
      </w:r>
      <w:r>
        <w:rPr>
          <w:rFonts w:cs="Times New Roman"/>
          <w:sz w:val="22"/>
        </w:rPr>
        <w:t xml:space="preserve">. This transformation of the caviar industry has been achieved due to the implementation of strict export quotas, and the increasing rollout of sturgeon fishing bans in the EU and beyond. </w:t>
      </w:r>
    </w:p>
    <w:p w14:paraId="5D69B6D1" w14:textId="4480ABAC" w:rsidR="005560D3" w:rsidRDefault="00DF3960" w:rsidP="008A2739">
      <w:pPr>
        <w:ind w:firstLine="720"/>
        <w:rPr>
          <w:rFonts w:cs="Times New Roman"/>
          <w:sz w:val="22"/>
        </w:rPr>
      </w:pPr>
      <w:r>
        <w:rPr>
          <w:rFonts w:cs="Times New Roman"/>
          <w:sz w:val="22"/>
        </w:rPr>
        <w:t>T</w:t>
      </w:r>
      <w:r w:rsidR="005560D3">
        <w:rPr>
          <w:rFonts w:cs="Times New Roman"/>
          <w:sz w:val="22"/>
        </w:rPr>
        <w:t xml:space="preserve">he significant changes to the caviar industry are viewed in overwhelmingly positive terms by EU policymakers </w:t>
      </w:r>
      <w:r>
        <w:rPr>
          <w:rFonts w:cs="Times New Roman"/>
          <w:sz w:val="22"/>
        </w:rPr>
        <w:t xml:space="preserve">and </w:t>
      </w:r>
      <w:r w:rsidR="005560D3">
        <w:rPr>
          <w:rFonts w:cs="Times New Roman"/>
          <w:sz w:val="22"/>
        </w:rPr>
        <w:t>enforcement officials in Western European member states, as well as caviar industry representatives. Indeed, there is a shared sense amongst these actors</w:t>
      </w:r>
      <w:r>
        <w:rPr>
          <w:rFonts w:cs="Times New Roman"/>
          <w:sz w:val="22"/>
        </w:rPr>
        <w:t xml:space="preserve"> – which I explore in chapter four - </w:t>
      </w:r>
      <w:r w:rsidR="005560D3">
        <w:rPr>
          <w:rFonts w:cs="Times New Roman"/>
          <w:sz w:val="22"/>
        </w:rPr>
        <w:t xml:space="preserve">that the wholesale shift to farmed caviar production has dramatically reduced levels of </w:t>
      </w:r>
      <w:r w:rsidR="008A2739">
        <w:rPr>
          <w:rFonts w:cs="Times New Roman"/>
          <w:sz w:val="22"/>
        </w:rPr>
        <w:t xml:space="preserve">criminality associated with illegal caviar trade, and is easing pressure on wild sturgeon. This is evidenced by reference to the massive reductions in recorded seizures of contraband caviar in the EU over the last two decades. </w:t>
      </w:r>
      <w:r w:rsidR="005560D3">
        <w:rPr>
          <w:rFonts w:cs="Times New Roman"/>
          <w:sz w:val="22"/>
        </w:rPr>
        <w:t>However, my analysis in chapter four scratches beneath the surface of the seizure data</w:t>
      </w:r>
      <w:r w:rsidR="008A2739">
        <w:rPr>
          <w:rFonts w:cs="Times New Roman"/>
          <w:sz w:val="22"/>
        </w:rPr>
        <w:t xml:space="preserve"> used to stabilise these policy narratives,</w:t>
      </w:r>
      <w:r w:rsidR="005560D3">
        <w:rPr>
          <w:rFonts w:cs="Times New Roman"/>
          <w:sz w:val="22"/>
        </w:rPr>
        <w:t xml:space="preserve"> to reveal that the caviar seizure data is incomplete </w:t>
      </w:r>
      <w:r>
        <w:rPr>
          <w:rFonts w:cs="Times New Roman"/>
          <w:sz w:val="22"/>
        </w:rPr>
        <w:t>and riddled with inc</w:t>
      </w:r>
      <w:r w:rsidR="008A2739">
        <w:rPr>
          <w:rFonts w:cs="Times New Roman"/>
          <w:sz w:val="22"/>
        </w:rPr>
        <w:t xml:space="preserve">onsistences. Moreover, the seizure data does not capture the nuances of sturgeon-poaching dynamics in EU Member States; and given the fraudulent trade mechanisms described in chapter five, and gaps in the enforcement chain across the EU, it is therefore unlikely that the seizure data reflects the true extent of illegal caviar trade and criminality in the EU. In this regard, </w:t>
      </w:r>
      <w:r w:rsidR="005560D3">
        <w:rPr>
          <w:rFonts w:cs="Times New Roman"/>
          <w:sz w:val="22"/>
        </w:rPr>
        <w:t xml:space="preserve">the proclamations made by some policymakers and enforcement officials represent a narrow view of the impact of the regulations on illegal caviar trade </w:t>
      </w:r>
      <w:r w:rsidR="008A2739">
        <w:rPr>
          <w:rFonts w:cs="Times New Roman"/>
          <w:sz w:val="22"/>
        </w:rPr>
        <w:t>and the EU caviar industry</w:t>
      </w:r>
      <w:r w:rsidR="005560D3">
        <w:rPr>
          <w:rFonts w:cs="Times New Roman"/>
          <w:sz w:val="22"/>
        </w:rPr>
        <w:t xml:space="preserve">. </w:t>
      </w:r>
    </w:p>
    <w:p w14:paraId="3B975A79" w14:textId="700016B8" w:rsidR="005560D3" w:rsidRDefault="005560D3" w:rsidP="005560D3">
      <w:pPr>
        <w:rPr>
          <w:rFonts w:cs="Times New Roman"/>
          <w:sz w:val="22"/>
        </w:rPr>
      </w:pPr>
      <w:r>
        <w:rPr>
          <w:rFonts w:cs="Times New Roman"/>
          <w:sz w:val="22"/>
        </w:rPr>
        <w:tab/>
        <w:t xml:space="preserve">Rather, in assessing the broader implications of the wholesale shift </w:t>
      </w:r>
      <w:r w:rsidR="004610C4">
        <w:rPr>
          <w:rFonts w:cs="Times New Roman"/>
          <w:sz w:val="22"/>
        </w:rPr>
        <w:t>to farmed caviar production in the EU, I conclude th</w:t>
      </w:r>
      <w:r w:rsidR="00CE5EAB">
        <w:rPr>
          <w:rFonts w:cs="Times New Roman"/>
          <w:sz w:val="22"/>
        </w:rPr>
        <w:t>at illegal caviar trade has simultaneously</w:t>
      </w:r>
      <w:r w:rsidR="004610C4">
        <w:rPr>
          <w:rFonts w:cs="Times New Roman"/>
          <w:sz w:val="22"/>
        </w:rPr>
        <w:t xml:space="preserve"> adopted new guises that take advantage of loopholes and ambiguities in the regulatory frameworks. </w:t>
      </w:r>
      <w:r w:rsidR="00CA2053">
        <w:rPr>
          <w:rFonts w:cs="Times New Roman"/>
          <w:sz w:val="22"/>
        </w:rPr>
        <w:t xml:space="preserve">Illegal caviar trade is known to increasingly take place through ostensibly legal channels, as discussed in chapter five. </w:t>
      </w:r>
      <w:r>
        <w:rPr>
          <w:rFonts w:cs="Times New Roman"/>
          <w:sz w:val="22"/>
        </w:rPr>
        <w:t>I highlight how gaps in enforcement enable illegally harvested caviar to be laundered into sturgeon farms or caviar repackaging facilities, and sold as ‘leg</w:t>
      </w:r>
      <w:r w:rsidR="00CA2053">
        <w:rPr>
          <w:rFonts w:cs="Times New Roman"/>
          <w:sz w:val="22"/>
        </w:rPr>
        <w:t>al’ product on the EU market</w:t>
      </w:r>
      <w:r>
        <w:rPr>
          <w:rFonts w:cs="Times New Roman"/>
          <w:sz w:val="22"/>
        </w:rPr>
        <w:t xml:space="preserve">. Moreover, I theorise the agentic role of caviar and its ‘unknowable’ material properties: arguing that the </w:t>
      </w:r>
      <w:r w:rsidR="00CA2053">
        <w:rPr>
          <w:rFonts w:cs="Times New Roman"/>
          <w:sz w:val="22"/>
        </w:rPr>
        <w:t xml:space="preserve">ambiguous </w:t>
      </w:r>
      <w:r>
        <w:rPr>
          <w:rFonts w:cs="Times New Roman"/>
          <w:sz w:val="22"/>
        </w:rPr>
        <w:t xml:space="preserve">materiality of caviar intersects with loopholes in the regulatory frameworks, with the consequence of establishing a caviar ‘grey market’ </w:t>
      </w:r>
      <w:r>
        <w:rPr>
          <w:rFonts w:cs="Times New Roman"/>
          <w:sz w:val="22"/>
        </w:rPr>
        <w:fldChar w:fldCharType="begin" w:fldLock="1"/>
      </w:r>
      <w:r>
        <w:rPr>
          <w:rFonts w:cs="Times New Roman"/>
          <w:sz w:val="22"/>
        </w:rPr>
        <w:instrText>ADDIN CSL_CITATION {"citationItems":[{"id":"ITEM-1","itemData":{"DOI":"10.1093/oso/9780198794974.001.0001","ISBN":"9780198794974","author":[{"dropping-particle":"","family":"Mackenzie","given":"Simon;","non-dropping-particle":"","parse-names":false,"suffix":""},{"dropping-particle":"","family":"Yates","given":"Donna;","non-dropping-particle":"","parse-names":false,"suffix":""}],"container-title":"The Architecture of Illegal Markets: Towards an Economic Sociology of Illegality in the Economy","id":"ITEM-1","issued":{"date-parts":[["2017"]]},"title":"What Is Grey about the Grey Market in Antiquities?","type":"chapter"},"uris":["http://www.mendeley.com/documents/?uuid=388f00b0-66c6-3fa4-9ec6-6fdc0916ad87"]}],"mendeley":{"formattedCitation":"(Mackenzie and Yates, 2017)","plainTextFormattedCitation":"(Mackenzie and Yates, 2017)","previouslyFormattedCitation":"(Mackenzie and Yates, 2017)"},"properties":{"noteIndex":0},"schema":"https://github.com/citation-style-language/schema/raw/master/csl-citation.json"}</w:instrText>
      </w:r>
      <w:r>
        <w:rPr>
          <w:rFonts w:cs="Times New Roman"/>
          <w:sz w:val="22"/>
        </w:rPr>
        <w:fldChar w:fldCharType="separate"/>
      </w:r>
      <w:r w:rsidRPr="0036787A">
        <w:rPr>
          <w:rFonts w:cs="Times New Roman"/>
          <w:noProof/>
          <w:sz w:val="22"/>
        </w:rPr>
        <w:t>(Mackenzie and Yates, 2017)</w:t>
      </w:r>
      <w:r>
        <w:rPr>
          <w:rFonts w:cs="Times New Roman"/>
          <w:sz w:val="22"/>
        </w:rPr>
        <w:fldChar w:fldCharType="end"/>
      </w:r>
      <w:r w:rsidR="00CA2053">
        <w:rPr>
          <w:rFonts w:cs="Times New Roman"/>
          <w:sz w:val="22"/>
        </w:rPr>
        <w:t xml:space="preserve"> in the EU. This discussion reemphasises the necessity of engaging with the vital material properties of nonhuman objects in order to unde</w:t>
      </w:r>
      <w:r w:rsidR="00752894">
        <w:rPr>
          <w:rFonts w:cs="Times New Roman"/>
          <w:sz w:val="22"/>
        </w:rPr>
        <w:t>rstand macro</w:t>
      </w:r>
      <w:r w:rsidR="00CA2053">
        <w:rPr>
          <w:rFonts w:cs="Times New Roman"/>
          <w:sz w:val="22"/>
        </w:rPr>
        <w:t xml:space="preserve">political processes such as the emergence of the caviar grey market. I conclude that the EU caviar grey market is characterised by </w:t>
      </w:r>
      <w:r>
        <w:rPr>
          <w:rFonts w:cs="Times New Roman"/>
          <w:sz w:val="22"/>
        </w:rPr>
        <w:t xml:space="preserve">the deep intertwining of the legal and illegal caviar industries – so much so, </w:t>
      </w:r>
      <w:r w:rsidR="00CA2053">
        <w:rPr>
          <w:rFonts w:cs="Times New Roman"/>
          <w:sz w:val="22"/>
        </w:rPr>
        <w:t xml:space="preserve">that the two are impossible to </w:t>
      </w:r>
      <w:r>
        <w:rPr>
          <w:rFonts w:cs="Times New Roman"/>
          <w:sz w:val="22"/>
        </w:rPr>
        <w:t xml:space="preserve">disentangle. </w:t>
      </w:r>
    </w:p>
    <w:p w14:paraId="4CAE8E87" w14:textId="055E7FAA" w:rsidR="00AD72B2" w:rsidRDefault="00CA2053" w:rsidP="00765797">
      <w:pPr>
        <w:ind w:firstLine="720"/>
        <w:rPr>
          <w:rFonts w:cs="Times New Roman"/>
          <w:sz w:val="22"/>
        </w:rPr>
      </w:pPr>
      <w:r>
        <w:rPr>
          <w:rFonts w:cs="Times New Roman"/>
          <w:sz w:val="22"/>
        </w:rPr>
        <w:t xml:space="preserve">To this extent, I problematize </w:t>
      </w:r>
      <w:r w:rsidR="005560D3">
        <w:rPr>
          <w:rFonts w:cs="Times New Roman"/>
          <w:sz w:val="22"/>
        </w:rPr>
        <w:t xml:space="preserve">the prevailing view that EU caviar trade regulations have destabilised illegal caviar trade. On the contrary, I conclude that </w:t>
      </w:r>
      <w:r>
        <w:rPr>
          <w:rFonts w:cs="Times New Roman"/>
          <w:sz w:val="22"/>
        </w:rPr>
        <w:t xml:space="preserve">loopholes and inconsistencies in the regulatory frameworks have </w:t>
      </w:r>
      <w:r w:rsidR="00752894">
        <w:rPr>
          <w:rFonts w:cs="Times New Roman"/>
          <w:sz w:val="22"/>
        </w:rPr>
        <w:t xml:space="preserve">shifted the mechanisms of illegal trade, and </w:t>
      </w:r>
      <w:r w:rsidR="005560D3">
        <w:rPr>
          <w:rFonts w:cs="Times New Roman"/>
          <w:sz w:val="22"/>
        </w:rPr>
        <w:t>fostered the development of the grey caviar market in the EU. By applying a more-than-human lens of analysis I demonstrate that the micropolitical properties of caviar have macropolitical</w:t>
      </w:r>
      <w:r w:rsidR="00752894">
        <w:rPr>
          <w:rFonts w:cs="Times New Roman"/>
          <w:sz w:val="22"/>
        </w:rPr>
        <w:t xml:space="preserve"> implications</w:t>
      </w:r>
      <w:r w:rsidR="005560D3">
        <w:rPr>
          <w:rFonts w:cs="Times New Roman"/>
          <w:sz w:val="22"/>
        </w:rPr>
        <w:t xml:space="preserve">. Thus, the caviar grey market </w:t>
      </w:r>
      <w:r w:rsidR="005560D3">
        <w:rPr>
          <w:rFonts w:cs="Times New Roman"/>
          <w:sz w:val="22"/>
        </w:rPr>
        <w:lastRenderedPageBreak/>
        <w:t xml:space="preserve">and emergent forms of illicit caviar trade are arguably unintended (and overlooked) geopolitical-ecological implications of regulating caviar trade in the EU. </w:t>
      </w:r>
    </w:p>
    <w:p w14:paraId="0DC8A9A6" w14:textId="77777777" w:rsidR="005560D3" w:rsidRPr="004B5DAB" w:rsidRDefault="005560D3" w:rsidP="005560D3">
      <w:pPr>
        <w:pStyle w:val="Heading3"/>
      </w:pPr>
      <w:bookmarkStart w:id="112" w:name="_Toc453224265"/>
      <w:r w:rsidRPr="004B5DAB">
        <w:t>Hidden political ecologies</w:t>
      </w:r>
      <w:bookmarkEnd w:id="112"/>
      <w:r w:rsidRPr="004B5DAB">
        <w:t xml:space="preserve"> </w:t>
      </w:r>
    </w:p>
    <w:p w14:paraId="6620FEFF" w14:textId="6B73C6C8" w:rsidR="005560D3" w:rsidRDefault="00906946" w:rsidP="005560D3">
      <w:pPr>
        <w:rPr>
          <w:rFonts w:cs="Times New Roman"/>
          <w:sz w:val="22"/>
        </w:rPr>
      </w:pPr>
      <w:r>
        <w:rPr>
          <w:rFonts w:cs="Times New Roman"/>
          <w:sz w:val="22"/>
        </w:rPr>
        <w:t>T</w:t>
      </w:r>
      <w:r w:rsidR="005560D3">
        <w:rPr>
          <w:rFonts w:cs="Times New Roman"/>
          <w:sz w:val="22"/>
        </w:rPr>
        <w:t xml:space="preserve">he gaps and grey areas in caviar trade regulations have had various hidden political ecological impacts. </w:t>
      </w:r>
      <w:r>
        <w:rPr>
          <w:rFonts w:cs="Times New Roman"/>
          <w:sz w:val="22"/>
        </w:rPr>
        <w:t>C</w:t>
      </w:r>
      <w:r w:rsidR="005560D3">
        <w:rPr>
          <w:rFonts w:cs="Times New Roman"/>
          <w:sz w:val="22"/>
        </w:rPr>
        <w:t>aviar trade regulations have had unequal economic and ecological impacts, which serve to entrench already existing inequalities</w:t>
      </w:r>
      <w:r>
        <w:rPr>
          <w:rFonts w:cs="Times New Roman"/>
          <w:sz w:val="22"/>
        </w:rPr>
        <w:t xml:space="preserve"> in the European Union</w:t>
      </w:r>
      <w:r w:rsidR="005560D3">
        <w:rPr>
          <w:rFonts w:cs="Times New Roman"/>
          <w:sz w:val="22"/>
        </w:rPr>
        <w:t xml:space="preserve">, as well as producing new forms of systemic subordination for both human and nonhuman actors alike. </w:t>
      </w:r>
    </w:p>
    <w:p w14:paraId="6824EE35" w14:textId="77777777" w:rsidR="00AD72B2" w:rsidRDefault="005560D3" w:rsidP="005560D3">
      <w:pPr>
        <w:rPr>
          <w:rFonts w:cs="Times New Roman"/>
          <w:sz w:val="22"/>
        </w:rPr>
      </w:pPr>
      <w:r>
        <w:rPr>
          <w:rFonts w:cs="Times New Roman"/>
          <w:sz w:val="22"/>
        </w:rPr>
        <w:tab/>
      </w:r>
      <w:r w:rsidR="00906946">
        <w:rPr>
          <w:rFonts w:cs="Times New Roman"/>
          <w:sz w:val="22"/>
        </w:rPr>
        <w:t xml:space="preserve">Despite what the dominant policy narratives would suggest, caviar trade regulations in the EU have not been wholly positively received. </w:t>
      </w:r>
      <w:r>
        <w:rPr>
          <w:rFonts w:cs="Times New Roman"/>
          <w:sz w:val="22"/>
        </w:rPr>
        <w:t xml:space="preserve">Rather, NGO representatives who work directly with sturgeon fishing communities, expressed their concerns that the EU regulatory mechanisms have catalysed broad changes to the caviar industry without providing </w:t>
      </w:r>
      <w:r w:rsidR="00C245E3">
        <w:rPr>
          <w:rFonts w:cs="Times New Roman"/>
          <w:sz w:val="22"/>
        </w:rPr>
        <w:t>alternative employment options or compensation for those fishing communities whose live</w:t>
      </w:r>
      <w:r w:rsidR="00512F00">
        <w:rPr>
          <w:rFonts w:cs="Times New Roman"/>
          <w:sz w:val="22"/>
        </w:rPr>
        <w:t xml:space="preserve">lihoods have been criminalized. </w:t>
      </w:r>
      <w:r>
        <w:rPr>
          <w:rFonts w:cs="Times New Roman"/>
          <w:sz w:val="22"/>
        </w:rPr>
        <w:t xml:space="preserve">The ‘delocalization’ </w:t>
      </w:r>
      <w:r>
        <w:rPr>
          <w:rFonts w:cs="Times New Roman"/>
          <w:sz w:val="22"/>
        </w:rPr>
        <w:fldChar w:fldCharType="begin" w:fldLock="1"/>
      </w:r>
      <w:r>
        <w:rPr>
          <w:rFonts w:cs="Times New Roman"/>
          <w:sz w:val="22"/>
        </w:rPr>
        <w:instrText>ADDIN CSL_CITATION {"citationItems":[{"id":"ITEM-1","itemData":{"DOI":"10.1111/raq.12235","ISSN":"17535123","author":[{"dropping-particle":"","family":"Sicuro","given":"Benedetto","non-dropping-particle":"","parse-names":false,"suffix":""}],"container-title":"Reviews in Aquaculture","id":"ITEM-1","issue":"January","issued":{"date-parts":[["2018"]]},"title":"The future of caviar production on the light of social changes: a new dawn for caviar?","type":"article-journal"},"uris":["http://www.mendeley.com/documents/?uuid=20d044f7-7aa0-4c92-b0d6-044f1cb59820"]}],"mendeley":{"formattedCitation":"(Sicuro, 2018)","plainTextFormattedCitation":"(Sicuro, 2018)","previouslyFormattedCitation":"(Sicuro, 2018)"},"properties":{"noteIndex":0},"schema":"https://github.com/citation-style-language/schema/raw/master/csl-citation.json"}</w:instrText>
      </w:r>
      <w:r>
        <w:rPr>
          <w:rFonts w:cs="Times New Roman"/>
          <w:sz w:val="22"/>
        </w:rPr>
        <w:fldChar w:fldCharType="separate"/>
      </w:r>
      <w:r w:rsidRPr="00DA4EFA">
        <w:rPr>
          <w:rFonts w:cs="Times New Roman"/>
          <w:noProof/>
          <w:sz w:val="22"/>
        </w:rPr>
        <w:t>(Sicuro, 2018)</w:t>
      </w:r>
      <w:r>
        <w:rPr>
          <w:rFonts w:cs="Times New Roman"/>
          <w:sz w:val="22"/>
        </w:rPr>
        <w:fldChar w:fldCharType="end"/>
      </w:r>
      <w:r>
        <w:rPr>
          <w:rFonts w:cs="Times New Roman"/>
          <w:sz w:val="22"/>
        </w:rPr>
        <w:t xml:space="preserve"> of the caviar industry combined with the extension of fishing bans in sturgeon range states, has entrenched economic insecurity in the Danube delta where 90% of fishing communities live in near-poverty </w:t>
      </w:r>
      <w:r>
        <w:rPr>
          <w:rFonts w:cs="Times New Roman"/>
          <w:sz w:val="22"/>
        </w:rPr>
        <w:fldChar w:fldCharType="begin" w:fldLock="1"/>
      </w:r>
      <w:r>
        <w:rPr>
          <w:rFonts w:cs="Times New Roman"/>
          <w:sz w:val="22"/>
        </w:rPr>
        <w:instrText>ADDIN CSL_CITATION {"citationItems":[{"id":"ITEM-1","itemData":{"URL":"https://oxpeckers.org/2019/10/caviar-crime-and-corruption/","accessed":{"date-parts":[["2020","5","20"]]},"author":[{"dropping-particle":"","family":"Daea","given":"Marius","non-dropping-particle":"","parse-names":false,"suffix":""}],"container-title":"Oxpeckers","id":"ITEM-1","issued":{"date-parts":[["2019"]]},"title":"Caviar, crime and corruption","type":"webpage"},"uris":["http://www.mendeley.com/documents/?uuid=0e9fd15f-5704-37a0-80cc-9e4ae3d5c0b3"]}],"mendeley":{"formattedCitation":"(Daea, 2019)","plainTextFormattedCitation":"(Daea, 2019)","previouslyFormattedCitation":"(Daea, 2019)"},"properties":{"noteIndex":0},"schema":"https://github.com/citation-style-language/schema/raw/master/csl-citation.json"}</w:instrText>
      </w:r>
      <w:r>
        <w:rPr>
          <w:rFonts w:cs="Times New Roman"/>
          <w:sz w:val="22"/>
        </w:rPr>
        <w:fldChar w:fldCharType="separate"/>
      </w:r>
      <w:r w:rsidRPr="00776B07">
        <w:rPr>
          <w:rFonts w:cs="Times New Roman"/>
          <w:noProof/>
          <w:sz w:val="22"/>
        </w:rPr>
        <w:t>(Daea, 2019)</w:t>
      </w:r>
      <w:r>
        <w:rPr>
          <w:rFonts w:cs="Times New Roman"/>
          <w:sz w:val="22"/>
        </w:rPr>
        <w:fldChar w:fldCharType="end"/>
      </w:r>
      <w:r>
        <w:rPr>
          <w:rFonts w:cs="Times New Roman"/>
          <w:sz w:val="22"/>
        </w:rPr>
        <w:t xml:space="preserve">. </w:t>
      </w:r>
      <w:r w:rsidR="00512F00">
        <w:rPr>
          <w:rFonts w:cs="Times New Roman"/>
          <w:sz w:val="22"/>
        </w:rPr>
        <w:t>T</w:t>
      </w:r>
      <w:r>
        <w:rPr>
          <w:rFonts w:cs="Times New Roman"/>
          <w:sz w:val="22"/>
        </w:rPr>
        <w:t xml:space="preserve">he lack of provision </w:t>
      </w:r>
      <w:r w:rsidR="00512F00">
        <w:rPr>
          <w:rFonts w:cs="Times New Roman"/>
          <w:sz w:val="22"/>
        </w:rPr>
        <w:t xml:space="preserve">directed at easing the socio-economic burden of the regulatory changes upon sturgeon fishing communities, is a significant gap in EU caviar trade policies. </w:t>
      </w:r>
    </w:p>
    <w:p w14:paraId="1AE37799" w14:textId="6BD35240" w:rsidR="005560D3" w:rsidRDefault="005560D3" w:rsidP="00AD72B2">
      <w:pPr>
        <w:ind w:firstLine="720"/>
        <w:rPr>
          <w:rFonts w:cs="Times New Roman"/>
          <w:sz w:val="22"/>
        </w:rPr>
      </w:pPr>
      <w:r>
        <w:rPr>
          <w:rFonts w:cs="Times New Roman"/>
          <w:sz w:val="22"/>
        </w:rPr>
        <w:t xml:space="preserve">Moreover, NGO representatives suggested that the </w:t>
      </w:r>
      <w:r w:rsidR="00512F00">
        <w:rPr>
          <w:rFonts w:cs="Times New Roman"/>
          <w:sz w:val="22"/>
        </w:rPr>
        <w:t xml:space="preserve">resultant </w:t>
      </w:r>
      <w:r>
        <w:rPr>
          <w:rFonts w:cs="Times New Roman"/>
          <w:sz w:val="22"/>
        </w:rPr>
        <w:t>economic insecurity has prompted some sturgeon fishermen to turn to sturgeon poaching. In this sense, sturgeon fisherm</w:t>
      </w:r>
      <w:r w:rsidR="00464D56">
        <w:rPr>
          <w:rFonts w:cs="Times New Roman"/>
          <w:sz w:val="22"/>
        </w:rPr>
        <w:t>en take advantage of another weakness</w:t>
      </w:r>
      <w:r>
        <w:rPr>
          <w:rFonts w:cs="Times New Roman"/>
          <w:sz w:val="22"/>
        </w:rPr>
        <w:t xml:space="preserve"> in the EU regulatory frameworks: </w:t>
      </w:r>
      <w:r w:rsidR="00464D56">
        <w:rPr>
          <w:rFonts w:cs="Times New Roman"/>
          <w:sz w:val="22"/>
        </w:rPr>
        <w:t>lax</w:t>
      </w:r>
      <w:r>
        <w:rPr>
          <w:rFonts w:cs="Times New Roman"/>
          <w:sz w:val="22"/>
        </w:rPr>
        <w:t xml:space="preserve"> enforcemen</w:t>
      </w:r>
      <w:r w:rsidR="00464D56">
        <w:rPr>
          <w:rFonts w:cs="Times New Roman"/>
          <w:sz w:val="22"/>
        </w:rPr>
        <w:t xml:space="preserve">t of legislation, which </w:t>
      </w:r>
      <w:r>
        <w:rPr>
          <w:rFonts w:cs="Times New Roman"/>
          <w:sz w:val="22"/>
        </w:rPr>
        <w:t>make</w:t>
      </w:r>
      <w:r w:rsidR="00464D56">
        <w:rPr>
          <w:rFonts w:cs="Times New Roman"/>
          <w:sz w:val="22"/>
        </w:rPr>
        <w:t>s</w:t>
      </w:r>
      <w:r>
        <w:rPr>
          <w:rFonts w:cs="Times New Roman"/>
          <w:sz w:val="22"/>
        </w:rPr>
        <w:t xml:space="preserve"> it unlikely for </w:t>
      </w:r>
      <w:r w:rsidR="00464D56">
        <w:rPr>
          <w:rFonts w:cs="Times New Roman"/>
          <w:sz w:val="22"/>
        </w:rPr>
        <w:t xml:space="preserve">poachers </w:t>
      </w:r>
      <w:r>
        <w:rPr>
          <w:rFonts w:cs="Times New Roman"/>
          <w:sz w:val="22"/>
        </w:rPr>
        <w:t xml:space="preserve">to be caught or prosecuted for committing sturgeon crimes. Thus, I conclude that EU caviar trade policies have exacerbated deep-rooted inequalities that exist in the caviar industry. The regulatory frameworks have unequal </w:t>
      </w:r>
      <w:r w:rsidR="00D138AE">
        <w:rPr>
          <w:rFonts w:cs="Times New Roman"/>
          <w:sz w:val="22"/>
        </w:rPr>
        <w:t xml:space="preserve">socio-economic </w:t>
      </w:r>
      <w:r>
        <w:rPr>
          <w:rFonts w:cs="Times New Roman"/>
          <w:sz w:val="22"/>
        </w:rPr>
        <w:t>impacts that reinforce inequalities between the caviar industry – which largely benefits from the regulatory changes – and fishing communities in sturgeon range states, whose livelihoods have become more insecure as a result of the regulatory</w:t>
      </w:r>
      <w:r w:rsidR="00464D56">
        <w:rPr>
          <w:rFonts w:cs="Times New Roman"/>
          <w:sz w:val="22"/>
        </w:rPr>
        <w:t xml:space="preserve"> changes</w:t>
      </w:r>
      <w:r>
        <w:rPr>
          <w:rFonts w:cs="Times New Roman"/>
          <w:sz w:val="22"/>
        </w:rPr>
        <w:t xml:space="preserve">. </w:t>
      </w:r>
    </w:p>
    <w:p w14:paraId="04161698" w14:textId="77777777" w:rsidR="002862EF" w:rsidRDefault="005560D3" w:rsidP="005560D3">
      <w:pPr>
        <w:rPr>
          <w:rFonts w:cs="Times New Roman"/>
          <w:sz w:val="22"/>
        </w:rPr>
      </w:pPr>
      <w:r>
        <w:rPr>
          <w:rFonts w:cs="Times New Roman"/>
          <w:sz w:val="22"/>
        </w:rPr>
        <w:tab/>
      </w:r>
      <w:r w:rsidR="00464D56">
        <w:rPr>
          <w:rFonts w:cs="Times New Roman"/>
          <w:sz w:val="22"/>
        </w:rPr>
        <w:t xml:space="preserve">The oversights </w:t>
      </w:r>
      <w:r>
        <w:rPr>
          <w:rFonts w:cs="Times New Roman"/>
          <w:sz w:val="22"/>
        </w:rPr>
        <w:t xml:space="preserve">in EU caviar trade regulations </w:t>
      </w:r>
      <w:r w:rsidR="00464D56">
        <w:rPr>
          <w:rFonts w:cs="Times New Roman"/>
          <w:sz w:val="22"/>
        </w:rPr>
        <w:t xml:space="preserve">also </w:t>
      </w:r>
      <w:r>
        <w:rPr>
          <w:rFonts w:cs="Times New Roman"/>
          <w:sz w:val="22"/>
        </w:rPr>
        <w:t xml:space="preserve">have hidden political ecological implications for sturgeon. </w:t>
      </w:r>
      <w:r w:rsidR="00464D56">
        <w:rPr>
          <w:rFonts w:cs="Times New Roman"/>
          <w:sz w:val="22"/>
        </w:rPr>
        <w:t>The policy move towards farmed caviar production provides a loophole which effectively absolves the caviar industry from</w:t>
      </w:r>
      <w:r>
        <w:rPr>
          <w:rFonts w:cs="Times New Roman"/>
          <w:sz w:val="22"/>
        </w:rPr>
        <w:t xml:space="preserve"> taking responsibility for in-situ sturgeon conservation</w:t>
      </w:r>
      <w:r w:rsidR="00464D56">
        <w:rPr>
          <w:rFonts w:cs="Times New Roman"/>
          <w:sz w:val="22"/>
        </w:rPr>
        <w:t xml:space="preserve"> (as discussed in chapter four)</w:t>
      </w:r>
      <w:r>
        <w:rPr>
          <w:rFonts w:cs="Times New Roman"/>
          <w:sz w:val="22"/>
        </w:rPr>
        <w:t>. Building on this</w:t>
      </w:r>
      <w:r w:rsidR="00464D56">
        <w:rPr>
          <w:rFonts w:cs="Times New Roman"/>
          <w:sz w:val="22"/>
        </w:rPr>
        <w:t xml:space="preserve"> further</w:t>
      </w:r>
      <w:r>
        <w:rPr>
          <w:rFonts w:cs="Times New Roman"/>
          <w:sz w:val="22"/>
        </w:rPr>
        <w:t xml:space="preserve">, in chapter six I demonstrate how the caviar industry present farmed caviar production as a conservation method in and of itself, rather than engaging in in-situ conservation initiatives. </w:t>
      </w:r>
      <w:r w:rsidR="00D138AE">
        <w:rPr>
          <w:rFonts w:cs="Times New Roman"/>
          <w:sz w:val="22"/>
        </w:rPr>
        <w:t>To this extent, the</w:t>
      </w:r>
      <w:r w:rsidR="00464D56">
        <w:rPr>
          <w:rFonts w:cs="Times New Roman"/>
          <w:sz w:val="22"/>
        </w:rPr>
        <w:t xml:space="preserve"> regulatory frameworks have enabled a side-lining of attention to in-situ conservation of wild sturgeon</w:t>
      </w:r>
      <w:r w:rsidR="00D138AE">
        <w:rPr>
          <w:rFonts w:cs="Times New Roman"/>
          <w:sz w:val="22"/>
        </w:rPr>
        <w:t>,</w:t>
      </w:r>
      <w:r w:rsidR="00464D56">
        <w:rPr>
          <w:rFonts w:cs="Times New Roman"/>
          <w:sz w:val="22"/>
        </w:rPr>
        <w:t xml:space="preserve"> in favour of expanding farmed caviar production in the EU. This may compound the ecological insecurity of wild sturgeon; </w:t>
      </w:r>
      <w:r>
        <w:rPr>
          <w:rFonts w:cs="Times New Roman"/>
          <w:sz w:val="22"/>
        </w:rPr>
        <w:t xml:space="preserve">which is further exacerbated by increasing poaching pressure and other stresses including pollution, </w:t>
      </w:r>
      <w:r>
        <w:rPr>
          <w:rFonts w:cs="Times New Roman"/>
          <w:sz w:val="22"/>
        </w:rPr>
        <w:lastRenderedPageBreak/>
        <w:t xml:space="preserve">habitat destruction, and blocking of migratory routes. Practical conservation buy-in from the caviar industry is seen as essential to prevent the extinction of sturgeon in the wild, but as it stands this practical commitment is </w:t>
      </w:r>
      <w:r w:rsidR="00D138AE">
        <w:rPr>
          <w:rFonts w:cs="Times New Roman"/>
          <w:sz w:val="22"/>
        </w:rPr>
        <w:t>limited because it is not mandated by the regulations</w:t>
      </w:r>
      <w:r>
        <w:rPr>
          <w:rFonts w:cs="Times New Roman"/>
          <w:sz w:val="22"/>
        </w:rPr>
        <w:t xml:space="preserve">. </w:t>
      </w:r>
      <w:r w:rsidR="002862EF">
        <w:rPr>
          <w:rFonts w:cs="Times New Roman"/>
          <w:sz w:val="22"/>
        </w:rPr>
        <w:t>Even regulatory bodies such as DG Environment, who are responsible for advocating for sturgeon conservation policy in the EU have ambiguous environmental priorities. C</w:t>
      </w:r>
      <w:r w:rsidR="00AD72B2">
        <w:rPr>
          <w:rFonts w:cs="Times New Roman"/>
          <w:sz w:val="22"/>
        </w:rPr>
        <w:t>hapter eight reveals frictions in EU environmental policy, which ultimately prioritise human en</w:t>
      </w:r>
      <w:r w:rsidR="002862EF">
        <w:rPr>
          <w:rFonts w:cs="Times New Roman"/>
          <w:sz w:val="22"/>
        </w:rPr>
        <w:t xml:space="preserve">ergy needs over sturgeon needs, and may ultimately impede regional sturgeon conservation efforts. </w:t>
      </w:r>
    </w:p>
    <w:p w14:paraId="236FDED5" w14:textId="5E6D6DC1" w:rsidR="005560D3" w:rsidRDefault="005560D3" w:rsidP="002862EF">
      <w:pPr>
        <w:ind w:firstLine="720"/>
        <w:rPr>
          <w:rFonts w:cs="Times New Roman"/>
          <w:sz w:val="22"/>
        </w:rPr>
      </w:pPr>
      <w:r>
        <w:rPr>
          <w:rFonts w:cs="Times New Roman"/>
          <w:sz w:val="22"/>
        </w:rPr>
        <w:t xml:space="preserve">Finally, there are more-than-human political ecological implications for sturgeon in captivity. In chapter six I demonstrate that the EU caviar trade policies exhibit a gap, in that they do not engage with the grey areas around the ethics of farmed caviar production. This can result in unethical farming practices and the overwhelming objectification of farmed sturgeon.  </w:t>
      </w:r>
    </w:p>
    <w:p w14:paraId="1AC8A24C" w14:textId="1554612C" w:rsidR="002862EF" w:rsidRDefault="005560D3" w:rsidP="005560D3">
      <w:pPr>
        <w:rPr>
          <w:rFonts w:cs="Times New Roman"/>
          <w:sz w:val="22"/>
        </w:rPr>
      </w:pPr>
      <w:r>
        <w:rPr>
          <w:rFonts w:cs="Times New Roman"/>
          <w:sz w:val="22"/>
        </w:rPr>
        <w:tab/>
        <w:t xml:space="preserve">In sum, I conclude that the gaps and grey areas in EU caviar trade policies have hidden political-ecological implications for sturgeon fishing communities and sturgeon. </w:t>
      </w:r>
      <w:r w:rsidR="00D138AE">
        <w:rPr>
          <w:rFonts w:cs="Times New Roman"/>
          <w:sz w:val="22"/>
        </w:rPr>
        <w:t>T</w:t>
      </w:r>
      <w:r>
        <w:rPr>
          <w:rFonts w:cs="Times New Roman"/>
          <w:sz w:val="22"/>
        </w:rPr>
        <w:t>hese poli</w:t>
      </w:r>
      <w:r w:rsidR="00D138AE">
        <w:rPr>
          <w:rFonts w:cs="Times New Roman"/>
          <w:sz w:val="22"/>
        </w:rPr>
        <w:t xml:space="preserve">tical-ecological implications are overwhelmingly ‘hidden’ </w:t>
      </w:r>
      <w:r>
        <w:rPr>
          <w:rFonts w:cs="Times New Roman"/>
          <w:sz w:val="22"/>
        </w:rPr>
        <w:t>because they are ov</w:t>
      </w:r>
      <w:r w:rsidR="00D138AE">
        <w:rPr>
          <w:rFonts w:cs="Times New Roman"/>
          <w:sz w:val="22"/>
        </w:rPr>
        <w:t>ershadowed and obscured by the dominant</w:t>
      </w:r>
      <w:r>
        <w:rPr>
          <w:rFonts w:cs="Times New Roman"/>
          <w:sz w:val="22"/>
        </w:rPr>
        <w:t xml:space="preserve"> policy narratives that are told about the impacts of caviar trade regulations in the EU. Indeed, I argue that these hidden political-ecological impacts add necessary nuance to the policy narr</w:t>
      </w:r>
      <w:r w:rsidR="002862EF">
        <w:rPr>
          <w:rFonts w:cs="Times New Roman"/>
          <w:sz w:val="22"/>
        </w:rPr>
        <w:t>ative examined in chapter four:</w:t>
      </w:r>
      <w:r>
        <w:rPr>
          <w:rFonts w:cs="Times New Roman"/>
          <w:sz w:val="22"/>
        </w:rPr>
        <w:t xml:space="preserve"> that sturgeon crimes have been replaced by the regulations; and the narrative explored in chapter six: that farmed caviar production is a conservation panacea for sturgeon. </w:t>
      </w:r>
    </w:p>
    <w:p w14:paraId="79ACD764" w14:textId="77777777" w:rsidR="005560D3" w:rsidRPr="00CE4DAF" w:rsidRDefault="005560D3" w:rsidP="005560D3">
      <w:pPr>
        <w:pStyle w:val="Heading3"/>
      </w:pPr>
      <w:bookmarkStart w:id="113" w:name="_Toc453224266"/>
      <w:r w:rsidRPr="00CE4DAF">
        <w:t>Security and power</w:t>
      </w:r>
      <w:bookmarkEnd w:id="113"/>
    </w:p>
    <w:p w14:paraId="76D02098" w14:textId="5AE27CA0" w:rsidR="005560D3" w:rsidRDefault="00D138AE" w:rsidP="005560D3">
      <w:pPr>
        <w:rPr>
          <w:rFonts w:cs="Times New Roman"/>
          <w:sz w:val="22"/>
        </w:rPr>
      </w:pPr>
      <w:r>
        <w:rPr>
          <w:rFonts w:cs="Times New Roman"/>
          <w:sz w:val="22"/>
        </w:rPr>
        <w:t xml:space="preserve">The </w:t>
      </w:r>
      <w:r w:rsidR="005560D3">
        <w:rPr>
          <w:rFonts w:cs="Times New Roman"/>
          <w:sz w:val="22"/>
        </w:rPr>
        <w:t>caviar trade regulations</w:t>
      </w:r>
      <w:r>
        <w:rPr>
          <w:rFonts w:cs="Times New Roman"/>
          <w:sz w:val="22"/>
        </w:rPr>
        <w:t xml:space="preserve"> also</w:t>
      </w:r>
      <w:r w:rsidR="005560D3">
        <w:rPr>
          <w:rFonts w:cs="Times New Roman"/>
          <w:sz w:val="22"/>
        </w:rPr>
        <w:t xml:space="preserve"> have implications for security dynamics i</w:t>
      </w:r>
      <w:r w:rsidR="002862EF">
        <w:rPr>
          <w:rFonts w:cs="Times New Roman"/>
          <w:sz w:val="22"/>
        </w:rPr>
        <w:t xml:space="preserve">n the EU. </w:t>
      </w:r>
      <w:r w:rsidR="005560D3">
        <w:rPr>
          <w:rFonts w:cs="Times New Roman"/>
          <w:sz w:val="22"/>
        </w:rPr>
        <w:t xml:space="preserve">More specifically, I conclude that the gaps and grey areas in EU caviar trade policies produce numerous – sometimes conflicting – security narratives amongst key actors in the caviar trade milieu in the European Union. </w:t>
      </w:r>
      <w:r w:rsidR="001C0EB5">
        <w:rPr>
          <w:rFonts w:cs="Times New Roman"/>
          <w:sz w:val="22"/>
        </w:rPr>
        <w:t>T</w:t>
      </w:r>
      <w:r w:rsidR="005560D3">
        <w:rPr>
          <w:rFonts w:cs="Times New Roman"/>
          <w:sz w:val="22"/>
        </w:rPr>
        <w:t>he manifold security framings elicit various security-oriented responses.</w:t>
      </w:r>
      <w:r w:rsidR="0057438F">
        <w:rPr>
          <w:rFonts w:cs="Times New Roman"/>
          <w:sz w:val="22"/>
        </w:rPr>
        <w:t xml:space="preserve"> However the security responses that g</w:t>
      </w:r>
      <w:r w:rsidR="002862EF">
        <w:rPr>
          <w:rFonts w:cs="Times New Roman"/>
          <w:sz w:val="22"/>
        </w:rPr>
        <w:t>ain traction, are the ones that</w:t>
      </w:r>
      <w:r w:rsidR="0057438F">
        <w:rPr>
          <w:rFonts w:cs="Times New Roman"/>
          <w:sz w:val="22"/>
        </w:rPr>
        <w:t xml:space="preserve"> are promulgated by powerful geopolitical actors and stabilised with reference to dominant security narratives. </w:t>
      </w:r>
      <w:r w:rsidR="005560D3">
        <w:rPr>
          <w:rFonts w:cs="Times New Roman"/>
          <w:sz w:val="22"/>
        </w:rPr>
        <w:t xml:space="preserve">As a result, </w:t>
      </w:r>
      <w:r w:rsidR="0057438F">
        <w:rPr>
          <w:rFonts w:cs="Times New Roman"/>
          <w:sz w:val="22"/>
        </w:rPr>
        <w:t xml:space="preserve">the </w:t>
      </w:r>
      <w:r w:rsidR="005560D3">
        <w:rPr>
          <w:rFonts w:cs="Times New Roman"/>
          <w:sz w:val="22"/>
        </w:rPr>
        <w:t xml:space="preserve">hegemonic security narratives and related responses largely serve the </w:t>
      </w:r>
      <w:r w:rsidR="0057438F">
        <w:rPr>
          <w:rFonts w:cs="Times New Roman"/>
          <w:sz w:val="22"/>
        </w:rPr>
        <w:t xml:space="preserve">agendas </w:t>
      </w:r>
      <w:r w:rsidR="005560D3">
        <w:rPr>
          <w:rFonts w:cs="Times New Roman"/>
          <w:sz w:val="22"/>
        </w:rPr>
        <w:t>of more powerful groups, and can have negative implications for</w:t>
      </w:r>
      <w:r w:rsidR="0057438F">
        <w:rPr>
          <w:rFonts w:cs="Times New Roman"/>
          <w:sz w:val="22"/>
        </w:rPr>
        <w:t xml:space="preserve"> the security of</w:t>
      </w:r>
      <w:r w:rsidR="005560D3">
        <w:rPr>
          <w:rFonts w:cs="Times New Roman"/>
          <w:sz w:val="22"/>
        </w:rPr>
        <w:t xml:space="preserve"> those human and nonhuman actors with less power. </w:t>
      </w:r>
    </w:p>
    <w:p w14:paraId="297F5E6E" w14:textId="0016B300" w:rsidR="005560D3" w:rsidRDefault="005560D3" w:rsidP="005560D3">
      <w:pPr>
        <w:rPr>
          <w:rFonts w:cs="Times New Roman"/>
          <w:sz w:val="22"/>
        </w:rPr>
      </w:pPr>
      <w:r>
        <w:rPr>
          <w:rFonts w:cs="Times New Roman"/>
          <w:sz w:val="22"/>
        </w:rPr>
        <w:tab/>
      </w:r>
      <w:r w:rsidR="003356CB">
        <w:rPr>
          <w:rFonts w:cs="Times New Roman"/>
          <w:sz w:val="22"/>
        </w:rPr>
        <w:t xml:space="preserve">Moreover, </w:t>
      </w:r>
      <w:r>
        <w:rPr>
          <w:rFonts w:cs="Times New Roman"/>
          <w:sz w:val="22"/>
        </w:rPr>
        <w:t xml:space="preserve">although the conservation credentials of farmed caviar production is </w:t>
      </w:r>
      <w:r w:rsidR="003356CB">
        <w:rPr>
          <w:rFonts w:cs="Times New Roman"/>
          <w:sz w:val="22"/>
        </w:rPr>
        <w:t>overwhelmingly unclear,</w:t>
      </w:r>
      <w:r>
        <w:rPr>
          <w:rFonts w:cs="Times New Roman"/>
          <w:sz w:val="22"/>
        </w:rPr>
        <w:t xml:space="preserve"> a </w:t>
      </w:r>
      <w:r w:rsidR="003356CB">
        <w:rPr>
          <w:rFonts w:cs="Times New Roman"/>
          <w:sz w:val="22"/>
        </w:rPr>
        <w:t>powerful</w:t>
      </w:r>
      <w:r>
        <w:rPr>
          <w:rFonts w:cs="Times New Roman"/>
          <w:sz w:val="22"/>
        </w:rPr>
        <w:t xml:space="preserve"> narrative has emerged that positions farmed caviar production as the conse</w:t>
      </w:r>
      <w:r w:rsidR="003356CB">
        <w:rPr>
          <w:rFonts w:cs="Times New Roman"/>
          <w:sz w:val="22"/>
        </w:rPr>
        <w:t>rvation panacea for sturgeon. P</w:t>
      </w:r>
      <w:r>
        <w:rPr>
          <w:rFonts w:cs="Times New Roman"/>
          <w:sz w:val="22"/>
        </w:rPr>
        <w:t xml:space="preserve">roponents of this narrative use the ‘green pretext’ </w:t>
      </w:r>
      <w:r>
        <w:rPr>
          <w:rFonts w:cs="Times New Roman"/>
          <w:sz w:val="22"/>
        </w:rPr>
        <w:fldChar w:fldCharType="begin" w:fldLock="1"/>
      </w:r>
      <w:r>
        <w:rPr>
          <w:rFonts w:cs="Times New Roman"/>
          <w:sz w:val="22"/>
        </w:rPr>
        <w:instrText>ADDIN CSL_CITATION {"citationItems":[{"id":"ITEM-1","itemData":{"DOI":"10.1080/03066150.2012.658777","ISSN":"03066150","abstract":"While conflict-related dynamics are recognized as causes of land grabbing in Colombia, violent processes of exclusion and expropriation behind 'greener' projects are often seen as disconnected from them. The case of ecotourism in Tayrona National Natural Park makes it possible to explore the geographies of violence that sustain tourism in the area and their role in shaping everyday resource politics. This paper shows how green pretexts of paradisiacal spots in need of protection have contributed to privatization and dispossession. Furthermore, it details how land-grabbing dynamics have been enabled by processes of sociospatial demarcation that produce not-green-enough subjects as bodies-out-of-place. © 2012 Copyright Taylor and Francis Group, LLC.","author":[{"dropping-particle":"","family":"Ojeda","given":"Diana","non-dropping-particle":"","parse-names":false,"suffix":""}],"container-title":"Journal of Peasant Studies","id":"ITEM-1","issue":"2","issued":{"date-parts":[["2012"]]},"page":"357-375","title":"Green pretexts: Ecotourism, neoliberal conservation and land grabbing in Tayrona National Natural Park, Colombia","type":"article-journal","volume":"39"},"uris":["http://www.mendeley.com/documents/?uuid=ac841b65-b0fa-4085-8bce-3c2bdc1b4fb8"]}],"mendeley":{"formattedCitation":"(Ojeda, 2012)","plainTextFormattedCitation":"(Ojeda, 2012)","previouslyFormattedCitation":"(Ojeda, 2012)"},"properties":{"noteIndex":0},"schema":"https://github.com/citation-style-language/schema/raw/master/csl-citation.json"}</w:instrText>
      </w:r>
      <w:r>
        <w:rPr>
          <w:rFonts w:cs="Times New Roman"/>
          <w:sz w:val="22"/>
        </w:rPr>
        <w:fldChar w:fldCharType="separate"/>
      </w:r>
      <w:r w:rsidRPr="000E033B">
        <w:rPr>
          <w:rFonts w:cs="Times New Roman"/>
          <w:noProof/>
          <w:sz w:val="22"/>
        </w:rPr>
        <w:t>(Ojeda, 2012)</w:t>
      </w:r>
      <w:r>
        <w:rPr>
          <w:rFonts w:cs="Times New Roman"/>
          <w:sz w:val="22"/>
        </w:rPr>
        <w:fldChar w:fldCharType="end"/>
      </w:r>
      <w:r w:rsidR="00FF5061">
        <w:rPr>
          <w:rFonts w:cs="Times New Roman"/>
          <w:sz w:val="22"/>
        </w:rPr>
        <w:t xml:space="preserve"> of sturgeon conservation </w:t>
      </w:r>
      <w:r>
        <w:rPr>
          <w:rFonts w:cs="Times New Roman"/>
          <w:sz w:val="22"/>
        </w:rPr>
        <w:t>to pursue the</w:t>
      </w:r>
      <w:r w:rsidR="003356CB">
        <w:rPr>
          <w:rFonts w:cs="Times New Roman"/>
          <w:sz w:val="22"/>
        </w:rPr>
        <w:t xml:space="preserve"> discursive and material</w:t>
      </w:r>
      <w:r>
        <w:rPr>
          <w:rFonts w:cs="Times New Roman"/>
          <w:sz w:val="22"/>
        </w:rPr>
        <w:t xml:space="preserve"> securitization of farmed caviar production</w:t>
      </w:r>
      <w:r w:rsidR="003356CB">
        <w:rPr>
          <w:rFonts w:cs="Times New Roman"/>
          <w:sz w:val="22"/>
        </w:rPr>
        <w:t>, as outlined in chapter six</w:t>
      </w:r>
      <w:r>
        <w:rPr>
          <w:rFonts w:cs="Times New Roman"/>
          <w:sz w:val="22"/>
        </w:rPr>
        <w:t xml:space="preserve">. </w:t>
      </w:r>
      <w:r w:rsidR="00FF5061">
        <w:rPr>
          <w:rFonts w:cs="Times New Roman"/>
          <w:sz w:val="22"/>
        </w:rPr>
        <w:t>C</w:t>
      </w:r>
      <w:r>
        <w:rPr>
          <w:rFonts w:cs="Times New Roman"/>
          <w:sz w:val="22"/>
        </w:rPr>
        <w:t xml:space="preserve">onservation-security narratives </w:t>
      </w:r>
      <w:r w:rsidR="00FF5061">
        <w:rPr>
          <w:rFonts w:cs="Times New Roman"/>
          <w:sz w:val="22"/>
        </w:rPr>
        <w:t xml:space="preserve">are deployed, which </w:t>
      </w:r>
      <w:r>
        <w:rPr>
          <w:rFonts w:cs="Times New Roman"/>
          <w:sz w:val="22"/>
        </w:rPr>
        <w:t>point to a double threat of sturgeon</w:t>
      </w:r>
      <w:r w:rsidR="00FF5061">
        <w:rPr>
          <w:rFonts w:cs="Times New Roman"/>
          <w:sz w:val="22"/>
        </w:rPr>
        <w:t xml:space="preserve"> extinction and organised crime</w:t>
      </w:r>
      <w:r>
        <w:rPr>
          <w:rFonts w:cs="Times New Roman"/>
          <w:sz w:val="22"/>
        </w:rPr>
        <w:t xml:space="preserve"> in order to justify the extension of security logics into the physical infrastructures and practices of farmed caviar production. This process of </w:t>
      </w:r>
      <w:r>
        <w:rPr>
          <w:rFonts w:cs="Times New Roman"/>
          <w:sz w:val="22"/>
        </w:rPr>
        <w:lastRenderedPageBreak/>
        <w:t xml:space="preserve">securitization is framed around the notion that producing more farmed caviar will ease pressure on wild sturgeon. However the securitized responses create more tangible opportunities for capital accumulation, rather than demonstrable </w:t>
      </w:r>
      <w:r w:rsidR="00FF5061">
        <w:rPr>
          <w:rFonts w:cs="Times New Roman"/>
          <w:sz w:val="22"/>
        </w:rPr>
        <w:t>sturgeon conservation impact. F</w:t>
      </w:r>
      <w:r>
        <w:rPr>
          <w:rFonts w:cs="Times New Roman"/>
          <w:sz w:val="22"/>
        </w:rPr>
        <w:t>armed caviar production</w:t>
      </w:r>
      <w:r w:rsidR="00FF5061">
        <w:rPr>
          <w:rFonts w:cs="Times New Roman"/>
          <w:sz w:val="22"/>
        </w:rPr>
        <w:t xml:space="preserve"> therefore</w:t>
      </w:r>
      <w:r>
        <w:rPr>
          <w:rFonts w:cs="Times New Roman"/>
          <w:sz w:val="22"/>
        </w:rPr>
        <w:t xml:space="preserve"> represents an example of ‘accumulation by securitization’ </w:t>
      </w:r>
      <w:r>
        <w:rPr>
          <w:rFonts w:cs="Times New Roman"/>
          <w:sz w:val="22"/>
        </w:rPr>
        <w:fldChar w:fldCharType="begin" w:fldLock="1"/>
      </w:r>
      <w:r>
        <w:rPr>
          <w:rFonts w:cs="Times New Roman"/>
          <w:sz w:val="22"/>
        </w:rPr>
        <w:instrText>ADDIN CSL_CITATION {"citationItems":[{"id":"ITEM-1","itemData":{"DOI":"10.1016/j.geoforum.2015.03.005","ISSN":"00167185","abstract":"Part of a broader interest in the escalating securitization of conservation practice, scholars are beginning to take note of an emerging relationship between conservation-securitization, capital accumulation, and dispossession. We develop the concept of accumulation by securitization to better grasp this trend, positioning it in the critical literatures on neoliberal conservation, green grabbing, and conservation-security. The concept captures the ways in which capital accumulation, often tied to land and resource enclosure, is enabled by practices and logics of security. Security logics, moreover, increasingly provoke the dispossession of vulnerable communities, thereby enabling accumulation. We ground the concept by turning to the Greater Lebombo Conservancy (GLC) in the Mozambican borderlands. This is a new privately-held conservancy built as a securitized buffer zone to obstruct the movement of commercial rhino poachers into South Africa's adjacent Kruger National Park. We show how wildlife tourism-related accumulation here is enabled by, and in some ways contingent upon, the GLC's success in curbing poaching incursions, and, relatedly, how security concerns become the grounds upon which resident communities are displaced. In terms of the latter, we suggest security provides a troubling, depoliticized alibi for dispossession. Like broader neoliberal conservation and green grabbing, we illustrate how accumulation by securitization plays out within complex new networks of state and private actors. Yet these significantly expand to include including security actors and others motivated by security concerns.","author":[{"dropping-particle":"","family":"Massé","given":"Francis","non-dropping-particle":"","parse-names":false,"suffix":""},{"dropping-particle":"","family":"Lunstrum","given":"Elizabeth","non-dropping-particle":"","parse-names":false,"suffix":""}],"container-title":"Geoforum","id":"ITEM-1","issued":{"date-parts":[["2016"]]},"page":"227-237","title":"Accumulation by securitization: Commercial poaching, neoliberal conservation, and the creation of new wildlife frontiers","type":"article-journal","volume":"69"},"uris":["http://www.mendeley.com/documents/?uuid=f414a6fa-a1ed-47cd-9572-2fa93dae0d21"]}],"mendeley":{"formattedCitation":"(Massé and Lunstrum, 2016)","plainTextFormattedCitation":"(Massé and Lunstrum, 2016)","previouslyFormattedCitation":"(Massé and Lunstrum, 2016)"},"properties":{"noteIndex":0},"schema":"https://github.com/citation-style-language/schema/raw/master/csl-citation.json"}</w:instrText>
      </w:r>
      <w:r>
        <w:rPr>
          <w:rFonts w:cs="Times New Roman"/>
          <w:sz w:val="22"/>
        </w:rPr>
        <w:fldChar w:fldCharType="separate"/>
      </w:r>
      <w:r w:rsidRPr="00400B9D">
        <w:rPr>
          <w:rFonts w:cs="Times New Roman"/>
          <w:noProof/>
          <w:sz w:val="22"/>
        </w:rPr>
        <w:t>(Massé and Lunstrum, 2016)</w:t>
      </w:r>
      <w:r>
        <w:rPr>
          <w:rFonts w:cs="Times New Roman"/>
          <w:sz w:val="22"/>
        </w:rPr>
        <w:fldChar w:fldCharType="end"/>
      </w:r>
      <w:r>
        <w:rPr>
          <w:rFonts w:cs="Times New Roman"/>
          <w:sz w:val="22"/>
        </w:rPr>
        <w:t xml:space="preserve">. As such, I conclude that the EU caviar trade policies have grey areas regarding the conservation benefit of farmed caviar production. But irrespective of this, the conservation-security narrative is powerful enough to justify a </w:t>
      </w:r>
      <w:r w:rsidR="00FF5061">
        <w:rPr>
          <w:rFonts w:cs="Times New Roman"/>
          <w:sz w:val="22"/>
        </w:rPr>
        <w:t xml:space="preserve">discursive and material </w:t>
      </w:r>
      <w:r>
        <w:rPr>
          <w:rFonts w:cs="Times New Roman"/>
          <w:sz w:val="22"/>
        </w:rPr>
        <w:t>securitization of farmed caviar production</w:t>
      </w:r>
      <w:r w:rsidR="00FF5061">
        <w:rPr>
          <w:rFonts w:cs="Times New Roman"/>
          <w:sz w:val="22"/>
        </w:rPr>
        <w:t>,</w:t>
      </w:r>
      <w:r>
        <w:rPr>
          <w:rFonts w:cs="Times New Roman"/>
          <w:sz w:val="22"/>
        </w:rPr>
        <w:t xml:space="preserve"> in ways that outwardly benefit the caviar industry over sturgeon. </w:t>
      </w:r>
    </w:p>
    <w:p w14:paraId="3DD3DC11" w14:textId="77777777" w:rsidR="002862EF" w:rsidRDefault="005560D3" w:rsidP="005560D3">
      <w:pPr>
        <w:rPr>
          <w:rFonts w:cs="Times New Roman"/>
          <w:sz w:val="22"/>
        </w:rPr>
      </w:pPr>
      <w:r>
        <w:rPr>
          <w:rFonts w:cs="Times New Roman"/>
          <w:sz w:val="22"/>
        </w:rPr>
        <w:tab/>
      </w:r>
      <w:r w:rsidR="00EE3D60">
        <w:rPr>
          <w:rFonts w:cs="Times New Roman"/>
          <w:sz w:val="22"/>
        </w:rPr>
        <w:t xml:space="preserve">A further security implication of the regulations, relates to the dissolving of illegal caviar trade as a security issue at the highest EU policy levels. </w:t>
      </w:r>
      <w:r>
        <w:rPr>
          <w:rFonts w:cs="Times New Roman"/>
          <w:sz w:val="22"/>
        </w:rPr>
        <w:t xml:space="preserve">The basis of this security </w:t>
      </w:r>
      <w:r w:rsidR="00417F9F">
        <w:rPr>
          <w:rFonts w:cs="Times New Roman"/>
          <w:sz w:val="22"/>
        </w:rPr>
        <w:t xml:space="preserve">narrative </w:t>
      </w:r>
      <w:r w:rsidR="00185115">
        <w:rPr>
          <w:rFonts w:cs="Times New Roman"/>
          <w:sz w:val="22"/>
        </w:rPr>
        <w:t xml:space="preserve">and related responses, </w:t>
      </w:r>
      <w:r>
        <w:rPr>
          <w:rFonts w:cs="Times New Roman"/>
          <w:sz w:val="22"/>
        </w:rPr>
        <w:t xml:space="preserve">is the previously discussed – and critiqued - narratives that present illegal caviar trade as a minor criminal issue in the EU, and therefore a minor security issue. However, </w:t>
      </w:r>
      <w:r w:rsidR="00417F9F">
        <w:rPr>
          <w:rFonts w:cs="Times New Roman"/>
          <w:sz w:val="22"/>
        </w:rPr>
        <w:t xml:space="preserve">regulatory inconsistencies enable sturgeon crimes to continue; </w:t>
      </w:r>
      <w:r>
        <w:rPr>
          <w:rFonts w:cs="Times New Roman"/>
          <w:sz w:val="22"/>
        </w:rPr>
        <w:t xml:space="preserve">and a ramification of this is that security configurations in the EU have </w:t>
      </w:r>
      <w:r w:rsidR="00185115">
        <w:rPr>
          <w:rFonts w:cs="Times New Roman"/>
          <w:sz w:val="22"/>
        </w:rPr>
        <w:t>shifted rather than dissolved, as shown in chapter seven</w:t>
      </w:r>
      <w:r>
        <w:rPr>
          <w:rFonts w:cs="Times New Roman"/>
          <w:sz w:val="22"/>
        </w:rPr>
        <w:t>. To this extent,</w:t>
      </w:r>
      <w:r w:rsidR="00185115">
        <w:rPr>
          <w:rFonts w:cs="Times New Roman"/>
          <w:sz w:val="22"/>
        </w:rPr>
        <w:t xml:space="preserve"> alternative security framings have emerged and evolved in EU sturgeon range states, which challenge the dominant EU security narratives, and in the process elicit responses that </w:t>
      </w:r>
      <w:r>
        <w:rPr>
          <w:rFonts w:cs="Times New Roman"/>
          <w:sz w:val="22"/>
        </w:rPr>
        <w:t>are infused with security logics and t</w:t>
      </w:r>
      <w:r w:rsidR="00185115">
        <w:rPr>
          <w:rFonts w:cs="Times New Roman"/>
          <w:sz w:val="22"/>
        </w:rPr>
        <w:t>echnologies. The role of organis</w:t>
      </w:r>
      <w:r>
        <w:rPr>
          <w:rFonts w:cs="Times New Roman"/>
          <w:sz w:val="22"/>
        </w:rPr>
        <w:t xml:space="preserve">ed crime in shaping illegal caviar trade is presented as an evolving threat to </w:t>
      </w:r>
      <w:r w:rsidR="00185115">
        <w:rPr>
          <w:rFonts w:cs="Times New Roman"/>
          <w:sz w:val="22"/>
        </w:rPr>
        <w:t xml:space="preserve">national and regional security </w:t>
      </w:r>
      <w:r>
        <w:rPr>
          <w:rFonts w:cs="Times New Roman"/>
          <w:sz w:val="22"/>
        </w:rPr>
        <w:t>by NGOs working in sturgeon range states. This security framing has prompted NGOs to develop securitized</w:t>
      </w:r>
      <w:r w:rsidR="00185115">
        <w:rPr>
          <w:rFonts w:cs="Times New Roman"/>
          <w:sz w:val="22"/>
        </w:rPr>
        <w:t xml:space="preserve"> surveillance responses, which</w:t>
      </w:r>
      <w:r>
        <w:rPr>
          <w:rFonts w:cs="Times New Roman"/>
          <w:sz w:val="22"/>
        </w:rPr>
        <w:t xml:space="preserve"> have troubling implications for already insecure fishing communities</w:t>
      </w:r>
      <w:r w:rsidR="00185115">
        <w:rPr>
          <w:rFonts w:cs="Times New Roman"/>
          <w:sz w:val="22"/>
        </w:rPr>
        <w:t xml:space="preserve">, and those tasked with carrying out surveillance. </w:t>
      </w:r>
    </w:p>
    <w:p w14:paraId="16567B81" w14:textId="03AE5F22" w:rsidR="005560D3" w:rsidRDefault="005560D3" w:rsidP="002862EF">
      <w:pPr>
        <w:ind w:firstLine="720"/>
        <w:rPr>
          <w:rFonts w:cs="Times New Roman"/>
          <w:sz w:val="22"/>
        </w:rPr>
      </w:pPr>
      <w:r>
        <w:rPr>
          <w:rFonts w:cs="Times New Roman"/>
          <w:sz w:val="22"/>
        </w:rPr>
        <w:t>Moreover, an emerging – yet silenced – security framing, is that which highlights the ‘ecological security’ implications for sturgeon and EU habitats, which is compoun</w:t>
      </w:r>
      <w:r w:rsidR="00185115">
        <w:rPr>
          <w:rFonts w:cs="Times New Roman"/>
          <w:sz w:val="22"/>
        </w:rPr>
        <w:t>ded by the nexus between organis</w:t>
      </w:r>
      <w:r>
        <w:rPr>
          <w:rFonts w:cs="Times New Roman"/>
          <w:sz w:val="22"/>
        </w:rPr>
        <w:t xml:space="preserve">ed crime, government corruption, and demand for caviar in Western European states. </w:t>
      </w:r>
      <w:r w:rsidR="00185115">
        <w:rPr>
          <w:rFonts w:cs="Times New Roman"/>
          <w:sz w:val="22"/>
        </w:rPr>
        <w:t>I</w:t>
      </w:r>
      <w:r>
        <w:rPr>
          <w:rFonts w:cs="Times New Roman"/>
          <w:sz w:val="22"/>
        </w:rPr>
        <w:t xml:space="preserve">ndividuals espousing these security narratives are silenced and treated as a threat to ‘national security’ by the Romanian government. </w:t>
      </w:r>
      <w:r w:rsidR="00185115">
        <w:rPr>
          <w:rFonts w:cs="Times New Roman"/>
          <w:sz w:val="22"/>
        </w:rPr>
        <w:t>T</w:t>
      </w:r>
      <w:r>
        <w:rPr>
          <w:rFonts w:cs="Times New Roman"/>
          <w:sz w:val="22"/>
        </w:rPr>
        <w:t>his is because the ‘ecological security’ narratives draw uncomfortable attention to security i</w:t>
      </w:r>
      <w:r w:rsidR="00185115">
        <w:rPr>
          <w:rFonts w:cs="Times New Roman"/>
          <w:sz w:val="22"/>
        </w:rPr>
        <w:t>ssues emanating from within EU Member S</w:t>
      </w:r>
      <w:r>
        <w:rPr>
          <w:rFonts w:cs="Times New Roman"/>
          <w:sz w:val="22"/>
        </w:rPr>
        <w:t>tate governance structures, rather than solely targeting an abstr</w:t>
      </w:r>
      <w:r w:rsidR="00185115">
        <w:rPr>
          <w:rFonts w:cs="Times New Roman"/>
          <w:sz w:val="22"/>
        </w:rPr>
        <w:t>acted external threat of organis</w:t>
      </w:r>
      <w:r>
        <w:rPr>
          <w:rFonts w:cs="Times New Roman"/>
          <w:sz w:val="22"/>
        </w:rPr>
        <w:t xml:space="preserve">ed crime. Nevertheless, these alternative security framings and responses do not possess enough power to challenge the </w:t>
      </w:r>
      <w:r w:rsidR="00185115">
        <w:rPr>
          <w:rFonts w:cs="Times New Roman"/>
          <w:sz w:val="22"/>
        </w:rPr>
        <w:t>dominant</w:t>
      </w:r>
      <w:r>
        <w:rPr>
          <w:rFonts w:cs="Times New Roman"/>
          <w:sz w:val="22"/>
        </w:rPr>
        <w:t xml:space="preserve"> EU </w:t>
      </w:r>
      <w:r w:rsidR="00185115">
        <w:rPr>
          <w:rFonts w:cs="Times New Roman"/>
          <w:sz w:val="22"/>
        </w:rPr>
        <w:t>security narratives</w:t>
      </w:r>
      <w:r>
        <w:rPr>
          <w:rFonts w:cs="Times New Roman"/>
          <w:sz w:val="22"/>
        </w:rPr>
        <w:t xml:space="preserve">, which continue to position illegal caviar trade as a dissolving security issue in the EU.  </w:t>
      </w:r>
    </w:p>
    <w:p w14:paraId="0DC79173" w14:textId="6120823D" w:rsidR="007470CA" w:rsidRDefault="005560D3" w:rsidP="005560D3">
      <w:pPr>
        <w:rPr>
          <w:rFonts w:cs="Times New Roman"/>
          <w:sz w:val="22"/>
        </w:rPr>
      </w:pPr>
      <w:r>
        <w:rPr>
          <w:rFonts w:cs="Times New Roman"/>
          <w:sz w:val="22"/>
        </w:rPr>
        <w:tab/>
        <w:t xml:space="preserve">In sum, I conclude that the EU caviar trade policies have implications for the security framings and responses directed at farmed caviar production and illegal caviar trade in the EU. </w:t>
      </w:r>
      <w:r w:rsidR="00185115">
        <w:rPr>
          <w:rFonts w:cs="Times New Roman"/>
          <w:sz w:val="22"/>
        </w:rPr>
        <w:t>Dominant security responses are stabilised by powerful security narratives, which reflect the already existing power geometries</w:t>
      </w:r>
      <w:r w:rsidR="006E6A7D">
        <w:rPr>
          <w:rFonts w:cs="Times New Roman"/>
          <w:sz w:val="22"/>
        </w:rPr>
        <w:t xml:space="preserve"> in the European Union. Thus, an overlooked consequence of the dominant </w:t>
      </w:r>
      <w:r w:rsidR="006E6A7D">
        <w:rPr>
          <w:rFonts w:cs="Times New Roman"/>
          <w:sz w:val="22"/>
        </w:rPr>
        <w:lastRenderedPageBreak/>
        <w:t>security narratives and responses, is that they often contribute to or entrench insecurity for marginalised human and nonhuman actors in the EU.</w:t>
      </w:r>
    </w:p>
    <w:p w14:paraId="6F5B8DCA" w14:textId="77777777" w:rsidR="005560D3" w:rsidRDefault="005560D3" w:rsidP="005560D3">
      <w:pPr>
        <w:pStyle w:val="Heading3"/>
      </w:pPr>
      <w:bookmarkStart w:id="114" w:name="_Toc453224267"/>
      <w:r w:rsidRPr="00841663">
        <w:t>Sturgeon geopolitics and caviar diplomacy</w:t>
      </w:r>
      <w:bookmarkEnd w:id="114"/>
    </w:p>
    <w:p w14:paraId="74253C66" w14:textId="6F82FE91" w:rsidR="007470CA" w:rsidRDefault="005560D3" w:rsidP="005560D3">
      <w:pPr>
        <w:rPr>
          <w:rFonts w:cs="Times New Roman"/>
          <w:sz w:val="22"/>
        </w:rPr>
      </w:pPr>
      <w:r>
        <w:rPr>
          <w:rFonts w:cs="Times New Roman"/>
          <w:sz w:val="22"/>
        </w:rPr>
        <w:t xml:space="preserve">Finally, </w:t>
      </w:r>
      <w:r w:rsidR="007470CA">
        <w:rPr>
          <w:rFonts w:cs="Times New Roman"/>
          <w:sz w:val="22"/>
        </w:rPr>
        <w:t>the gaps and grey areas in caviar trade regulations have implications for EU geopolitics. T</w:t>
      </w:r>
      <w:r>
        <w:rPr>
          <w:rFonts w:cs="Times New Roman"/>
          <w:sz w:val="22"/>
        </w:rPr>
        <w:t xml:space="preserve">he geopolitical consequences of the </w:t>
      </w:r>
      <w:r w:rsidR="007470CA">
        <w:rPr>
          <w:rFonts w:cs="Times New Roman"/>
          <w:sz w:val="22"/>
        </w:rPr>
        <w:t xml:space="preserve">ambiguities in the regulatory frameworks, are inherently more-than-human in nature. </w:t>
      </w:r>
      <w:r>
        <w:rPr>
          <w:rFonts w:cs="Times New Roman"/>
          <w:sz w:val="22"/>
        </w:rPr>
        <w:t>In other words</w:t>
      </w:r>
      <w:r w:rsidR="007470CA">
        <w:rPr>
          <w:rFonts w:cs="Times New Roman"/>
          <w:sz w:val="22"/>
        </w:rPr>
        <w:t>,</w:t>
      </w:r>
      <w:r>
        <w:rPr>
          <w:rFonts w:cs="Times New Roman"/>
          <w:sz w:val="22"/>
        </w:rPr>
        <w:t xml:space="preserve"> I conclude that sturgeon and</w:t>
      </w:r>
      <w:r w:rsidR="007470CA">
        <w:rPr>
          <w:rFonts w:cs="Times New Roman"/>
          <w:sz w:val="22"/>
        </w:rPr>
        <w:t xml:space="preserve"> caviar are geopolitical actors</w:t>
      </w:r>
      <w:r>
        <w:rPr>
          <w:rFonts w:cs="Times New Roman"/>
          <w:sz w:val="22"/>
        </w:rPr>
        <w:t xml:space="preserve"> whose interaction with </w:t>
      </w:r>
      <w:r w:rsidR="007470CA">
        <w:rPr>
          <w:rFonts w:cs="Times New Roman"/>
          <w:sz w:val="22"/>
        </w:rPr>
        <w:t>the caviar trade policies has geopolitical-ecological implications.</w:t>
      </w:r>
    </w:p>
    <w:p w14:paraId="53843E7E" w14:textId="77777777" w:rsidR="002862EF" w:rsidRDefault="005560D3" w:rsidP="005560D3">
      <w:pPr>
        <w:rPr>
          <w:rFonts w:cs="Times New Roman"/>
          <w:sz w:val="22"/>
        </w:rPr>
      </w:pPr>
      <w:r>
        <w:rPr>
          <w:rFonts w:cs="Times New Roman"/>
          <w:sz w:val="22"/>
        </w:rPr>
        <w:tab/>
      </w:r>
      <w:r w:rsidR="007470CA">
        <w:rPr>
          <w:rFonts w:cs="Times New Roman"/>
          <w:sz w:val="22"/>
        </w:rPr>
        <w:t>G</w:t>
      </w:r>
      <w:r>
        <w:rPr>
          <w:rFonts w:cs="Times New Roman"/>
          <w:sz w:val="22"/>
        </w:rPr>
        <w:t xml:space="preserve">eopolitical actors exploit </w:t>
      </w:r>
      <w:r w:rsidR="007470CA">
        <w:rPr>
          <w:rFonts w:cs="Times New Roman"/>
          <w:sz w:val="22"/>
        </w:rPr>
        <w:t>irregularities</w:t>
      </w:r>
      <w:r>
        <w:rPr>
          <w:rFonts w:cs="Times New Roman"/>
          <w:sz w:val="22"/>
        </w:rPr>
        <w:t xml:space="preserve"> in EU caviar trade regulations to advance their own geopolitical motivations, and in the process produce further geopolitical consequences. This is evidenced in chapter seven where I demonstrate that EU institutions deploy narratives with grey areas, in order to de-securitize illegal caviar trade at the policy level. In doing so, the EU discursively shifts illegal caviar trade from an EU-wide security issue to a conservation issue in sturgeon range states. This is a ge</w:t>
      </w:r>
      <w:r w:rsidR="007470CA">
        <w:rPr>
          <w:rFonts w:cs="Times New Roman"/>
          <w:sz w:val="22"/>
        </w:rPr>
        <w:t>opolitically motivated move that</w:t>
      </w:r>
      <w:r>
        <w:rPr>
          <w:rFonts w:cs="Times New Roman"/>
          <w:sz w:val="22"/>
        </w:rPr>
        <w:t xml:space="preserve"> effectively diverts attention from the EU-wide political economy of illegal caviar trade, and the</w:t>
      </w:r>
      <w:r w:rsidR="007470CA">
        <w:rPr>
          <w:rFonts w:cs="Times New Roman"/>
          <w:sz w:val="22"/>
        </w:rPr>
        <w:t>reby absolves Western European Member S</w:t>
      </w:r>
      <w:r>
        <w:rPr>
          <w:rFonts w:cs="Times New Roman"/>
          <w:sz w:val="22"/>
        </w:rPr>
        <w:t xml:space="preserve">tates of their complicity in fuelling this trade. Additionally, the Biodiversity directorate of the Romanian Ministry of Environment selectively use legislative </w:t>
      </w:r>
      <w:r w:rsidR="007470CA">
        <w:rPr>
          <w:rFonts w:cs="Times New Roman"/>
          <w:sz w:val="22"/>
        </w:rPr>
        <w:t>ambiguities</w:t>
      </w:r>
      <w:r>
        <w:rPr>
          <w:rFonts w:cs="Times New Roman"/>
          <w:sz w:val="22"/>
        </w:rPr>
        <w:t xml:space="preserve"> around scientific fishing permits, in order to secure exclusive access to data on sturgeon, which they can deploy in geopolitically expedient ways. </w:t>
      </w:r>
      <w:r w:rsidR="002C2403">
        <w:rPr>
          <w:rFonts w:cs="Times New Roman"/>
          <w:sz w:val="22"/>
        </w:rPr>
        <w:t>As outlined in chapter eight, t</w:t>
      </w:r>
      <w:r>
        <w:rPr>
          <w:rFonts w:cs="Times New Roman"/>
          <w:sz w:val="22"/>
        </w:rPr>
        <w:t>he pushback against the actions of the Biodiversity Directorate ha</w:t>
      </w:r>
      <w:r w:rsidR="002C2403">
        <w:rPr>
          <w:rFonts w:cs="Times New Roman"/>
          <w:sz w:val="22"/>
        </w:rPr>
        <w:t xml:space="preserve">s become geopolitically charged; particularly as </w:t>
      </w:r>
      <w:r>
        <w:rPr>
          <w:rFonts w:cs="Times New Roman"/>
          <w:sz w:val="22"/>
        </w:rPr>
        <w:t xml:space="preserve">NGOs struggle to amass support from the EU in order to challenge the questionable behaviours of the Romanian government. </w:t>
      </w:r>
    </w:p>
    <w:p w14:paraId="1F14123E" w14:textId="135E48E2" w:rsidR="005560D3" w:rsidRDefault="005560D3" w:rsidP="002862EF">
      <w:pPr>
        <w:ind w:firstLine="720"/>
        <w:rPr>
          <w:rFonts w:cs="Times New Roman"/>
          <w:sz w:val="22"/>
        </w:rPr>
      </w:pPr>
      <w:r>
        <w:rPr>
          <w:rFonts w:cs="Times New Roman"/>
          <w:sz w:val="22"/>
        </w:rPr>
        <w:t>Furthermore, incendiary geopolitical debates</w:t>
      </w:r>
      <w:r w:rsidR="002C2403">
        <w:rPr>
          <w:rFonts w:cs="Times New Roman"/>
          <w:sz w:val="22"/>
        </w:rPr>
        <w:t xml:space="preserve"> discussed in chapter eight,</w:t>
      </w:r>
      <w:r>
        <w:rPr>
          <w:rFonts w:cs="Times New Roman"/>
          <w:sz w:val="22"/>
        </w:rPr>
        <w:t xml:space="preserve"> </w:t>
      </w:r>
      <w:r w:rsidR="002C2403">
        <w:rPr>
          <w:rFonts w:cs="Times New Roman"/>
          <w:sz w:val="22"/>
        </w:rPr>
        <w:t>have surfaced at CITES meetings</w:t>
      </w:r>
      <w:r>
        <w:rPr>
          <w:rFonts w:cs="Times New Roman"/>
          <w:sz w:val="22"/>
        </w:rPr>
        <w:t xml:space="preserve"> where the Russian Federation have led calls to make changes to the countries listed as littoral states to the ‘</w:t>
      </w:r>
      <w:r w:rsidRPr="002C2403">
        <w:rPr>
          <w:rFonts w:cs="Times New Roman"/>
          <w:i/>
          <w:sz w:val="22"/>
        </w:rPr>
        <w:t>North West Black Sea and Lower Danube</w:t>
      </w:r>
      <w:r>
        <w:rPr>
          <w:rFonts w:cs="Times New Roman"/>
          <w:sz w:val="22"/>
        </w:rPr>
        <w:t xml:space="preserve">’ shared stock. </w:t>
      </w:r>
      <w:r w:rsidR="002C2403">
        <w:rPr>
          <w:rFonts w:cs="Times New Roman"/>
          <w:sz w:val="22"/>
        </w:rPr>
        <w:t xml:space="preserve">The scientific uncertainty surrounding the designation of this shared stock is acted upon </w:t>
      </w:r>
      <w:r>
        <w:rPr>
          <w:rFonts w:cs="Times New Roman"/>
          <w:sz w:val="22"/>
        </w:rPr>
        <w:t xml:space="preserve">by the Russian Federation to ostensibly gain access to </w:t>
      </w:r>
      <w:r w:rsidR="002C2403">
        <w:rPr>
          <w:rFonts w:cs="Times New Roman"/>
          <w:sz w:val="22"/>
        </w:rPr>
        <w:t xml:space="preserve">sturgeon; </w:t>
      </w:r>
      <w:r>
        <w:rPr>
          <w:rFonts w:cs="Times New Roman"/>
          <w:sz w:val="22"/>
        </w:rPr>
        <w:t xml:space="preserve">but in reality the move is linked to fraught questions of sovereignty and territory in the Ukrainian Crimean peninsula. </w:t>
      </w:r>
    </w:p>
    <w:p w14:paraId="7920AB65" w14:textId="231EC92A" w:rsidR="00096534" w:rsidRDefault="005560D3" w:rsidP="005560D3">
      <w:pPr>
        <w:rPr>
          <w:rFonts w:cs="Times New Roman"/>
          <w:sz w:val="22"/>
        </w:rPr>
      </w:pPr>
      <w:r>
        <w:rPr>
          <w:rFonts w:cs="Times New Roman"/>
          <w:sz w:val="22"/>
        </w:rPr>
        <w:tab/>
        <w:t xml:space="preserve">Importantly, sturgeon and caviar are not only subjects of geopolitical efforts to manage and control them; but they </w:t>
      </w:r>
      <w:r w:rsidR="008D66DF">
        <w:rPr>
          <w:rFonts w:cs="Times New Roman"/>
          <w:sz w:val="22"/>
        </w:rPr>
        <w:t xml:space="preserve">interact with caviar trade regulations and bring to light discrepancies within these regulatory frameworks. </w:t>
      </w:r>
      <w:r w:rsidR="00096534">
        <w:rPr>
          <w:rFonts w:cs="Times New Roman"/>
          <w:sz w:val="22"/>
        </w:rPr>
        <w:t>Their behaviours and properties have geopolitical consequences</w:t>
      </w:r>
      <w:r>
        <w:rPr>
          <w:rFonts w:cs="Times New Roman"/>
          <w:sz w:val="22"/>
        </w:rPr>
        <w:t xml:space="preserve">. As such, they are constituted as geopolitical actors. </w:t>
      </w:r>
      <w:r w:rsidR="00096534">
        <w:rPr>
          <w:rFonts w:cs="Times New Roman"/>
          <w:sz w:val="22"/>
        </w:rPr>
        <w:t xml:space="preserve">Through their migratory movements sturgeon reveal </w:t>
      </w:r>
      <w:r w:rsidR="002862EF">
        <w:rPr>
          <w:rFonts w:cs="Times New Roman"/>
          <w:sz w:val="22"/>
        </w:rPr>
        <w:t xml:space="preserve">the </w:t>
      </w:r>
      <w:r w:rsidR="00096534">
        <w:rPr>
          <w:rFonts w:cs="Times New Roman"/>
          <w:sz w:val="22"/>
        </w:rPr>
        <w:t>contradictions in EU environmental policy agendas.</w:t>
      </w:r>
      <w:r>
        <w:rPr>
          <w:rFonts w:cs="Times New Roman"/>
          <w:sz w:val="22"/>
        </w:rPr>
        <w:t xml:space="preserve"> This raises pertinent geopolitical questions</w:t>
      </w:r>
      <w:r w:rsidR="00096534">
        <w:rPr>
          <w:rFonts w:cs="Times New Roman"/>
          <w:sz w:val="22"/>
        </w:rPr>
        <w:t xml:space="preserve"> which I discuss in chapter eight,</w:t>
      </w:r>
      <w:r>
        <w:rPr>
          <w:rFonts w:cs="Times New Roman"/>
          <w:sz w:val="22"/>
        </w:rPr>
        <w:t xml:space="preserve"> about the prioritisation of conserving endangered wild sturgeon, versus meeting human demands for clean energy in the EU. </w:t>
      </w:r>
      <w:r w:rsidR="00096534">
        <w:rPr>
          <w:rFonts w:cs="Times New Roman"/>
          <w:sz w:val="22"/>
        </w:rPr>
        <w:t xml:space="preserve">Furthermore, the escape of sturgeon brings to light regulatory gaps in the management of sturgeon aquaculture facilities in the EU. </w:t>
      </w:r>
      <w:r w:rsidR="00096534">
        <w:rPr>
          <w:rFonts w:cs="Times New Roman"/>
          <w:sz w:val="22"/>
        </w:rPr>
        <w:lastRenderedPageBreak/>
        <w:t xml:space="preserve">Sturgeon escapes become geopolitically charged, as </w:t>
      </w:r>
      <w:r>
        <w:rPr>
          <w:rFonts w:cs="Times New Roman"/>
          <w:sz w:val="22"/>
        </w:rPr>
        <w:t xml:space="preserve">sturgeon are discursively refigured as biosecurity threats and foreign ‘invaders’ to EU waters. </w:t>
      </w:r>
    </w:p>
    <w:p w14:paraId="600C8E84" w14:textId="2DDA00C7" w:rsidR="005560D3" w:rsidRDefault="00096534" w:rsidP="005560D3">
      <w:pPr>
        <w:rPr>
          <w:rFonts w:cs="Times New Roman"/>
          <w:sz w:val="22"/>
        </w:rPr>
      </w:pPr>
      <w:r>
        <w:rPr>
          <w:rFonts w:cs="Times New Roman"/>
          <w:sz w:val="22"/>
        </w:rPr>
        <w:tab/>
        <w:t xml:space="preserve">Caviar is also a geopolitical actor. </w:t>
      </w:r>
      <w:r w:rsidR="005560D3">
        <w:rPr>
          <w:rFonts w:cs="Times New Roman"/>
          <w:sz w:val="22"/>
        </w:rPr>
        <w:t xml:space="preserve">I demonstrate that the micropolitical material and chemical properties of caviar interact with </w:t>
      </w:r>
      <w:r>
        <w:rPr>
          <w:rFonts w:cs="Times New Roman"/>
          <w:sz w:val="22"/>
        </w:rPr>
        <w:t>loopholes in the regulations to have macropolitical effects, including the formation of a caviar grey market in the EU. The micropolitical material properties of caviar also have implications for international relations</w:t>
      </w:r>
      <w:r w:rsidR="005560D3">
        <w:rPr>
          <w:rFonts w:cs="Times New Roman"/>
          <w:sz w:val="22"/>
        </w:rPr>
        <w:t xml:space="preserve">. Geopolitical actors such as Putin, purposefully enrol the grey </w:t>
      </w:r>
      <w:r>
        <w:rPr>
          <w:rFonts w:cs="Times New Roman"/>
          <w:sz w:val="22"/>
        </w:rPr>
        <w:t xml:space="preserve">material </w:t>
      </w:r>
      <w:r w:rsidR="005560D3">
        <w:rPr>
          <w:rFonts w:cs="Times New Roman"/>
          <w:sz w:val="22"/>
        </w:rPr>
        <w:t xml:space="preserve">characteristics of caviar to </w:t>
      </w:r>
      <w:r w:rsidR="00EC5FF6">
        <w:rPr>
          <w:rFonts w:cs="Times New Roman"/>
          <w:sz w:val="22"/>
        </w:rPr>
        <w:t>unsettle diplomatic situations. I</w:t>
      </w:r>
      <w:r w:rsidR="005560D3">
        <w:rPr>
          <w:rFonts w:cs="Times New Roman"/>
          <w:sz w:val="22"/>
        </w:rPr>
        <w:t>n this sense caviar is a more-</w:t>
      </w:r>
      <w:r w:rsidR="00EC5FF6">
        <w:rPr>
          <w:rFonts w:cs="Times New Roman"/>
          <w:sz w:val="22"/>
        </w:rPr>
        <w:t xml:space="preserve">than-human geopolitical actor that co-produces geopolitical configurations and phenomena. </w:t>
      </w:r>
    </w:p>
    <w:p w14:paraId="5CC44E6B" w14:textId="77777777" w:rsidR="005560D3" w:rsidRDefault="005560D3" w:rsidP="005560D3">
      <w:pPr>
        <w:rPr>
          <w:rFonts w:cs="Times New Roman"/>
          <w:sz w:val="22"/>
        </w:rPr>
      </w:pPr>
      <w:r>
        <w:rPr>
          <w:rFonts w:cs="Times New Roman"/>
          <w:sz w:val="22"/>
        </w:rPr>
        <w:tab/>
        <w:t xml:space="preserve">In sum, I conclude that the gaps and grey areas in EU caviar trade regulations have more-than-human geopolitical-ecological implications that are co-produced by both sturgeon and caviar, as geopolitical actors. </w:t>
      </w:r>
    </w:p>
    <w:p w14:paraId="7201515C" w14:textId="77777777" w:rsidR="005560D3" w:rsidRDefault="005560D3" w:rsidP="005560D3">
      <w:pPr>
        <w:rPr>
          <w:rFonts w:cs="Times New Roman"/>
          <w:sz w:val="22"/>
        </w:rPr>
      </w:pPr>
    </w:p>
    <w:p w14:paraId="379B253E" w14:textId="77777777" w:rsidR="005560D3" w:rsidRPr="00E104C7" w:rsidRDefault="005560D3" w:rsidP="005560D3">
      <w:pPr>
        <w:pStyle w:val="Heading2"/>
      </w:pPr>
      <w:bookmarkStart w:id="115" w:name="_Toc453224268"/>
      <w:r w:rsidRPr="00E104C7">
        <w:t>9.3 Looking forward</w:t>
      </w:r>
      <w:bookmarkEnd w:id="115"/>
      <w:r w:rsidRPr="00E104C7">
        <w:t xml:space="preserve"> </w:t>
      </w:r>
    </w:p>
    <w:p w14:paraId="55F087E0" w14:textId="110F64D8" w:rsidR="005560D3" w:rsidRDefault="005560D3" w:rsidP="005560D3">
      <w:pPr>
        <w:rPr>
          <w:rFonts w:cs="Times New Roman"/>
          <w:sz w:val="22"/>
        </w:rPr>
      </w:pPr>
      <w:r>
        <w:rPr>
          <w:rFonts w:cs="Times New Roman"/>
          <w:sz w:val="22"/>
        </w:rPr>
        <w:t xml:space="preserve">This research shed important empirical light on the hitherto overlooked implications of regulating the caviar trade in the European Union. I have centred my analysis on the gaps and grey areas in caviar trade regulations, to argue that the EU caviar trade policies have had broad geopolitical-ecological implications that extend beyond just an impact on the dynamics of illegal caviar trade. In fact, I conclude that the </w:t>
      </w:r>
      <w:r w:rsidR="002B6AE4">
        <w:rPr>
          <w:rFonts w:cs="Times New Roman"/>
          <w:sz w:val="22"/>
        </w:rPr>
        <w:t xml:space="preserve">regulatory frameworks </w:t>
      </w:r>
      <w:r>
        <w:rPr>
          <w:rFonts w:cs="Times New Roman"/>
          <w:sz w:val="22"/>
        </w:rPr>
        <w:t>have had implications on and for: illegal caviar trade and the caviar industry; the political ecologies of sturgeon fishing communities and wild sturgeon; security configurations and power geometries</w:t>
      </w:r>
      <w:r w:rsidR="00577D52">
        <w:rPr>
          <w:rFonts w:cs="Times New Roman"/>
          <w:sz w:val="22"/>
        </w:rPr>
        <w:t xml:space="preserve"> in the EU; and EU geopolitics. </w:t>
      </w:r>
      <w:r>
        <w:rPr>
          <w:rFonts w:cs="Times New Roman"/>
          <w:sz w:val="22"/>
        </w:rPr>
        <w:t xml:space="preserve">Moreover, I have developed more-than-human geopolitical ecology as the theoretical framework to on the one hand, make sense of the avowedly more-than-human impacts of the EU caviar trade regulations; and in line with this, to theorise how sturgeon and caviar are constituted as geopolitical actors that co-produce the unintended outcomes of caviar trade regulations in the EU. </w:t>
      </w:r>
    </w:p>
    <w:p w14:paraId="079979BD" w14:textId="0C1EEEBF" w:rsidR="005560D3" w:rsidRDefault="005560D3" w:rsidP="005560D3">
      <w:pPr>
        <w:rPr>
          <w:rFonts w:cs="Times New Roman"/>
          <w:sz w:val="22"/>
        </w:rPr>
      </w:pPr>
      <w:r>
        <w:rPr>
          <w:rFonts w:cs="Times New Roman"/>
          <w:sz w:val="22"/>
        </w:rPr>
        <w:tab/>
        <w:t xml:space="preserve">Following the policy </w:t>
      </w:r>
      <w:r>
        <w:rPr>
          <w:rFonts w:cs="Times New Roman"/>
          <w:sz w:val="22"/>
        </w:rPr>
        <w:fldChar w:fldCharType="begin" w:fldLock="1"/>
      </w:r>
      <w:r>
        <w:rPr>
          <w:rFonts w:cs="Times New Roman"/>
          <w:sz w:val="22"/>
        </w:rPr>
        <w:instrText>ADDIN CSL_CITATION {"citationItems":[{"id":"ITEM-1","itemData":{"DOI":"10.1068/a44179","ISSN":"0308518X","abstract":"The paper reflects on the methodological challenges involved in research on the movement and mutation of fast-moving policies, through globalizing networks and across translocal settings. Inspired by the 'follow the thing' methods and by the global ethnography program, it outlines a distended case-study approach to the study of policy mobiilities","author":[{"dropping-particle":"","family":"Peck","given":"Jamie","non-dropping-particle":"","parse-names":false,"suffix":""},{"dropping-particle":"","family":"Theodore","given":"Nik","non-dropping-particle":"","parse-names":false,"suffix":""}],"container-title":"Environment and Planning A","id":"ITEM-1","issue":"1","issued":{"date-parts":[["2012"]]},"page":"21-30","title":"Follow the policy: A distended case approach","type":"article-journal","volume":"44"},"uris":["http://www.mendeley.com/documents/?uuid=5b8ed9ea-1bba-3e46-b815-21f36c135e0a"]},{"id":"ITEM-2","itemData":{"DOI":"10.1177/0094306116671949mm","ISBN":"9781452944074","ISSN":"0094-3061","abstract":"We inhabit a perpetually accelerating and increasingly interconnected world, with new ideas, fads, and fashions moving at social-media speed. New policy ideas, especially “ideas that work,” are now able to find not only a worldwide audience but also transnational salience in remarkably short order. Fast Policy is the first systematic treatment of this phenomenon, one that compares processes of policy development across two rapidly moving fields that emerged in the Global South and have quickly been adopted worldwide? conditional cash transfers (a social policy program that conditions payments on behavioral compliance) and participatory budgeting (a form of citizen-centric urban governance). Jamie Peck and Nik Theodore critically analyze the growing transnational connectivity between policymaking arenas and modes of policy development, assessing the implications of these developments for contemporary policymaking. Emphasizing that policy models do not simply travel intact from sites of invention to sites of emulation, they problematize fast policy as a phenomenon that is real and consequential yet prone to misrepresentation. Based on fieldwork conducted across six continents and in fifteen countries, Fast Policy is an essential resource in providing an extended theoretical discussion of policy mobility and in presenting a methodology for ethnographic research on global social policy.","author":[{"dropping-particle":"","family":"Peck","given":"Jamie","non-dropping-particle":"","parse-names":false,"suffix":""},{"dropping-particle":"","family":"Theodore","given":"Nik","non-dropping-particle":"","parse-names":false,"suffix":""}],"container-title":"Fast Policy: Experimental Statecraft at the Thresholds of Neoliberalism","id":"ITEM-2","issued":{"date-parts":[["2015"]]},"number-of-pages":"1-300","title":"Fast policy: Experimental statecraft at the thresholds of neoliberalism","type":"book"},"uris":["http://www.mendeley.com/documents/?uuid=5bb82d66-1531-3d64-bc72-cbb3af0cd865"]}],"mendeley":{"formattedCitation":"(Peck and Theodore, 2012, 2015)","plainTextFormattedCitation":"(Peck and Theodore, 2012, 2015)","previouslyFormattedCitation":"(Peck and Theodore, 2012, 2015)"},"properties":{"noteIndex":0},"schema":"https://github.com/citation-style-language/schema/raw/master/csl-citation.json"}</w:instrText>
      </w:r>
      <w:r>
        <w:rPr>
          <w:rFonts w:cs="Times New Roman"/>
          <w:sz w:val="22"/>
        </w:rPr>
        <w:fldChar w:fldCharType="separate"/>
      </w:r>
      <w:r w:rsidRPr="00C02DE8">
        <w:rPr>
          <w:rFonts w:cs="Times New Roman"/>
          <w:noProof/>
          <w:sz w:val="22"/>
        </w:rPr>
        <w:t>(Peck and Theodore, 2012, 2015)</w:t>
      </w:r>
      <w:r>
        <w:rPr>
          <w:rFonts w:cs="Times New Roman"/>
          <w:sz w:val="22"/>
        </w:rPr>
        <w:fldChar w:fldCharType="end"/>
      </w:r>
      <w:r>
        <w:rPr>
          <w:rFonts w:cs="Times New Roman"/>
          <w:sz w:val="22"/>
        </w:rPr>
        <w:t xml:space="preserve"> as it translates across different contexts and between different actors in the EU caviar trade </w:t>
      </w:r>
      <w:r w:rsidR="002B6AE4">
        <w:rPr>
          <w:rFonts w:cs="Times New Roman"/>
          <w:sz w:val="22"/>
        </w:rPr>
        <w:t xml:space="preserve">and sturgeon conservation </w:t>
      </w:r>
      <w:r>
        <w:rPr>
          <w:rFonts w:cs="Times New Roman"/>
          <w:sz w:val="22"/>
        </w:rPr>
        <w:t xml:space="preserve">milieu, proved to be an exhilarating and sometimes frustrating experience. However, these frustrations ultimately proved to be productive, as it was only through struggling to follow policy that I came to settle on following </w:t>
      </w:r>
      <w:r w:rsidR="002B6AE4">
        <w:rPr>
          <w:rFonts w:cs="Times New Roman"/>
          <w:sz w:val="22"/>
        </w:rPr>
        <w:t xml:space="preserve">the </w:t>
      </w:r>
      <w:r>
        <w:rPr>
          <w:rFonts w:cs="Times New Roman"/>
          <w:sz w:val="22"/>
        </w:rPr>
        <w:t>gaps in policy – which adds a new dimension to existing follow-the-policy methods in the social sciences. My experience of following caviar trade policy</w:t>
      </w:r>
      <w:r w:rsidR="002B6AE4">
        <w:rPr>
          <w:rFonts w:cs="Times New Roman"/>
          <w:sz w:val="22"/>
        </w:rPr>
        <w:t xml:space="preserve"> in the EU has</w:t>
      </w:r>
      <w:r>
        <w:rPr>
          <w:rFonts w:cs="Times New Roman"/>
          <w:sz w:val="22"/>
        </w:rPr>
        <w:t xml:space="preserve"> unearthed a number of further questions and themes</w:t>
      </w:r>
      <w:r w:rsidR="002B6AE4">
        <w:rPr>
          <w:rFonts w:cs="Times New Roman"/>
          <w:sz w:val="22"/>
        </w:rPr>
        <w:t>,</w:t>
      </w:r>
      <w:r>
        <w:rPr>
          <w:rFonts w:cs="Times New Roman"/>
          <w:sz w:val="22"/>
        </w:rPr>
        <w:t xml:space="preserve"> </w:t>
      </w:r>
      <w:r w:rsidR="002B6AE4">
        <w:rPr>
          <w:rFonts w:cs="Times New Roman"/>
          <w:sz w:val="22"/>
        </w:rPr>
        <w:t xml:space="preserve">prompting </w:t>
      </w:r>
      <w:r>
        <w:rPr>
          <w:rFonts w:cs="Times New Roman"/>
          <w:sz w:val="22"/>
        </w:rPr>
        <w:t xml:space="preserve">me to consider both the policy implications of my research, and the potential trajectories for future research. </w:t>
      </w:r>
    </w:p>
    <w:p w14:paraId="25E00793" w14:textId="0C0DA36A" w:rsidR="005560D3" w:rsidRDefault="005560D3" w:rsidP="005560D3">
      <w:pPr>
        <w:rPr>
          <w:rFonts w:cs="Times New Roman"/>
          <w:sz w:val="22"/>
        </w:rPr>
      </w:pPr>
      <w:r>
        <w:rPr>
          <w:rFonts w:cs="Times New Roman"/>
          <w:sz w:val="22"/>
        </w:rPr>
        <w:tab/>
        <w:t>First, I propose the following recommendation for</w:t>
      </w:r>
      <w:r w:rsidR="002B6AE4">
        <w:rPr>
          <w:rFonts w:cs="Times New Roman"/>
          <w:sz w:val="22"/>
        </w:rPr>
        <w:t xml:space="preserve"> policy related to cav</w:t>
      </w:r>
      <w:r w:rsidR="00577D52">
        <w:rPr>
          <w:rFonts w:cs="Times New Roman"/>
          <w:sz w:val="22"/>
        </w:rPr>
        <w:t>iar trade,</w:t>
      </w:r>
      <w:r>
        <w:rPr>
          <w:rFonts w:cs="Times New Roman"/>
          <w:sz w:val="22"/>
        </w:rPr>
        <w:t xml:space="preserve"> as well as outlining areas where there is a distinct need for policy driven research. My research raised questions </w:t>
      </w:r>
      <w:r>
        <w:rPr>
          <w:rFonts w:cs="Times New Roman"/>
          <w:sz w:val="22"/>
        </w:rPr>
        <w:lastRenderedPageBreak/>
        <w:t>about the conservation potential of farmed caviar production</w:t>
      </w:r>
      <w:r w:rsidR="002B6AE4">
        <w:rPr>
          <w:rFonts w:cs="Times New Roman"/>
          <w:sz w:val="22"/>
        </w:rPr>
        <w:t xml:space="preserve"> in the EU</w:t>
      </w:r>
      <w:r>
        <w:rPr>
          <w:rFonts w:cs="Times New Roman"/>
          <w:sz w:val="22"/>
        </w:rPr>
        <w:t xml:space="preserve">. Ultimately the conservation benefit of farmed caviar production remains a policy grey area, as it has not been demonstrated in a tangible or systematic manner. To this extent, </w:t>
      </w:r>
      <w:r w:rsidR="002B6AE4">
        <w:rPr>
          <w:rFonts w:cs="Times New Roman"/>
          <w:sz w:val="22"/>
        </w:rPr>
        <w:t xml:space="preserve">there is </w:t>
      </w:r>
      <w:r>
        <w:rPr>
          <w:rFonts w:cs="Times New Roman"/>
          <w:sz w:val="22"/>
        </w:rPr>
        <w:t xml:space="preserve">a need for policy driven research that thoroughly assesses farmed caviar production as a supply-side conservation tool. Conservation biologists have developed frameworks to examine other examples of conservation farming </w:t>
      </w:r>
      <w:r>
        <w:rPr>
          <w:rFonts w:cs="Times New Roman"/>
          <w:sz w:val="22"/>
        </w:rPr>
        <w:fldChar w:fldCharType="begin" w:fldLock="1"/>
      </w:r>
      <w:r>
        <w:rPr>
          <w:rFonts w:cs="Times New Roman"/>
          <w:sz w:val="22"/>
        </w:rPr>
        <w:instrText>ADDIN CSL_CITATION {"citationItems":[{"id":"ITEM-1","itemData":{"DOI":"10.1111/cobi.12160","ISSN":"08888892","abstract":"Market-based, supply-side interventions such as domestication, cultivation, and wildlife farming have been proposed as legal substitutes for wild-collected plants and animals in the marketplace. Based on the literature, we devised a list of the conditions under which supply-side interventions may yield positive conservation outcomes. We applied it to the trade of the orchid Rhynchostylis gigantea, a protected ornamental plant. We conducted a survey of R. gigantea at Jatujak Market in Bangkok, Thailand. Farmed (legal) and wild (illegal, protected) specimens of R. gigantea were sold side-by-side at market. These results suggest farmed specimens are not being substituted for wild plants in the marketplace. For any given set of physical plant characteristics (size, condition, flowers), the origin of the plants (wild vs. farmed) did not affect price. For all price classes, farmed plants were of superior quality to wild-collected plants on the basis of most physical variables. These results suggest wild and farmed specimens represent parallel markets and may not be substitutable goods. Our results with R. gigantea highlight a range of explanations for why supply-side interventions may lack effectiveness, for example, consumer preferences for wild-collected products and low financial incentives for farming. Our results suggest that market-based conservation strategies may not be effective by themselves and may be best utilized as supplements to regulation and education. This approach represents a broad, multidisciplinary evaluation of supply-side interventions that can be applied to other plant and animal species. © 2013 Society for Conservation Biology.","author":[{"dropping-particle":"","family":"Phelps","given":"J.","non-dropping-particle":"","parse-names":false,"suffix":""},{"dropping-particle":"","family":"Carrasco","given":"L. R.","non-dropping-particle":"","parse-names":false,"suffix":""},{"dropping-particle":"","family":"Webb","given":"E. L.","non-dropping-particle":"","parse-names":false,"suffix":""}],"container-title":"Conservation Biology","id":"ITEM-1","issue":"1","issued":{"date-parts":[["2014"]]},"page":"244-257","title":"A framework for assessing supply-side wildlife conservation","type":"article-journal","volume":"28"},"uris":["http://www.mendeley.com/documents/?uuid=e052c084-3cdd-4faa-984f-c86af8ae6c7d"]},{"id":"ITEM-2","itemData":{"DOI":"10.1016/j.gecco.2019.e00714","ISSN":"23519894","abstract":"Pangolins are threatened by overexploitation for local and international use. They are subject to an international commercial trade ban, and are also the focus of other interventions, including attempts at commercial captive breeding. The impact that the latter could have on the conservation of wild populations deserves consideration. We critically evaluate the feasibility of commercial captive breeding (or farming) of pangolins to displace wild collection and assess its potential conservation impact on pangolin conservation using a recently published framework developed for this purpose. Of the 17 conditions posited that need to be met for supply-side interventions to displace wild collection, we find that pangolins meet a maximum of only six conditions. This analysis suggests that pangolin farming will not displace wild collection in the near future. Major barriers include an inability to breed pangolins on a commercial scale and available data suggest that it would be unprofitable. The immediate impact of pangolin farming on conservation of the species’ is unclear, but it is unlikely to benefit the conservation of wild populations. If commercial captive breeding were possible, it is uncertain how it would affect economic incentives for poaching, interactions between legal and illegal markets, stockpile policies, and how consumers and Traditional Chinese Medicine (TCM) practitioners would respond. To understand better the potential overall impact of pangolin farming on wild populations there is a need for further research on these uncertainties. The framework used has utility in analysing the potential impact of wildlife farming but there remains a need for a more robust approach to evaluate potential impacts of supply-side interventions.","author":[{"dropping-particle":"","family":"Challender","given":"Daniel W.S.","non-dropping-particle":"","parse-names":false,"suffix":""},{"dropping-particle":"","family":"Sas-Rolfes","given":"Michael't","non-dropping-particle":"","parse-names":false,"suffix":""},{"dropping-particle":"","family":"Ades","given":"Gary W.J.","non-dropping-particle":"","parse-names":false,"suffix":""},{"dropping-particle":"","family":"Chin","given":"Jason S.C.","non-dropping-particle":"","parse-names":false,"suffix":""},{"dropping-particle":"","family":"Ching-Min Sun","given":"Nick","non-dropping-particle":"","parse-names":false,"suffix":""},{"dropping-particle":"","family":"Chong","given":"Ju lian","non-dropping-particle":"","parse-names":false,"suffix":""},{"dropping-particle":"","family":"Connelly","given":"Ellen","non-dropping-particle":"","parse-names":false,"suffix":""},{"dropping-particle":"","family":"Hywood","given":"Lisa","non-dropping-particle":"","parse-names":false,"suffix":""},{"dropping-particle":"","family":"Luz","given":"Sonja","non-dropping-particle":"","parse-names":false,"suffix":""},{"dropping-particle":"","family":"Mohapatra","given":"Rajesh K.","non-dropping-particle":"","parse-names":false,"suffix":""},{"dropping-particle":"","family":"Ornellas","given":"Paul","non-dropping-particle":"de","parse-names":false,"suffix":""},{"dropping-particle":"","family":"Parker","given":"Keri","non-dropping-particle":"","parse-names":false,"suffix":""},{"dropping-particle":"","family":"Pietersen","given":"Darren W.","non-dropping-particle":"","parse-names":false,"suffix":""},{"dropping-particle":"","family":"Roberton","given":"Scott I.","non-dropping-particle":"","parse-names":false,"suffix":""},{"dropping-particle":"","family":"Semiadi","given":"Gono","non-dropping-particle":"","parse-names":false,"suffix":""},{"dropping-particle":"","family":"Shaw","given":"Debbie","non-dropping-particle":"","parse-names":false,"suffix":""},{"dropping-particle":"","family":"Shepherd","given":"Chris R.","non-dropping-particle":"","parse-names":false,"suffix":""},{"dropping-particle":"","family":"Thomson","given":"Paul","non-dropping-particle":"","parse-names":false,"suffix":""},{"dropping-particle":"","family":"Wang","given":"Yifu","non-dropping-particle":"","parse-names":false,"suffix":""},{"dropping-particle":"","family":"Wicker","given":"Leanne","non-dropping-particle":"","parse-names":false,"suffix":""},{"dropping-particle":"","family":"Wu","given":"Shi Bao","non-dropping-particle":"","parse-names":false,"suffix":""},{"dropping-particle":"","family":"Nash","given":"Helen C.","non-dropping-particle":"","parse-names":false,"suffix":""}],"container-title":"Global Ecology and Conservation","id":"ITEM-2","issued":{"date-parts":[["2019"]]},"page":"e00714","publisher":"Elsevier Ltd","title":"Evaluating the feasibility of pangolin farming and its potential conservation impact","type":"article-journal","volume":"20"},"uris":["http://www.mendeley.com/documents/?uuid=e54d5d3a-4453-4149-96fa-8d588057955b"]},{"id":"ITEM-3","itemData":{"DOI":"10.1016/j.gecco.2016.03.007","ISSN":"23519894","abstract":"Wild animals and their derivatives are traded worldwide. Consequent poaching has been a main threat to species conservation. As current interventions and law enforcement cannot circumvent the resulting extinction of species, an alternative approach must be considered. It has been suggested that commercial breeding can keep the pressure off wild populations, referred to as wildlife farming. During this review, it is argued that wildlife farming can benefit species conservation only if the following criteria are met: (i) the legal products will form a substitute, and consumers show no preference for wild-caught animals; (ii) a substantial part of the demand is met, and the demand does not increase due to the legalized market; (iii) the legal products will be more cost-efficient, in order to combat the black market prices; (iv) wildlife farming does not rely on wild populations for re-stocking; (v) laundering of illegal products into the commercial trade is absent. For most species encountered in the wildlife trade, these criteria are unlikely to be met in reality and commercial breeding has the potential to have the opposite effect to what is desired for conservation. For some species, however, none of the criteria are violated, and wildlife farming can be considered a possible conservation tool as it may help to take the pressure off wild populations. For these species, future research should focus on the impact of legal products on the market dynamics, effective law enforcement that can prevent corruption, and wildlife forensics that enable the distinction between captive-bred and wild-caught species.","author":[{"dropping-particle":"","family":"Tensen","given":"Laura","non-dropping-particle":"","parse-names":false,"suffix":""}],"container-title":"Global Ecology and Conservation","id":"ITEM-3","issued":{"date-parts":[["2016"]]},"page":"286-298","publisher":"Elsevier B.V.","title":"Under what circumstances can wildlife farming benefit species conservation?","type":"article-journal","volume":"6"},"uris":["http://www.mendeley.com/documents/?uuid=eef8ae2e-b35d-47ab-a521-63aff1935c86"]}],"mendeley":{"formattedCitation":"(Phelps, Carrasco and Webb, 2014; Tensen, 2016; Challender &lt;i&gt;et al.&lt;/i&gt;, 2019)","plainTextFormattedCitation":"(Phelps, Carrasco and Webb, 2014; Tensen, 2016; Challender et al., 2019)","previouslyFormattedCitation":"(Phelps, Carrasco and Webb, 2014; Tensen, 2016; Challender &lt;i&gt;et al.&lt;/i&gt;, 2019)"},"properties":{"noteIndex":0},"schema":"https://github.com/citation-style-language/schema/raw/master/csl-citation.json"}</w:instrText>
      </w:r>
      <w:r>
        <w:rPr>
          <w:rFonts w:cs="Times New Roman"/>
          <w:sz w:val="22"/>
        </w:rPr>
        <w:fldChar w:fldCharType="separate"/>
      </w:r>
      <w:r w:rsidRPr="00671387">
        <w:rPr>
          <w:rFonts w:cs="Times New Roman"/>
          <w:noProof/>
          <w:sz w:val="22"/>
        </w:rPr>
        <w:t xml:space="preserve">(Phelps, Carrasco and Webb, 2014; Tensen, 2016; Challender </w:t>
      </w:r>
      <w:r w:rsidRPr="00671387">
        <w:rPr>
          <w:rFonts w:cs="Times New Roman"/>
          <w:i/>
          <w:noProof/>
          <w:sz w:val="22"/>
        </w:rPr>
        <w:t>et al.</w:t>
      </w:r>
      <w:r w:rsidRPr="00671387">
        <w:rPr>
          <w:rFonts w:cs="Times New Roman"/>
          <w:noProof/>
          <w:sz w:val="22"/>
        </w:rPr>
        <w:t>, 2019)</w:t>
      </w:r>
      <w:r>
        <w:rPr>
          <w:rFonts w:cs="Times New Roman"/>
          <w:sz w:val="22"/>
        </w:rPr>
        <w:fldChar w:fldCharType="end"/>
      </w:r>
      <w:r>
        <w:rPr>
          <w:rFonts w:cs="Times New Roman"/>
          <w:sz w:val="22"/>
        </w:rPr>
        <w:t>, and have overwhelmingly concluded that the conservation benefit of these initiatives is questionable. I expect that the same conclusions would be made</w:t>
      </w:r>
      <w:r w:rsidR="005823AF">
        <w:rPr>
          <w:rFonts w:cs="Times New Roman"/>
          <w:sz w:val="22"/>
        </w:rPr>
        <w:t xml:space="preserve"> about farmed caviar production; and thus,</w:t>
      </w:r>
      <w:r>
        <w:rPr>
          <w:rFonts w:cs="Times New Roman"/>
          <w:sz w:val="22"/>
        </w:rPr>
        <w:t xml:space="preserve"> such research is greatly needed in order to shift existing policy narratives and priorities. In the meantime, for farmed caviar production to have any demonstrable conservation impact in the EU, I would recomme</w:t>
      </w:r>
      <w:r w:rsidR="005823AF">
        <w:rPr>
          <w:rFonts w:cs="Times New Roman"/>
          <w:sz w:val="22"/>
        </w:rPr>
        <w:t>nd that EU institutions and EU Member S</w:t>
      </w:r>
      <w:r>
        <w:rPr>
          <w:rFonts w:cs="Times New Roman"/>
          <w:sz w:val="22"/>
        </w:rPr>
        <w:t>tates generate legislation that manda</w:t>
      </w:r>
      <w:r w:rsidR="005823AF">
        <w:rPr>
          <w:rFonts w:cs="Times New Roman"/>
          <w:sz w:val="22"/>
        </w:rPr>
        <w:t>tes businesses producing caviar</w:t>
      </w:r>
      <w:r>
        <w:rPr>
          <w:rFonts w:cs="Times New Roman"/>
          <w:sz w:val="22"/>
        </w:rPr>
        <w:t xml:space="preserve"> to engage in specific sturgeon conservation actions</w:t>
      </w:r>
      <w:r w:rsidR="005823AF">
        <w:rPr>
          <w:rFonts w:cs="Times New Roman"/>
          <w:sz w:val="22"/>
        </w:rPr>
        <w:t>,</w:t>
      </w:r>
      <w:r>
        <w:rPr>
          <w:rFonts w:cs="Times New Roman"/>
          <w:sz w:val="22"/>
        </w:rPr>
        <w:t xml:space="preserve"> of which their compliance would be monitored. This is in line with </w:t>
      </w:r>
      <w:r>
        <w:rPr>
          <w:rFonts w:cs="Times New Roman"/>
          <w:sz w:val="22"/>
        </w:rPr>
        <w:fldChar w:fldCharType="begin" w:fldLock="1"/>
      </w:r>
      <w:r>
        <w:rPr>
          <w:rFonts w:cs="Times New Roman"/>
          <w:sz w:val="22"/>
        </w:rPr>
        <w:instrText>ADDIN CSL_CITATION {"citationItems":[{"id":"ITEM-1","itemData":{"DOI":"10.1111/j.1523-1739.2010.01468.x","ISSN":"08888892","abstract":"The lucrative, illegal trade in tigers (Panthera tigris) remains a major conservation problem. Tiger farming has been proposed as a potential solution, with farmed tigers substituting for wild tigers. At first glance, this argument's logic seems simple: farming will increase the supply of tigers, prices will fall, and poaching will no longer be profitable. We contend, however, that this supply-side argument relies on mistaken assumptions. First, tiger markets are imperfect, meaning they are dominated by a few producers who control price. Second, consumers prefer wild tigers to farmed tigers and therefore the two are not pure substitutes. In economic terms, products from wild tigers are luxury goods, commanding a price premium. Third, there is no evidence that farmed tigers can be produced or sold more cheaply than wild tigers. In sum, it is unlikely that farming will drive down the price of wild-caught tigers or decrease profitability for tiger poachers. Rather, tiger farming is more likely to increase aggregate demand for tiger products and stimulate higher levels of poaching. © 2010 Society for Conservation Biology.","author":[{"dropping-particle":"","family":"Kirkpatrick","given":"R. Craig","non-dropping-particle":"","parse-names":false,"suffix":""},{"dropping-particle":"","family":"Emerton","given":"Lucy","non-dropping-particle":"","parse-names":false,"suffix":""}],"container-title":"Conservation Biology","id":"ITEM-1","issue":"3","issued":{"date-parts":[["2010"]]},"page":"655-659","title":"Killing Tigers to Save Them: Fallacies of the Farming Argument","type":"article-journal","volume":"24"},"uris":["http://www.mendeley.com/documents/?uuid=b7bf48c6-48fe-4f70-99c2-026d1bfa0806"]}],"mendeley":{"formattedCitation":"(Kirkpatrick and Emerton, 2010)","manualFormatting":"Kirkpatrick and Emerton's (2010)","plainTextFormattedCitation":"(Kirkpatrick and Emerton, 2010)","previouslyFormattedCitation":"(Kirkpatrick and Emerton, 2010)"},"properties":{"noteIndex":0},"schema":"https://github.com/citation-style-language/schema/raw/master/csl-citation.json"}</w:instrText>
      </w:r>
      <w:r>
        <w:rPr>
          <w:rFonts w:cs="Times New Roman"/>
          <w:sz w:val="22"/>
        </w:rPr>
        <w:fldChar w:fldCharType="separate"/>
      </w:r>
      <w:r>
        <w:rPr>
          <w:rFonts w:cs="Times New Roman"/>
          <w:noProof/>
          <w:sz w:val="22"/>
        </w:rPr>
        <w:t>Kirkpatrick and Emerton's (</w:t>
      </w:r>
      <w:r w:rsidRPr="00494A90">
        <w:rPr>
          <w:rFonts w:cs="Times New Roman"/>
          <w:noProof/>
          <w:sz w:val="22"/>
        </w:rPr>
        <w:t>2010)</w:t>
      </w:r>
      <w:r>
        <w:rPr>
          <w:rFonts w:cs="Times New Roman"/>
          <w:sz w:val="22"/>
        </w:rPr>
        <w:fldChar w:fldCharType="end"/>
      </w:r>
      <w:r>
        <w:rPr>
          <w:rFonts w:cs="Times New Roman"/>
          <w:sz w:val="22"/>
        </w:rPr>
        <w:t xml:space="preserve"> suggestions that tiger farming would have a conceivable benefit for wild tigers, if business interests were excluded and the government of China exerted iron-clad control over the system, and all profits were funnelled into tiger conservation. Arguably it is not feasible for the EU to exert complete control over sturgeon farming, or to entirely divorce business interests from the process. However a concerted effort to bring farmed caviar production in line with sturgeon conservation via new regulatory mechanisms, could have a positive impact for sturgeon conservation in the EU. </w:t>
      </w:r>
    </w:p>
    <w:p w14:paraId="1E8F69EC" w14:textId="50273B99" w:rsidR="005560D3" w:rsidRDefault="005560D3" w:rsidP="005560D3">
      <w:pPr>
        <w:rPr>
          <w:rFonts w:cs="Times New Roman"/>
          <w:sz w:val="22"/>
        </w:rPr>
      </w:pPr>
      <w:r>
        <w:rPr>
          <w:rFonts w:cs="Times New Roman"/>
          <w:sz w:val="22"/>
        </w:rPr>
        <w:tab/>
        <w:t>The process of conducting this PhD research has also revealed future opportunities to build upon the theoretical and empirical foundations of this thesis. My analysis and theoretical arguments regarding the caviar ‘grey market’ in the EU have raised pertinent questions about the potential to develop the grey market framework more broadly for other examples of wildlife trade that have both legal and illegal dimensions. I am interested in further theorizing gre</w:t>
      </w:r>
      <w:r w:rsidR="005823AF">
        <w:rPr>
          <w:rFonts w:cs="Times New Roman"/>
          <w:sz w:val="22"/>
        </w:rPr>
        <w:t>y markets for wildlife products</w:t>
      </w:r>
      <w:r>
        <w:rPr>
          <w:rFonts w:cs="Times New Roman"/>
          <w:sz w:val="22"/>
        </w:rPr>
        <w:t xml:space="preserve"> as a specific geopolitical-ecological </w:t>
      </w:r>
      <w:r w:rsidR="00577D52">
        <w:rPr>
          <w:rFonts w:cs="Times New Roman"/>
          <w:sz w:val="22"/>
        </w:rPr>
        <w:t>phenomenon</w:t>
      </w:r>
      <w:r w:rsidRPr="008B2DB2">
        <w:rPr>
          <w:rFonts w:cs="Times New Roman"/>
          <w:sz w:val="22"/>
        </w:rPr>
        <w:t xml:space="preserve"> that emerges from </w:t>
      </w:r>
      <w:r w:rsidR="005823AF">
        <w:rPr>
          <w:rFonts w:cs="Times New Roman"/>
          <w:sz w:val="22"/>
        </w:rPr>
        <w:t xml:space="preserve">inconsistencies in wildlife trade regulations and is simultaneously </w:t>
      </w:r>
      <w:r w:rsidR="00577D52">
        <w:rPr>
          <w:rFonts w:cs="Times New Roman"/>
          <w:sz w:val="22"/>
        </w:rPr>
        <w:t xml:space="preserve">shaped </w:t>
      </w:r>
      <w:r w:rsidR="005823AF">
        <w:rPr>
          <w:rFonts w:cs="Times New Roman"/>
          <w:sz w:val="22"/>
        </w:rPr>
        <w:t>by the</w:t>
      </w:r>
      <w:r w:rsidRPr="008B2DB2">
        <w:rPr>
          <w:rFonts w:cs="Times New Roman"/>
          <w:sz w:val="22"/>
        </w:rPr>
        <w:t xml:space="preserve"> </w:t>
      </w:r>
      <w:r w:rsidR="005823AF">
        <w:rPr>
          <w:rFonts w:cs="Times New Roman"/>
          <w:sz w:val="22"/>
        </w:rPr>
        <w:t>“</w:t>
      </w:r>
      <w:r w:rsidRPr="008B2DB2">
        <w:rPr>
          <w:rFonts w:cs="Times New Roman"/>
          <w:noProof/>
          <w:sz w:val="22"/>
        </w:rPr>
        <w:t>propertie</w:t>
      </w:r>
      <w:r w:rsidR="005823AF">
        <w:rPr>
          <w:rFonts w:cs="Times New Roman"/>
          <w:noProof/>
          <w:sz w:val="22"/>
        </w:rPr>
        <w:t>s, energies, and potentialities”</w:t>
      </w:r>
      <w:r w:rsidRPr="008B2DB2">
        <w:rPr>
          <w:rFonts w:cs="Times New Roman"/>
          <w:noProof/>
          <w:sz w:val="22"/>
        </w:rPr>
        <w:t xml:space="preserve"> </w:t>
      </w:r>
      <w:r>
        <w:rPr>
          <w:rFonts w:cs="Times New Roman"/>
          <w:noProof/>
          <w:sz w:val="22"/>
        </w:rPr>
        <w:fldChar w:fldCharType="begin" w:fldLock="1"/>
      </w:r>
      <w:r>
        <w:rPr>
          <w:rFonts w:cs="Times New Roman"/>
          <w:noProof/>
          <w:sz w:val="22"/>
        </w:rPr>
        <w:instrText>ADDIN CSL_CITATION {"citationItems":[{"id":"ITEM-1","itemData":{"DOI":"10.1080/00045608.2010.538323","ISSN":"1467-8306","author":[{"dropping-particle":"","family":"Sundberg","given":"Juanita","non-dropping-particle":"","parse-names":false,"suffix":""}],"container-title":"Annals of the Association of American Geographers","id":"ITEM-1","issue":"2","issued":{"date-parts":[["2011"]]},"page":"318-336","title":"Diabolic Caminos in the Desert and Cat Fights on the Río: A Posthumanist Political Ecology of Boundary Enforcement in the United States-Mexico Borderlands","type":"article-journal","volume":"101"},"uris":["http://www.mendeley.com/documents/?uuid=87d9fcca-b3b4-33ea-a05b-75f0deb6179a"]}],"mendeley":{"formattedCitation":"(Sundberg, 2011)","manualFormatting":"(Sundberg, 2011: 318)","plainTextFormattedCitation":"(Sundberg, 2011)","previouslyFormattedCitation":"(Sundberg, 2011)"},"properties":{"noteIndex":0},"schema":"https://github.com/citation-style-language/schema/raw/master/csl-citation.json"}</w:instrText>
      </w:r>
      <w:r>
        <w:rPr>
          <w:rFonts w:cs="Times New Roman"/>
          <w:noProof/>
          <w:sz w:val="22"/>
        </w:rPr>
        <w:fldChar w:fldCharType="separate"/>
      </w:r>
      <w:r w:rsidRPr="008B2DB2">
        <w:rPr>
          <w:rFonts w:cs="Times New Roman"/>
          <w:noProof/>
          <w:sz w:val="22"/>
        </w:rPr>
        <w:t>(Sundberg, 2011</w:t>
      </w:r>
      <w:r>
        <w:rPr>
          <w:rFonts w:cs="Times New Roman"/>
          <w:noProof/>
          <w:sz w:val="22"/>
        </w:rPr>
        <w:t>: 318</w:t>
      </w:r>
      <w:r w:rsidRPr="008B2DB2">
        <w:rPr>
          <w:rFonts w:cs="Times New Roman"/>
          <w:noProof/>
          <w:sz w:val="22"/>
        </w:rPr>
        <w:t>)</w:t>
      </w:r>
      <w:r>
        <w:rPr>
          <w:rFonts w:cs="Times New Roman"/>
          <w:noProof/>
          <w:sz w:val="22"/>
        </w:rPr>
        <w:fldChar w:fldCharType="end"/>
      </w:r>
      <w:r>
        <w:rPr>
          <w:rFonts w:cs="Times New Roman"/>
          <w:noProof/>
          <w:sz w:val="22"/>
        </w:rPr>
        <w:t xml:space="preserve"> of the nonhuman animals, flora, and derivatives being traded in illicit ways. Indeed, other research emerging from the BIOSEC project</w:t>
      </w:r>
      <w:r w:rsidR="005823AF" w:rsidRPr="005B292F">
        <w:rPr>
          <w:rStyle w:val="FootnoteReference"/>
        </w:rPr>
        <w:footnoteReference w:id="328"/>
      </w:r>
      <w:r>
        <w:rPr>
          <w:rFonts w:cs="Times New Roman"/>
          <w:noProof/>
          <w:sz w:val="22"/>
        </w:rPr>
        <w:t xml:space="preserve"> such as Lappe-Osthege’s (forthcoming) work on illicit songbird trade in Europe, lends itself to being analysed from a grey market perspective. Arguably, analysing the geopolitical-ecologies of grey markets for wildlife, also carries with it particular policy implications. The existence of a grey market indicates the complex intertwining of legal and illegal markets for wildlife; and as such, existing policy interventions focusing solely on targetting black markets for wildlife may be misguided. Thus, developing the grey market framework could aid in producing more effective policy interventions in the future. </w:t>
      </w:r>
    </w:p>
    <w:p w14:paraId="45803F65" w14:textId="7DCC53C2" w:rsidR="00CF36B4" w:rsidRDefault="005560D3" w:rsidP="002722B0">
      <w:pPr>
        <w:rPr>
          <w:rFonts w:cs="Times New Roman"/>
          <w:noProof/>
          <w:sz w:val="22"/>
        </w:rPr>
      </w:pPr>
      <w:r>
        <w:rPr>
          <w:rFonts w:cs="Times New Roman"/>
          <w:noProof/>
          <w:sz w:val="22"/>
        </w:rPr>
        <w:lastRenderedPageBreak/>
        <w:tab/>
        <w:t>Finally, I have considered the opportunities for building empirically upon the research I conducted for this PhD thesis. Due to the research design of my project I did not intend or expect to be able to conduct research directly with sturgeon fishing communities in EU sturgeon range states. However, the implications of EU caviar trade regulations have been felt particularly forcefully by sturgeon fishing communities. As such, I would relish the opportunity to pursue sustained qualitative empirical research in s</w:t>
      </w:r>
      <w:r w:rsidR="00784817">
        <w:rPr>
          <w:rFonts w:cs="Times New Roman"/>
          <w:noProof/>
          <w:sz w:val="22"/>
        </w:rPr>
        <w:t>turgeon fishing communities in Romania and Bulgaria</w:t>
      </w:r>
      <w:r>
        <w:rPr>
          <w:rFonts w:cs="Times New Roman"/>
          <w:noProof/>
          <w:sz w:val="22"/>
        </w:rPr>
        <w:t xml:space="preserve">, to determine firsthand how geopolitical processes and decisions made in Brussels directly impact their livelihoods. Existing scholarly research focusing on the social responses of sturgeon fishermen towards conservation policy has been conducted in the Caspian sea region </w:t>
      </w:r>
      <w:r>
        <w:rPr>
          <w:rFonts w:cs="Times New Roman"/>
          <w:noProof/>
          <w:sz w:val="22"/>
        </w:rPr>
        <w:fldChar w:fldCharType="begin" w:fldLock="1"/>
      </w:r>
      <w:r w:rsidR="00D503EA">
        <w:rPr>
          <w:rFonts w:cs="Times New Roman"/>
          <w:noProof/>
          <w:sz w:val="22"/>
        </w:rPr>
        <w:instrText>ADDIN CSL_CITATION {"citationItems":[{"id":"ITEM-1","itemData":{"DOI":"10.1007/s10531-016-1211-x","abstract":"This article explores responses to the implementation of Russian sturgeon conservation policy in three fishing communities (in Dagestan, Kalmykia and the Volga River delta areas), along the Western and Northern coasts of the Caspian Sea. Enforcement of regulatory measures has led to complex socio-cultural responses. We show how social responses to conservation policy generate various forms of poaching. An analytical model of 'soft' and 'hard' forms of poaching is analyzed against three regulatory measures: introduction of specially designated fishing areas in Russia's Caspian fisheries, border zone expansion and the ban on sturgeon fishing. We explain why in Kalmykia the policy led people to stop practicing hard forms of sturgeon fishing, while fishermen in Dagestan responded in a more complex manner by displaying resistance towards the new policies.","author":[{"dropping-particle":"","family":"Ermolin","given":"Ilya","non-dropping-particle":"","parse-names":false,"suffix":""},{"dropping-particle":"","family":"Svolkinas","given":"Linas","non-dropping-particle":"","parse-names":false,"suffix":""}],"container-title":"Biodivers Conserv","id":"ITEM-1","issued":{"date-parts":[["2016"]]},"page":"2929-2945","title":"Who owns sturgeon in the Caspian? New theoretical model of social responses towards state conservation policy","type":"article-journal","volume":"25"},"uris":["http://www.mendeley.com/documents/?uuid=8ba7e264-80d8-3911-a776-c613d29fb5a4"]}],"mendeley":{"formattedCitation":"(Ermolin and Svolkinas, 2016)","plainTextFormattedCitation":"(Ermolin and Svolkinas, 2016)","previouslyFormattedCitation":"(Ermolin and Svolkinas, 2016)"},"properties":{"noteIndex":0},"schema":"https://github.com/citation-style-language/schema/raw/master/csl-citation.json"}</w:instrText>
      </w:r>
      <w:r>
        <w:rPr>
          <w:rFonts w:cs="Times New Roman"/>
          <w:noProof/>
          <w:sz w:val="22"/>
        </w:rPr>
        <w:fldChar w:fldCharType="separate"/>
      </w:r>
      <w:r w:rsidRPr="00014620">
        <w:rPr>
          <w:rFonts w:cs="Times New Roman"/>
          <w:noProof/>
          <w:sz w:val="22"/>
        </w:rPr>
        <w:t>(Ermolin and Svolkinas, 2016)</w:t>
      </w:r>
      <w:r>
        <w:rPr>
          <w:rFonts w:cs="Times New Roman"/>
          <w:noProof/>
          <w:sz w:val="22"/>
        </w:rPr>
        <w:fldChar w:fldCharType="end"/>
      </w:r>
      <w:r w:rsidR="00784817">
        <w:rPr>
          <w:rFonts w:cs="Times New Roman"/>
          <w:noProof/>
          <w:sz w:val="22"/>
        </w:rPr>
        <w:t>, but to my knowledge similar</w:t>
      </w:r>
      <w:r>
        <w:rPr>
          <w:rFonts w:cs="Times New Roman"/>
          <w:noProof/>
          <w:sz w:val="22"/>
        </w:rPr>
        <w:t xml:space="preserve"> in-depth qualitative research has not been carried out in the EU</w:t>
      </w:r>
      <w:r w:rsidR="00784817">
        <w:rPr>
          <w:rFonts w:cs="Times New Roman"/>
          <w:noProof/>
          <w:sz w:val="22"/>
        </w:rPr>
        <w:t xml:space="preserve"> context</w:t>
      </w:r>
      <w:r>
        <w:rPr>
          <w:rFonts w:cs="Times New Roman"/>
          <w:noProof/>
          <w:sz w:val="22"/>
        </w:rPr>
        <w:t>. Moreover, at the time of writing this conclusion the COVID-19 pandemic is affecting humanity at a global scale. This is a significant geopolitical event, which has widespread implications at a range of scales. Indeed, the coronavirus has prompted extensive lay-offs in sturgeon range states, and NGOs have suggested that the dramatic increase in unemployment is likely to lead to an increase in sturgeon crimes as people seek alternative income sources</w:t>
      </w:r>
      <w:r w:rsidRPr="005B292F">
        <w:rPr>
          <w:rStyle w:val="FootnoteReference"/>
        </w:rPr>
        <w:footnoteReference w:id="329"/>
      </w:r>
      <w:r>
        <w:rPr>
          <w:rFonts w:cs="Times New Roman"/>
          <w:noProof/>
          <w:sz w:val="22"/>
        </w:rPr>
        <w:t xml:space="preserve">. At this stage it is impossible to predict how the coronavirus pandemic will affect sturgeon fishing communities either directly or indirectly; but the predictions from NGOs point to a possible route of future inquiry to determine how the socio-political impacts of COVID-19 interact with </w:t>
      </w:r>
      <w:r w:rsidR="00694811">
        <w:rPr>
          <w:rFonts w:cs="Times New Roman"/>
          <w:noProof/>
          <w:sz w:val="22"/>
        </w:rPr>
        <w:t xml:space="preserve">the omissions and ambiguities </w:t>
      </w:r>
      <w:r>
        <w:rPr>
          <w:rFonts w:cs="Times New Roman"/>
          <w:noProof/>
          <w:sz w:val="22"/>
        </w:rPr>
        <w:t>in caviar trade regulations to shape dynamics of illegal caviar trade in the European Union.</w:t>
      </w:r>
    </w:p>
    <w:p w14:paraId="1473F4EE" w14:textId="0C263F44" w:rsidR="00DC5A6F" w:rsidRPr="002722B0" w:rsidRDefault="00DC5A6F" w:rsidP="002722B0">
      <w:pPr>
        <w:rPr>
          <w:rFonts w:cs="Times New Roman"/>
          <w:noProof/>
          <w:sz w:val="22"/>
        </w:rPr>
      </w:pPr>
      <w:r>
        <w:rPr>
          <w:rFonts w:cs="Times New Roman"/>
          <w:noProof/>
          <w:sz w:val="22"/>
        </w:rPr>
        <w:tab/>
        <w:t>This thesis ha</w:t>
      </w:r>
      <w:r w:rsidR="00A41C3F">
        <w:rPr>
          <w:rFonts w:cs="Times New Roman"/>
          <w:noProof/>
          <w:sz w:val="22"/>
        </w:rPr>
        <w:t>s shed necessary empirical insight</w:t>
      </w:r>
      <w:r>
        <w:rPr>
          <w:rFonts w:cs="Times New Roman"/>
          <w:noProof/>
          <w:sz w:val="22"/>
        </w:rPr>
        <w:t xml:space="preserve"> upon the overlooked and unintended geopolitical-ecological implications of caviar trade regulations in the European Union. Following </w:t>
      </w:r>
      <w:r w:rsidR="00A41C3F">
        <w:rPr>
          <w:rFonts w:cs="Times New Roman"/>
          <w:noProof/>
          <w:sz w:val="22"/>
        </w:rPr>
        <w:t>the EU caviar trade policies</w:t>
      </w:r>
      <w:r>
        <w:rPr>
          <w:rFonts w:cs="Times New Roman"/>
          <w:noProof/>
          <w:sz w:val="22"/>
        </w:rPr>
        <w:t xml:space="preserve">, this thesis has demonstrated that the </w:t>
      </w:r>
      <w:r w:rsidR="00A41C3F">
        <w:rPr>
          <w:rFonts w:cs="Times New Roman"/>
          <w:noProof/>
          <w:sz w:val="22"/>
        </w:rPr>
        <w:t xml:space="preserve">regulatory frameworks </w:t>
      </w:r>
      <w:r>
        <w:rPr>
          <w:rFonts w:cs="Times New Roman"/>
          <w:noProof/>
          <w:sz w:val="22"/>
        </w:rPr>
        <w:t>have a number of inconsistencies, which have produced far-ranging geopolitical-ecological effects</w:t>
      </w:r>
      <w:r w:rsidR="00A41C3F">
        <w:rPr>
          <w:rFonts w:cs="Times New Roman"/>
          <w:noProof/>
          <w:sz w:val="22"/>
        </w:rPr>
        <w:t xml:space="preserve"> extending beyond dynamics of illegal caviar trade. These implications are inherently more-than-human, in that they have an impact upon the ecologies of sturgeon and caviar in the EU; and are also indeliby shaped by the behaviours and properties of sturgeon and caviar. Thus, in developing a theoretical framework for more-than-human geopolitical ecology, this thesis centres sturgeon and caviar as </w:t>
      </w:r>
      <w:r w:rsidR="00FB02A5">
        <w:rPr>
          <w:rFonts w:cs="Times New Roman"/>
          <w:noProof/>
          <w:sz w:val="22"/>
        </w:rPr>
        <w:t xml:space="preserve">key </w:t>
      </w:r>
      <w:r w:rsidR="00A41C3F">
        <w:rPr>
          <w:rFonts w:cs="Times New Roman"/>
          <w:noProof/>
          <w:sz w:val="22"/>
        </w:rPr>
        <w:t>actors in the geopolitical-ecologies of EU caviar trade regulation; and ultimately concludes that the regulatory gaps and grey areas have implications upon</w:t>
      </w:r>
      <w:r w:rsidR="00577D52">
        <w:rPr>
          <w:rFonts w:cs="Times New Roman"/>
          <w:noProof/>
          <w:sz w:val="22"/>
        </w:rPr>
        <w:t xml:space="preserve"> and for</w:t>
      </w:r>
      <w:r w:rsidR="00A41C3F">
        <w:rPr>
          <w:rFonts w:cs="Times New Roman"/>
          <w:noProof/>
          <w:sz w:val="22"/>
        </w:rPr>
        <w:t xml:space="preserve">: illegal caviar trade and the caviar industry; hidden political ecologies; security and power; and EU geopolitics. </w:t>
      </w:r>
    </w:p>
    <w:p w14:paraId="3B17AA7F" w14:textId="77777777" w:rsidR="00CF36B4" w:rsidRDefault="00CF36B4" w:rsidP="001139CD">
      <w:pPr>
        <w:spacing w:line="259" w:lineRule="auto"/>
        <w:jc w:val="left"/>
        <w:rPr>
          <w:rFonts w:cs="Times New Roman"/>
          <w:color w:val="000000"/>
          <w:sz w:val="22"/>
        </w:rPr>
      </w:pPr>
    </w:p>
    <w:p w14:paraId="15F4907F" w14:textId="6258211D" w:rsidR="00CF36B4" w:rsidRDefault="00CF36B4" w:rsidP="005560D3">
      <w:pPr>
        <w:pStyle w:val="Heading1"/>
      </w:pPr>
      <w:bookmarkStart w:id="116" w:name="_Toc453224269"/>
      <w:r>
        <w:lastRenderedPageBreak/>
        <w:t>Appendices</w:t>
      </w:r>
      <w:bookmarkEnd w:id="116"/>
    </w:p>
    <w:p w14:paraId="0D570835" w14:textId="7F1717E2" w:rsidR="006275DD" w:rsidRDefault="00CF36B4" w:rsidP="006275DD">
      <w:pPr>
        <w:pStyle w:val="Heading2"/>
      </w:pPr>
      <w:bookmarkStart w:id="117" w:name="_Toc453224270"/>
      <w:r>
        <w:t>Appendix A: Participant Information Sheet</w:t>
      </w:r>
      <w:bookmarkEnd w:id="117"/>
      <w:r>
        <w:t xml:space="preserve"> </w:t>
      </w:r>
    </w:p>
    <w:p w14:paraId="33FC3A6E" w14:textId="77777777" w:rsidR="006275DD" w:rsidRPr="006275DD" w:rsidRDefault="006275DD" w:rsidP="006275DD"/>
    <w:p w14:paraId="33A8AB77" w14:textId="78AF18A6" w:rsidR="006275DD" w:rsidRPr="006275DD" w:rsidRDefault="006275DD" w:rsidP="006275DD">
      <w:pPr>
        <w:jc w:val="center"/>
        <w:rPr>
          <w:rFonts w:ascii="Arial" w:hAnsi="Arial" w:cs="Arial"/>
          <w:b/>
          <w:sz w:val="28"/>
          <w:szCs w:val="28"/>
        </w:rPr>
      </w:pPr>
      <w:r w:rsidRPr="00691D61">
        <w:rPr>
          <w:rFonts w:ascii="Arial" w:hAnsi="Arial" w:cs="Arial"/>
          <w:b/>
          <w:sz w:val="28"/>
          <w:szCs w:val="28"/>
        </w:rPr>
        <w:t>BIOSEC Participant Information Sheet</w:t>
      </w:r>
      <w:r>
        <w:rPr>
          <w:rFonts w:ascii="Arial" w:hAnsi="Arial" w:cs="Arial"/>
          <w:b/>
          <w:sz w:val="28"/>
          <w:szCs w:val="28"/>
        </w:rPr>
        <w:t xml:space="preserve"> </w:t>
      </w:r>
    </w:p>
    <w:p w14:paraId="68C6C7D9" w14:textId="77777777" w:rsidR="006275DD" w:rsidRDefault="006275DD" w:rsidP="006275DD">
      <w:r>
        <w:rPr>
          <w:noProof/>
          <w:lang w:val="en-US" w:eastAsia="en-US"/>
        </w:rPr>
        <mc:AlternateContent>
          <mc:Choice Requires="wps">
            <w:drawing>
              <wp:anchor distT="0" distB="0" distL="114300" distR="114300" simplePos="0" relativeHeight="251661312" behindDoc="0" locked="0" layoutInCell="1" allowOverlap="1" wp14:anchorId="6BD879CF" wp14:editId="4AC93AE1">
                <wp:simplePos x="0" y="0"/>
                <wp:positionH relativeFrom="column">
                  <wp:posOffset>2286000</wp:posOffset>
                </wp:positionH>
                <wp:positionV relativeFrom="paragraph">
                  <wp:posOffset>187960</wp:posOffset>
                </wp:positionV>
                <wp:extent cx="2628900" cy="1896745"/>
                <wp:effectExtent l="0" t="0" r="0" b="8255"/>
                <wp:wrapSquare wrapText="bothSides"/>
                <wp:docPr id="14" name="Text Box 14"/>
                <wp:cNvGraphicFramePr/>
                <a:graphic xmlns:a="http://schemas.openxmlformats.org/drawingml/2006/main">
                  <a:graphicData uri="http://schemas.microsoft.com/office/word/2010/wordprocessingShape">
                    <wps:wsp>
                      <wps:cNvSpPr txBox="1"/>
                      <wps:spPr>
                        <a:xfrm>
                          <a:off x="0" y="0"/>
                          <a:ext cx="2628900" cy="189674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FF6EB0" w14:textId="73332D20" w:rsidR="00765797" w:rsidRPr="006275DD" w:rsidRDefault="00765797" w:rsidP="006275DD">
                            <w:pPr>
                              <w:rPr>
                                <w:rFonts w:ascii="Arial" w:hAnsi="Arial" w:cs="Arial"/>
                                <w:b/>
                                <w:i/>
                              </w:rPr>
                            </w:pPr>
                            <w:r>
                              <w:rPr>
                                <w:rFonts w:ascii="Arial" w:hAnsi="Arial" w:cs="Arial"/>
                                <w:b/>
                                <w:i/>
                              </w:rPr>
                              <w:t xml:space="preserve">BIOSEC: </w:t>
                            </w:r>
                            <w:r w:rsidRPr="00EA4B43">
                              <w:rPr>
                                <w:rFonts w:ascii="Arial" w:hAnsi="Arial" w:cs="Arial"/>
                                <w:b/>
                                <w:i/>
                              </w:rPr>
                              <w:t>Biodiversity and Security.</w:t>
                            </w:r>
                          </w:p>
                          <w:p w14:paraId="574644D5" w14:textId="77777777" w:rsidR="00765797" w:rsidRPr="00912CB0" w:rsidRDefault="00765797" w:rsidP="006275DD">
                            <w:pPr>
                              <w:rPr>
                                <w:rFonts w:ascii="Arial" w:hAnsi="Arial" w:cs="Arial"/>
                                <w:i/>
                                <w:sz w:val="22"/>
                              </w:rPr>
                            </w:pPr>
                            <w:r>
                              <w:rPr>
                                <w:rFonts w:cs="Times New Roman"/>
                                <w:b/>
                              </w:rPr>
                              <w:t xml:space="preserve">Work Package 2: </w:t>
                            </w:r>
                            <w:r w:rsidRPr="00A94148">
                              <w:rPr>
                                <w:rFonts w:cs="Times New Roman"/>
                                <w:b/>
                                <w:szCs w:val="24"/>
                              </w:rPr>
                              <w:t>Examining the impacts of regulations on the geopolitical-ecology of caviar trade in the European Union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4" o:spid="_x0000_s1026" type="#_x0000_t202" style="position:absolute;left:0;text-align:left;margin-left:180pt;margin-top:14.8pt;width:207pt;height:149.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" filled="f" stroked="f">
                <v:textbox>
                  <w:txbxContent>
                    <w:p w14:paraId="79FF6EB0" w14:textId="73332D20" w:rsidR="00765797" w:rsidRPr="006275DD" w:rsidRDefault="00765797" w:rsidP="006275DD">
                      <w:pPr>
                        <w:rPr>
                          <w:rFonts w:ascii="Arial" w:hAnsi="Arial" w:cs="Arial"/>
                          <w:b/>
                          <w:i/>
                        </w:rPr>
                      </w:pPr>
                      <w:r>
                        <w:rPr>
                          <w:rFonts w:ascii="Arial" w:hAnsi="Arial" w:cs="Arial"/>
                          <w:b/>
                          <w:i/>
                        </w:rPr>
                        <w:t xml:space="preserve">BIOSEC: </w:t>
                      </w:r>
                      <w:r w:rsidRPr="00EA4B43">
                        <w:rPr>
                          <w:rFonts w:ascii="Arial" w:hAnsi="Arial" w:cs="Arial"/>
                          <w:b/>
                          <w:i/>
                        </w:rPr>
                        <w:t>Biodiversity and Security.</w:t>
                      </w:r>
                    </w:p>
                    <w:p w14:paraId="574644D5" w14:textId="77777777" w:rsidR="00765797" w:rsidRPr="00912CB0" w:rsidRDefault="00765797" w:rsidP="006275DD">
                      <w:pPr>
                        <w:rPr>
                          <w:rFonts w:ascii="Arial" w:hAnsi="Arial" w:cs="Arial"/>
                          <w:i/>
                          <w:sz w:val="22"/>
                        </w:rPr>
                      </w:pPr>
                      <w:r>
                        <w:rPr>
                          <w:rFonts w:cs="Times New Roman"/>
                          <w:b/>
                        </w:rPr>
                        <w:t xml:space="preserve">Work Package 2: </w:t>
                      </w:r>
                      <w:r w:rsidRPr="00A94148">
                        <w:rPr>
                          <w:rFonts w:cs="Times New Roman"/>
                          <w:b/>
                          <w:szCs w:val="24"/>
                        </w:rPr>
                        <w:t>Examining the impacts of regulations on the geopolitical-ecology of caviar trade in the European Union</w:t>
                      </w:r>
                    </w:p>
                  </w:txbxContent>
                </v:textbox>
                <w10:wrap type="square"/>
              </v:shape>
            </w:pict>
          </mc:Fallback>
        </mc:AlternateContent>
      </w:r>
      <w:r>
        <w:rPr>
          <w:noProof/>
          <w:lang w:val="en-US" w:eastAsia="en-US"/>
        </w:rPr>
        <w:drawing>
          <wp:inline distT="0" distB="0" distL="0" distR="0" wp14:anchorId="44C5B9F6" wp14:editId="707BFB7D">
            <wp:extent cx="1943100" cy="18161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SEC VARATIONS-GREENCIRCLE.png"/>
                    <pic:cNvPicPr/>
                  </pic:nvPicPr>
                  <pic:blipFill>
                    <a:blip r:embed="rId32">
                      <a:extLst>
                        <a:ext uri="{28A0092B-C50C-407E-A947-70E740481C1C}">
                          <a14:useLocalDpi xmlns:a14="http://schemas.microsoft.com/office/drawing/2010/main" val="0"/>
                        </a:ext>
                      </a:extLst>
                    </a:blip>
                    <a:stretch>
                      <a:fillRect/>
                    </a:stretch>
                  </pic:blipFill>
                  <pic:spPr>
                    <a:xfrm>
                      <a:off x="0" y="0"/>
                      <a:ext cx="1943247" cy="1816237"/>
                    </a:xfrm>
                    <a:prstGeom prst="rect">
                      <a:avLst/>
                    </a:prstGeom>
                  </pic:spPr>
                </pic:pic>
              </a:graphicData>
            </a:graphic>
          </wp:inline>
        </w:drawing>
      </w:r>
    </w:p>
    <w:p w14:paraId="38A94E15" w14:textId="77777777" w:rsidR="006275DD" w:rsidRDefault="006275DD" w:rsidP="006275DD">
      <w:pPr>
        <w:widowControl w:val="0"/>
        <w:autoSpaceDE w:val="0"/>
        <w:autoSpaceDN w:val="0"/>
        <w:adjustRightInd w:val="0"/>
        <w:rPr>
          <w:rFonts w:ascii="Arial" w:hAnsi="Arial" w:cs="Arial"/>
          <w:i/>
          <w:iCs/>
          <w:color w:val="000000"/>
          <w:sz w:val="20"/>
          <w:szCs w:val="20"/>
          <w:lang w:val="en-US"/>
        </w:rPr>
      </w:pPr>
    </w:p>
    <w:p w14:paraId="7CA5F5C3" w14:textId="36D3DC16" w:rsidR="006275DD" w:rsidRPr="003E5B6E" w:rsidRDefault="006275DD" w:rsidP="006275DD">
      <w:pPr>
        <w:widowControl w:val="0"/>
        <w:autoSpaceDE w:val="0"/>
        <w:autoSpaceDN w:val="0"/>
        <w:adjustRightInd w:val="0"/>
        <w:rPr>
          <w:rFonts w:ascii="Arial" w:hAnsi="Arial" w:cs="Arial"/>
          <w:i/>
          <w:iCs/>
          <w:color w:val="000000"/>
          <w:sz w:val="20"/>
          <w:szCs w:val="20"/>
          <w:lang w:val="en-US"/>
        </w:rPr>
      </w:pPr>
      <w:r w:rsidRPr="003E5B6E">
        <w:rPr>
          <w:rFonts w:ascii="Arial" w:hAnsi="Arial" w:cs="Arial"/>
          <w:i/>
          <w:iCs/>
          <w:color w:val="000000"/>
          <w:sz w:val="20"/>
          <w:szCs w:val="20"/>
          <w:lang w:val="en-US"/>
        </w:rPr>
        <w:t>You are being invited to take part in a research project. Before you decide it is important for you to understand why the research is being done and what it will involve. Please take time to read the following information carefully and discuss it with others if you wish. Ask us if there is anything that is not clear or if you would like more information. Please take time to decide whether or not you wish to take part. Thank you for reading this.</w:t>
      </w:r>
    </w:p>
    <w:p w14:paraId="05D24270" w14:textId="77777777" w:rsidR="006275DD" w:rsidRPr="003E5B6E" w:rsidRDefault="006275DD" w:rsidP="006275DD">
      <w:pPr>
        <w:rPr>
          <w:rFonts w:ascii="Arial" w:hAnsi="Arial" w:cs="Arial"/>
          <w:b/>
          <w:sz w:val="20"/>
          <w:szCs w:val="20"/>
        </w:rPr>
      </w:pPr>
      <w:r w:rsidRPr="003E5B6E">
        <w:rPr>
          <w:rFonts w:ascii="Arial" w:hAnsi="Arial" w:cs="Arial"/>
          <w:b/>
          <w:sz w:val="20"/>
          <w:szCs w:val="20"/>
        </w:rPr>
        <w:t>Purpose of the</w:t>
      </w:r>
      <w:r>
        <w:rPr>
          <w:rFonts w:ascii="Arial" w:hAnsi="Arial" w:cs="Arial"/>
          <w:b/>
          <w:sz w:val="20"/>
          <w:szCs w:val="20"/>
        </w:rPr>
        <w:t xml:space="preserve"> BIOSEC</w:t>
      </w:r>
      <w:r w:rsidRPr="003E5B6E">
        <w:rPr>
          <w:rFonts w:ascii="Arial" w:hAnsi="Arial" w:cs="Arial"/>
          <w:b/>
          <w:sz w:val="20"/>
          <w:szCs w:val="20"/>
        </w:rPr>
        <w:t xml:space="preserve"> Project</w:t>
      </w:r>
    </w:p>
    <w:p w14:paraId="60C47222" w14:textId="5EE29C2A" w:rsidR="006275DD" w:rsidRPr="003E5B6E" w:rsidRDefault="006275DD" w:rsidP="006275DD">
      <w:pPr>
        <w:rPr>
          <w:rFonts w:ascii="Arial" w:hAnsi="Arial" w:cs="Arial"/>
          <w:sz w:val="20"/>
          <w:szCs w:val="20"/>
        </w:rPr>
      </w:pPr>
      <w:r w:rsidRPr="003E5B6E">
        <w:rPr>
          <w:rFonts w:ascii="Arial" w:hAnsi="Arial" w:cs="Arial"/>
          <w:sz w:val="20"/>
          <w:szCs w:val="20"/>
        </w:rPr>
        <w:t xml:space="preserve">The BIOSEC project </w:t>
      </w:r>
      <w:r>
        <w:rPr>
          <w:rFonts w:ascii="Arial" w:hAnsi="Arial" w:cs="Arial"/>
          <w:sz w:val="20"/>
          <w:szCs w:val="20"/>
        </w:rPr>
        <w:t xml:space="preserve">critically </w:t>
      </w:r>
      <w:r w:rsidRPr="003E5B6E">
        <w:rPr>
          <w:rFonts w:ascii="Arial" w:hAnsi="Arial" w:cs="Arial"/>
          <w:sz w:val="20"/>
          <w:szCs w:val="20"/>
        </w:rPr>
        <w:t>examines whether the illegal wildlife trade is a global security threat. Levels of poaching and trafficking of some of the world’s most iconic species have increased. NGOs, national governments and international organisations have claimed that wildlife trafficking generates ‘threat finance’ – that is that it funds organized crime and terrorism.  But the evidence for this is sparse – and we need to develop a much better understanding of the relationships between them.</w:t>
      </w:r>
    </w:p>
    <w:p w14:paraId="6B5B7690" w14:textId="77777777" w:rsidR="006275DD" w:rsidRPr="003E5B6E" w:rsidRDefault="006275DD" w:rsidP="006275DD">
      <w:pPr>
        <w:rPr>
          <w:rFonts w:ascii="Arial" w:hAnsi="Arial" w:cs="Arial"/>
          <w:sz w:val="20"/>
          <w:szCs w:val="20"/>
        </w:rPr>
      </w:pPr>
      <w:r w:rsidRPr="003E5B6E">
        <w:rPr>
          <w:rFonts w:ascii="Arial" w:hAnsi="Arial" w:cs="Arial"/>
          <w:sz w:val="20"/>
          <w:szCs w:val="20"/>
        </w:rPr>
        <w:t xml:space="preserve">The </w:t>
      </w:r>
      <w:r>
        <w:rPr>
          <w:rFonts w:ascii="Arial" w:hAnsi="Arial" w:cs="Arial"/>
          <w:sz w:val="20"/>
          <w:szCs w:val="20"/>
        </w:rPr>
        <w:t xml:space="preserve">BIOSEC </w:t>
      </w:r>
      <w:r w:rsidRPr="003E5B6E">
        <w:rPr>
          <w:rFonts w:ascii="Arial" w:hAnsi="Arial" w:cs="Arial"/>
          <w:sz w:val="20"/>
          <w:szCs w:val="20"/>
        </w:rPr>
        <w:t xml:space="preserve">project is </w:t>
      </w:r>
      <w:r>
        <w:rPr>
          <w:rFonts w:ascii="Arial" w:hAnsi="Arial" w:cs="Arial"/>
          <w:sz w:val="20"/>
          <w:szCs w:val="20"/>
        </w:rPr>
        <w:t xml:space="preserve">led by Professor Rosaleen Duffy and is </w:t>
      </w:r>
      <w:r w:rsidRPr="003E5B6E">
        <w:rPr>
          <w:rFonts w:ascii="Arial" w:hAnsi="Arial" w:cs="Arial"/>
          <w:sz w:val="20"/>
          <w:szCs w:val="20"/>
        </w:rPr>
        <w:t xml:space="preserve">based in the Politics Department, University of Sheffield, UK. </w:t>
      </w:r>
    </w:p>
    <w:p w14:paraId="0166723E" w14:textId="0A3A713E" w:rsidR="006275DD" w:rsidRDefault="006275DD" w:rsidP="006275DD">
      <w:pPr>
        <w:rPr>
          <w:rFonts w:ascii="Arial" w:hAnsi="Arial" w:cs="Arial"/>
          <w:sz w:val="20"/>
          <w:szCs w:val="20"/>
        </w:rPr>
      </w:pPr>
      <w:r w:rsidRPr="003E5B6E">
        <w:rPr>
          <w:rFonts w:ascii="Arial" w:hAnsi="Arial" w:cs="Arial"/>
          <w:sz w:val="20"/>
          <w:szCs w:val="20"/>
        </w:rPr>
        <w:t>Mor</w:t>
      </w:r>
      <w:r>
        <w:rPr>
          <w:rFonts w:ascii="Arial" w:hAnsi="Arial" w:cs="Arial"/>
          <w:sz w:val="20"/>
          <w:szCs w:val="20"/>
        </w:rPr>
        <w:t>e information is on our webpage:</w:t>
      </w:r>
      <w:r w:rsidRPr="003E5B6E">
        <w:rPr>
          <w:rFonts w:ascii="Arial" w:hAnsi="Arial" w:cs="Arial"/>
          <w:sz w:val="20"/>
          <w:szCs w:val="20"/>
        </w:rPr>
        <w:t xml:space="preserve"> </w:t>
      </w:r>
      <w:hyperlink r:id="rId33" w:history="1">
        <w:r w:rsidRPr="00A771DD">
          <w:rPr>
            <w:rStyle w:val="Hyperlink"/>
            <w:rFonts w:ascii="Arial" w:hAnsi="Arial" w:cs="Arial"/>
            <w:sz w:val="20"/>
            <w:szCs w:val="20"/>
          </w:rPr>
          <w:t>https://biosecproject.org</w:t>
        </w:r>
      </w:hyperlink>
      <w:r>
        <w:rPr>
          <w:rFonts w:ascii="Arial" w:hAnsi="Arial" w:cs="Arial"/>
          <w:sz w:val="20"/>
          <w:szCs w:val="20"/>
        </w:rPr>
        <w:t xml:space="preserve"> </w:t>
      </w:r>
      <w:r w:rsidRPr="003E5B6E">
        <w:rPr>
          <w:rFonts w:ascii="Arial" w:hAnsi="Arial" w:cs="Arial"/>
          <w:sz w:val="20"/>
          <w:szCs w:val="20"/>
        </w:rPr>
        <w:t>and on our twitter feed</w:t>
      </w:r>
      <w:r>
        <w:rPr>
          <w:rFonts w:ascii="Arial" w:hAnsi="Arial" w:cs="Arial"/>
          <w:sz w:val="20"/>
          <w:szCs w:val="20"/>
        </w:rPr>
        <w:t>:</w:t>
      </w:r>
      <w:r w:rsidRPr="003E5B6E">
        <w:rPr>
          <w:rFonts w:ascii="Arial" w:hAnsi="Arial" w:cs="Arial"/>
          <w:sz w:val="20"/>
          <w:szCs w:val="20"/>
        </w:rPr>
        <w:t xml:space="preserve"> @biosec_erc</w:t>
      </w:r>
      <w:r>
        <w:rPr>
          <w:rFonts w:ascii="Arial" w:hAnsi="Arial" w:cs="Arial"/>
          <w:sz w:val="20"/>
          <w:szCs w:val="20"/>
        </w:rPr>
        <w:br/>
      </w:r>
    </w:p>
    <w:p w14:paraId="1C9C3648" w14:textId="7E0468EE" w:rsidR="006275DD" w:rsidRPr="006275DD" w:rsidRDefault="006275DD" w:rsidP="006275DD">
      <w:pPr>
        <w:rPr>
          <w:rFonts w:ascii="Arial" w:hAnsi="Arial" w:cs="Arial"/>
          <w:b/>
          <w:sz w:val="20"/>
          <w:szCs w:val="20"/>
        </w:rPr>
      </w:pPr>
      <w:r w:rsidRPr="002A0B13">
        <w:rPr>
          <w:rFonts w:ascii="Arial" w:hAnsi="Arial" w:cs="Arial"/>
          <w:b/>
          <w:sz w:val="20"/>
          <w:szCs w:val="20"/>
        </w:rPr>
        <w:t>Project Specifics:  Following-the</w:t>
      </w:r>
      <w:r>
        <w:rPr>
          <w:rFonts w:ascii="Arial" w:hAnsi="Arial" w:cs="Arial"/>
          <w:b/>
          <w:sz w:val="20"/>
          <w:szCs w:val="20"/>
        </w:rPr>
        <w:t xml:space="preserve">-Policy: Examining the regulation of the trade in caviar within the European Union </w:t>
      </w:r>
    </w:p>
    <w:p w14:paraId="062CA996" w14:textId="77777777" w:rsidR="006275DD" w:rsidRDefault="006275DD" w:rsidP="006275DD">
      <w:pPr>
        <w:rPr>
          <w:rFonts w:ascii="Arial" w:hAnsi="Arial" w:cs="Arial"/>
          <w:sz w:val="20"/>
          <w:szCs w:val="20"/>
        </w:rPr>
      </w:pPr>
      <w:r>
        <w:rPr>
          <w:rFonts w:ascii="Arial" w:hAnsi="Arial" w:cs="Arial"/>
          <w:sz w:val="20"/>
          <w:szCs w:val="20"/>
        </w:rPr>
        <w:t xml:space="preserve">The sturgeon/caviar project is a component of the overall BIOSEC project. Hannah Dickinson will carry out this specific research project, for the purposes of her doctoral research. The findings from this research will directly contribute to and be included in Hannah’s PhD thesis. </w:t>
      </w:r>
    </w:p>
    <w:p w14:paraId="7A7291EA" w14:textId="77777777" w:rsidR="006275DD" w:rsidRDefault="006275DD" w:rsidP="006275DD">
      <w:pPr>
        <w:rPr>
          <w:rFonts w:ascii="Arial" w:hAnsi="Arial" w:cs="Arial"/>
          <w:sz w:val="20"/>
          <w:szCs w:val="20"/>
        </w:rPr>
      </w:pPr>
      <w:r>
        <w:rPr>
          <w:rFonts w:ascii="Arial" w:hAnsi="Arial" w:cs="Arial"/>
          <w:sz w:val="20"/>
          <w:szCs w:val="20"/>
        </w:rPr>
        <w:lastRenderedPageBreak/>
        <w:t xml:space="preserve">The project is informed by the main project aims discussed above. The EU has increasingly framed wildlife trafficking as on organized crime with security implications. The illicit trade in caviar has often been linked to organized crime, yet there are limited explorations made into how the EU is practically responding to this trade. </w:t>
      </w:r>
    </w:p>
    <w:p w14:paraId="07793F21" w14:textId="6E5A5537" w:rsidR="006275DD" w:rsidRPr="003E5B6E" w:rsidRDefault="006275DD" w:rsidP="006275DD">
      <w:pPr>
        <w:rPr>
          <w:rFonts w:ascii="Arial" w:hAnsi="Arial" w:cs="Arial"/>
          <w:sz w:val="20"/>
          <w:szCs w:val="20"/>
        </w:rPr>
      </w:pPr>
      <w:r>
        <w:rPr>
          <w:rFonts w:ascii="Arial" w:hAnsi="Arial" w:cs="Arial"/>
          <w:sz w:val="20"/>
          <w:szCs w:val="20"/>
        </w:rPr>
        <w:t>This research therefore seeks to investigate how the interlink between wildlife crime, organized crime and security is influencing the EU’s regulatory approach to the illegal trade in sturgeon and caviar.</w:t>
      </w:r>
    </w:p>
    <w:p w14:paraId="5177779B" w14:textId="77777777" w:rsidR="006275DD" w:rsidRPr="003E5B6E" w:rsidRDefault="006275DD" w:rsidP="006275DD">
      <w:pPr>
        <w:rPr>
          <w:rFonts w:ascii="Arial" w:hAnsi="Arial" w:cs="Arial"/>
          <w:b/>
          <w:sz w:val="20"/>
          <w:szCs w:val="20"/>
        </w:rPr>
      </w:pPr>
      <w:r w:rsidRPr="003E5B6E">
        <w:rPr>
          <w:rFonts w:ascii="Arial" w:hAnsi="Arial" w:cs="Arial"/>
          <w:b/>
          <w:sz w:val="20"/>
          <w:szCs w:val="20"/>
        </w:rPr>
        <w:t>Why am I being contacted?</w:t>
      </w:r>
    </w:p>
    <w:p w14:paraId="44547BE9" w14:textId="1A841538" w:rsidR="006275DD" w:rsidRPr="003E5B6E" w:rsidRDefault="006275DD" w:rsidP="006275DD">
      <w:pPr>
        <w:rPr>
          <w:rFonts w:ascii="Arial" w:hAnsi="Arial" w:cs="Arial"/>
          <w:sz w:val="20"/>
          <w:szCs w:val="20"/>
        </w:rPr>
      </w:pPr>
      <w:r>
        <w:rPr>
          <w:rFonts w:ascii="Arial" w:hAnsi="Arial" w:cs="Arial"/>
          <w:sz w:val="20"/>
          <w:szCs w:val="20"/>
        </w:rPr>
        <w:t xml:space="preserve">You have important specialist knowledge related to the caviar trade (in the EU or beyond) and/or the regulation of wildlife crime more generally within the EU. </w:t>
      </w:r>
      <w:r w:rsidRPr="003E5B6E">
        <w:rPr>
          <w:rFonts w:ascii="Arial" w:hAnsi="Arial" w:cs="Arial"/>
          <w:sz w:val="20"/>
          <w:szCs w:val="20"/>
        </w:rPr>
        <w:t xml:space="preserve">We believe that your input into this research is critically important and will provide us with unique insights into </w:t>
      </w:r>
      <w:r>
        <w:rPr>
          <w:rFonts w:ascii="Arial" w:hAnsi="Arial" w:cs="Arial"/>
          <w:sz w:val="20"/>
          <w:szCs w:val="20"/>
        </w:rPr>
        <w:t>how the EU is attempting to regulate the trade in caviar, and what wider impacts this has. Your involvement will contribute to the wider BIOSEC aims, in terms of providing relevant information about the possible intersections between biodiversity conservation and security. As such, the BIOSEC team</w:t>
      </w:r>
      <w:r w:rsidRPr="003E5B6E">
        <w:rPr>
          <w:rFonts w:ascii="Arial" w:hAnsi="Arial" w:cs="Arial"/>
          <w:sz w:val="20"/>
          <w:szCs w:val="20"/>
        </w:rPr>
        <w:t xml:space="preserve"> hope that this research will ultimately provide policy relevant information and advice for key stakeholders in the conservation community. </w:t>
      </w:r>
    </w:p>
    <w:p w14:paraId="7822604C" w14:textId="77777777" w:rsidR="006275DD" w:rsidRPr="003E5B6E" w:rsidRDefault="006275DD" w:rsidP="006275DD">
      <w:pPr>
        <w:rPr>
          <w:rFonts w:ascii="Arial" w:hAnsi="Arial" w:cs="Arial"/>
          <w:b/>
          <w:sz w:val="20"/>
          <w:szCs w:val="20"/>
        </w:rPr>
      </w:pPr>
      <w:r w:rsidRPr="003E5B6E">
        <w:rPr>
          <w:rFonts w:ascii="Arial" w:hAnsi="Arial" w:cs="Arial"/>
          <w:b/>
          <w:sz w:val="20"/>
          <w:szCs w:val="20"/>
        </w:rPr>
        <w:t>Do I have to take part?</w:t>
      </w:r>
    </w:p>
    <w:p w14:paraId="59D54ED3" w14:textId="77777777" w:rsidR="006275DD" w:rsidRDefault="006275DD" w:rsidP="006275DD">
      <w:pPr>
        <w:widowControl w:val="0"/>
        <w:autoSpaceDE w:val="0"/>
        <w:autoSpaceDN w:val="0"/>
        <w:adjustRightInd w:val="0"/>
        <w:rPr>
          <w:rFonts w:ascii="Arial" w:hAnsi="Arial" w:cs="Arial"/>
          <w:sz w:val="20"/>
          <w:szCs w:val="20"/>
        </w:rPr>
      </w:pPr>
      <w:r w:rsidRPr="003E5B6E">
        <w:rPr>
          <w:rFonts w:ascii="Arial" w:hAnsi="Arial" w:cs="Arial"/>
          <w:sz w:val="20"/>
          <w:szCs w:val="20"/>
        </w:rPr>
        <w:t xml:space="preserve">Participation is entirely voluntary. It is up to you to decide whether to take part or not. </w:t>
      </w:r>
    </w:p>
    <w:p w14:paraId="4BFBE8DB" w14:textId="582ED118" w:rsidR="006275DD" w:rsidRPr="006275DD" w:rsidRDefault="006275DD" w:rsidP="006275DD">
      <w:pPr>
        <w:widowControl w:val="0"/>
        <w:autoSpaceDE w:val="0"/>
        <w:autoSpaceDN w:val="0"/>
        <w:adjustRightInd w:val="0"/>
        <w:rPr>
          <w:rFonts w:ascii="Arial" w:hAnsi="Arial" w:cs="Arial"/>
          <w:iCs/>
          <w:color w:val="000000"/>
          <w:sz w:val="20"/>
          <w:szCs w:val="20"/>
          <w:lang w:val="en-US"/>
        </w:rPr>
      </w:pPr>
      <w:r w:rsidRPr="003E5B6E">
        <w:rPr>
          <w:rFonts w:ascii="Arial" w:hAnsi="Arial" w:cs="Arial"/>
          <w:iCs/>
          <w:color w:val="000000"/>
          <w:sz w:val="20"/>
          <w:szCs w:val="20"/>
          <w:lang w:val="en-US"/>
        </w:rPr>
        <w:t xml:space="preserve">If you do decide to take part you will be given this information sheet to keep (and be asked to sign a consent form) and you can still withdraw at any time. You do not have to give a reason. </w:t>
      </w:r>
    </w:p>
    <w:p w14:paraId="1A20F041" w14:textId="77777777" w:rsidR="006275DD" w:rsidRPr="003E5B6E" w:rsidRDefault="006275DD" w:rsidP="006275DD">
      <w:pPr>
        <w:widowControl w:val="0"/>
        <w:autoSpaceDE w:val="0"/>
        <w:autoSpaceDN w:val="0"/>
        <w:adjustRightInd w:val="0"/>
        <w:rPr>
          <w:rFonts w:ascii="Arial" w:hAnsi="Arial" w:cs="Arial"/>
          <w:b/>
          <w:bCs/>
          <w:color w:val="000000"/>
          <w:sz w:val="20"/>
          <w:szCs w:val="20"/>
          <w:lang w:val="en-US"/>
        </w:rPr>
      </w:pPr>
      <w:r w:rsidRPr="003E5B6E">
        <w:rPr>
          <w:rFonts w:ascii="Arial" w:hAnsi="Arial" w:cs="Arial"/>
          <w:b/>
          <w:bCs/>
          <w:color w:val="000000"/>
          <w:sz w:val="20"/>
          <w:szCs w:val="20"/>
          <w:lang w:val="en-US"/>
        </w:rPr>
        <w:t>What does it mean for me if I decide to take part?</w:t>
      </w:r>
    </w:p>
    <w:p w14:paraId="7CADA728" w14:textId="77777777" w:rsidR="006275DD" w:rsidRDefault="006275DD" w:rsidP="006275DD">
      <w:pPr>
        <w:widowControl w:val="0"/>
        <w:autoSpaceDE w:val="0"/>
        <w:autoSpaceDN w:val="0"/>
        <w:adjustRightInd w:val="0"/>
        <w:rPr>
          <w:rFonts w:ascii="Arial" w:hAnsi="Arial" w:cs="Arial"/>
          <w:bCs/>
          <w:color w:val="000000"/>
          <w:sz w:val="20"/>
          <w:szCs w:val="20"/>
          <w:lang w:val="en-US"/>
        </w:rPr>
      </w:pPr>
      <w:r>
        <w:rPr>
          <w:rFonts w:ascii="Arial" w:hAnsi="Arial" w:cs="Arial"/>
          <w:bCs/>
          <w:color w:val="000000"/>
          <w:sz w:val="20"/>
          <w:szCs w:val="20"/>
          <w:lang w:val="en-US"/>
        </w:rPr>
        <w:t>Hannah Dickinson</w:t>
      </w:r>
      <w:r w:rsidRPr="003E5B6E">
        <w:rPr>
          <w:rFonts w:ascii="Arial" w:hAnsi="Arial" w:cs="Arial"/>
          <w:bCs/>
          <w:color w:val="000000"/>
          <w:sz w:val="20"/>
          <w:szCs w:val="20"/>
          <w:lang w:val="en-US"/>
        </w:rPr>
        <w:t xml:space="preserve"> will contact you to arrange a convenient time for a semi-structured interview</w:t>
      </w:r>
      <w:r>
        <w:rPr>
          <w:rFonts w:ascii="Arial" w:hAnsi="Arial" w:cs="Arial"/>
          <w:bCs/>
          <w:color w:val="000000"/>
          <w:sz w:val="20"/>
          <w:szCs w:val="20"/>
          <w:lang w:val="en-US"/>
        </w:rPr>
        <w:t>, consisting of open-</w:t>
      </w:r>
      <w:r w:rsidRPr="003E5B6E">
        <w:rPr>
          <w:rFonts w:ascii="Arial" w:hAnsi="Arial" w:cs="Arial"/>
          <w:bCs/>
          <w:color w:val="000000"/>
          <w:sz w:val="20"/>
          <w:szCs w:val="20"/>
          <w:lang w:val="en-US"/>
        </w:rPr>
        <w:t xml:space="preserve">ended questions about </w:t>
      </w:r>
      <w:r>
        <w:rPr>
          <w:rFonts w:ascii="Arial" w:hAnsi="Arial" w:cs="Arial"/>
          <w:bCs/>
          <w:color w:val="000000"/>
          <w:sz w:val="20"/>
          <w:szCs w:val="20"/>
          <w:lang w:val="en-US"/>
        </w:rPr>
        <w:t xml:space="preserve">how your organization is involved in the regulation of the caviar trade. </w:t>
      </w:r>
    </w:p>
    <w:p w14:paraId="2CF2968E" w14:textId="77777777" w:rsidR="006275DD" w:rsidRDefault="006275DD" w:rsidP="006275DD">
      <w:pPr>
        <w:widowControl w:val="0"/>
        <w:autoSpaceDE w:val="0"/>
        <w:autoSpaceDN w:val="0"/>
        <w:adjustRightInd w:val="0"/>
        <w:rPr>
          <w:rFonts w:ascii="Arial" w:hAnsi="Arial" w:cs="Arial"/>
          <w:bCs/>
          <w:color w:val="000000"/>
          <w:sz w:val="20"/>
          <w:szCs w:val="20"/>
          <w:lang w:val="en-US"/>
        </w:rPr>
      </w:pPr>
      <w:r>
        <w:rPr>
          <w:rFonts w:ascii="Arial" w:hAnsi="Arial" w:cs="Arial"/>
          <w:bCs/>
          <w:color w:val="000000"/>
          <w:sz w:val="20"/>
          <w:szCs w:val="20"/>
          <w:lang w:val="en-US"/>
        </w:rPr>
        <w:t>If you are a not a representative of an organization directly involved in regulating the caviar trade, the interview will consist of open-ended questions related to your relevant expert knowledge, and/or your involvement/understanding of the (legal) caviar trade and EU policy/regulation.</w:t>
      </w:r>
    </w:p>
    <w:p w14:paraId="71868426" w14:textId="77777777" w:rsidR="006275DD" w:rsidRPr="003E5B6E" w:rsidRDefault="006275DD" w:rsidP="006275DD">
      <w:pPr>
        <w:widowControl w:val="0"/>
        <w:autoSpaceDE w:val="0"/>
        <w:autoSpaceDN w:val="0"/>
        <w:adjustRightInd w:val="0"/>
        <w:rPr>
          <w:rFonts w:ascii="Arial" w:hAnsi="Arial" w:cs="Arial"/>
          <w:color w:val="000000"/>
          <w:sz w:val="20"/>
          <w:szCs w:val="20"/>
          <w:lang w:val="en-US"/>
        </w:rPr>
      </w:pPr>
      <w:r w:rsidRPr="003E5B6E">
        <w:rPr>
          <w:rFonts w:ascii="Arial" w:hAnsi="Arial" w:cs="Arial"/>
          <w:bCs/>
          <w:color w:val="000000"/>
          <w:sz w:val="20"/>
          <w:szCs w:val="20"/>
          <w:lang w:val="en-US"/>
        </w:rPr>
        <w:t>Typically interviews</w:t>
      </w:r>
      <w:r>
        <w:rPr>
          <w:rFonts w:ascii="Arial" w:hAnsi="Arial" w:cs="Arial"/>
          <w:bCs/>
          <w:color w:val="000000"/>
          <w:sz w:val="20"/>
          <w:szCs w:val="20"/>
          <w:lang w:val="en-US"/>
        </w:rPr>
        <w:t xml:space="preserve"> will</w:t>
      </w:r>
      <w:r w:rsidRPr="003E5B6E">
        <w:rPr>
          <w:rFonts w:ascii="Arial" w:hAnsi="Arial" w:cs="Arial"/>
          <w:bCs/>
          <w:color w:val="000000"/>
          <w:sz w:val="20"/>
          <w:szCs w:val="20"/>
          <w:lang w:val="en-US"/>
        </w:rPr>
        <w:t xml:space="preserve"> last 30 – 60 minutes and are conducted either at your place of work or another agreed location</w:t>
      </w:r>
      <w:r>
        <w:rPr>
          <w:rFonts w:ascii="Arial" w:hAnsi="Arial" w:cs="Arial"/>
          <w:bCs/>
          <w:color w:val="000000"/>
          <w:sz w:val="20"/>
          <w:szCs w:val="20"/>
          <w:lang w:val="en-US"/>
        </w:rPr>
        <w:t>, or Skype if it is not possible to meet in person</w:t>
      </w:r>
      <w:r w:rsidRPr="003E5B6E">
        <w:rPr>
          <w:rFonts w:ascii="Arial" w:hAnsi="Arial" w:cs="Arial"/>
          <w:bCs/>
          <w:color w:val="000000"/>
          <w:sz w:val="20"/>
          <w:szCs w:val="20"/>
          <w:lang w:val="en-US"/>
        </w:rPr>
        <w:t xml:space="preserve">. Interviews will be recorded with your consent; if you prefer not to be recorded that is also fine, and the interviewer will take brief notes instead. After the interview you will be provided with a full transcript – you are welcome to add/modify this to ensure it accurately captures your views.  Your comments will be anonymised – your name will be kept separate from the transcript and you will be anonymised in any written outputs (papers, policy briefs etc). </w:t>
      </w:r>
      <w:r w:rsidRPr="003E5B6E">
        <w:rPr>
          <w:rFonts w:ascii="Arial" w:hAnsi="Arial" w:cs="Arial"/>
          <w:sz w:val="20"/>
          <w:szCs w:val="20"/>
        </w:rPr>
        <w:t>The</w:t>
      </w:r>
      <w:r>
        <w:rPr>
          <w:rFonts w:ascii="Arial" w:hAnsi="Arial" w:cs="Arial"/>
          <w:sz w:val="20"/>
          <w:szCs w:val="20"/>
        </w:rPr>
        <w:t xml:space="preserve"> BIOSEC</w:t>
      </w:r>
      <w:r w:rsidRPr="003E5B6E">
        <w:rPr>
          <w:rFonts w:ascii="Arial" w:hAnsi="Arial" w:cs="Arial"/>
          <w:sz w:val="20"/>
          <w:szCs w:val="20"/>
        </w:rPr>
        <w:t xml:space="preserve"> team will </w:t>
      </w:r>
      <w:r>
        <w:rPr>
          <w:rFonts w:ascii="Arial" w:hAnsi="Arial" w:cs="Arial"/>
          <w:sz w:val="20"/>
          <w:szCs w:val="20"/>
        </w:rPr>
        <w:t>be the only individuals given access to the transcript of your interview.</w:t>
      </w:r>
    </w:p>
    <w:p w14:paraId="50889958" w14:textId="77777777" w:rsidR="006275DD" w:rsidRPr="003E5B6E" w:rsidRDefault="006275DD" w:rsidP="006275DD">
      <w:pPr>
        <w:rPr>
          <w:rFonts w:ascii="Arial" w:hAnsi="Arial" w:cs="Arial"/>
          <w:sz w:val="20"/>
          <w:szCs w:val="20"/>
        </w:rPr>
      </w:pPr>
    </w:p>
    <w:p w14:paraId="236FA268" w14:textId="77777777" w:rsidR="006275DD" w:rsidRPr="003E5B6E" w:rsidRDefault="006275DD" w:rsidP="006275DD">
      <w:pPr>
        <w:rPr>
          <w:rFonts w:ascii="Arial" w:hAnsi="Arial" w:cs="Arial"/>
          <w:b/>
          <w:sz w:val="20"/>
          <w:szCs w:val="20"/>
        </w:rPr>
      </w:pPr>
      <w:r w:rsidRPr="003E5B6E">
        <w:rPr>
          <w:rFonts w:ascii="Arial" w:hAnsi="Arial" w:cs="Arial"/>
          <w:b/>
          <w:sz w:val="20"/>
          <w:szCs w:val="20"/>
        </w:rPr>
        <w:lastRenderedPageBreak/>
        <w:t>What are the risks of taking part?</w:t>
      </w:r>
    </w:p>
    <w:p w14:paraId="0CB636AB" w14:textId="77777777" w:rsidR="006275DD" w:rsidRDefault="006275DD" w:rsidP="006275DD">
      <w:pPr>
        <w:rPr>
          <w:rFonts w:ascii="Arial" w:hAnsi="Arial" w:cs="Arial"/>
          <w:sz w:val="20"/>
          <w:szCs w:val="20"/>
        </w:rPr>
      </w:pPr>
      <w:r w:rsidRPr="003E5B6E">
        <w:rPr>
          <w:rFonts w:ascii="Arial" w:hAnsi="Arial" w:cs="Arial"/>
          <w:sz w:val="20"/>
          <w:szCs w:val="20"/>
        </w:rPr>
        <w:t xml:space="preserve">The BIOSEC team have worked carefully to avoid and minimise any potential risks for participants.  The research aims to engage critically with the ways that conservation </w:t>
      </w:r>
      <w:r>
        <w:rPr>
          <w:rFonts w:ascii="Arial" w:hAnsi="Arial" w:cs="Arial"/>
          <w:sz w:val="20"/>
          <w:szCs w:val="20"/>
        </w:rPr>
        <w:t xml:space="preserve">and </w:t>
      </w:r>
      <w:r w:rsidRPr="003E5B6E">
        <w:rPr>
          <w:rFonts w:ascii="Arial" w:hAnsi="Arial" w:cs="Arial"/>
          <w:sz w:val="20"/>
          <w:szCs w:val="20"/>
        </w:rPr>
        <w:t xml:space="preserve">security might be integrated; this may not be regarded positively by some organisations. </w:t>
      </w:r>
      <w:r>
        <w:rPr>
          <w:rFonts w:ascii="Arial" w:hAnsi="Arial" w:cs="Arial"/>
          <w:sz w:val="20"/>
          <w:szCs w:val="20"/>
        </w:rPr>
        <w:t xml:space="preserve">This research is expressly </w:t>
      </w:r>
      <w:r w:rsidRPr="00D5732B">
        <w:rPr>
          <w:rFonts w:ascii="Arial" w:hAnsi="Arial" w:cs="Arial"/>
          <w:i/>
          <w:sz w:val="20"/>
          <w:szCs w:val="20"/>
        </w:rPr>
        <w:t>not</w:t>
      </w:r>
      <w:r>
        <w:rPr>
          <w:rFonts w:ascii="Arial" w:hAnsi="Arial" w:cs="Arial"/>
          <w:sz w:val="20"/>
          <w:szCs w:val="20"/>
        </w:rPr>
        <w:t xml:space="preserve"> about uncovering evidence of illegal activity – instead it centres on understanding the role of EU policymakers and related bodies in regulating the caviar trade. </w:t>
      </w:r>
    </w:p>
    <w:p w14:paraId="72591760" w14:textId="17187810" w:rsidR="006275DD" w:rsidRPr="003E5B6E" w:rsidRDefault="006275DD" w:rsidP="006275DD">
      <w:pPr>
        <w:rPr>
          <w:rFonts w:ascii="Arial" w:hAnsi="Arial" w:cs="Arial"/>
          <w:sz w:val="20"/>
          <w:szCs w:val="20"/>
        </w:rPr>
      </w:pPr>
      <w:r>
        <w:rPr>
          <w:rFonts w:ascii="Arial" w:hAnsi="Arial" w:cs="Arial"/>
          <w:sz w:val="20"/>
          <w:szCs w:val="20"/>
        </w:rPr>
        <w:t xml:space="preserve">The team will </w:t>
      </w:r>
      <w:r w:rsidRPr="003E5B6E">
        <w:rPr>
          <w:rFonts w:ascii="Arial" w:hAnsi="Arial" w:cs="Arial"/>
          <w:sz w:val="20"/>
          <w:szCs w:val="20"/>
        </w:rPr>
        <w:t xml:space="preserve">endeavour to ensure that your comments are anonymised; </w:t>
      </w:r>
      <w:r>
        <w:rPr>
          <w:rFonts w:ascii="Arial" w:hAnsi="Arial" w:cs="Arial"/>
          <w:sz w:val="20"/>
          <w:szCs w:val="20"/>
        </w:rPr>
        <w:t>all data will be stored securely</w:t>
      </w:r>
      <w:r w:rsidRPr="003E5B6E">
        <w:rPr>
          <w:rFonts w:ascii="Arial" w:hAnsi="Arial" w:cs="Arial"/>
          <w:sz w:val="20"/>
          <w:szCs w:val="20"/>
        </w:rPr>
        <w:t xml:space="preserve"> on encrypted flashdrives and password protected compu</w:t>
      </w:r>
      <w:r>
        <w:rPr>
          <w:rFonts w:ascii="Arial" w:hAnsi="Arial" w:cs="Arial"/>
          <w:sz w:val="20"/>
          <w:szCs w:val="20"/>
        </w:rPr>
        <w:t>ters. We will not utilise cloud-</w:t>
      </w:r>
      <w:r w:rsidRPr="003E5B6E">
        <w:rPr>
          <w:rFonts w:ascii="Arial" w:hAnsi="Arial" w:cs="Arial"/>
          <w:sz w:val="20"/>
          <w:szCs w:val="20"/>
        </w:rPr>
        <w:t xml:space="preserve">based storage for this research project. </w:t>
      </w:r>
    </w:p>
    <w:p w14:paraId="5EE2A067" w14:textId="77777777" w:rsidR="006275DD" w:rsidRPr="003E5B6E" w:rsidRDefault="006275DD" w:rsidP="006275DD">
      <w:pPr>
        <w:rPr>
          <w:rFonts w:ascii="Arial" w:hAnsi="Arial" w:cs="Arial"/>
          <w:b/>
          <w:sz w:val="20"/>
          <w:szCs w:val="20"/>
        </w:rPr>
      </w:pPr>
      <w:r w:rsidRPr="003E5B6E">
        <w:rPr>
          <w:rFonts w:ascii="Arial" w:hAnsi="Arial" w:cs="Arial"/>
          <w:b/>
          <w:sz w:val="20"/>
          <w:szCs w:val="20"/>
        </w:rPr>
        <w:t>What are the benefits of taking part?</w:t>
      </w:r>
    </w:p>
    <w:p w14:paraId="5C33A1BE" w14:textId="20C2B855" w:rsidR="006275DD" w:rsidRPr="003E5B6E" w:rsidRDefault="006275DD" w:rsidP="006275DD">
      <w:pPr>
        <w:autoSpaceDE w:val="0"/>
        <w:autoSpaceDN w:val="0"/>
        <w:adjustRightInd w:val="0"/>
        <w:rPr>
          <w:rFonts w:ascii="Arial" w:hAnsi="Arial" w:cs="Arial"/>
          <w:sz w:val="20"/>
          <w:szCs w:val="20"/>
        </w:rPr>
      </w:pPr>
      <w:r w:rsidRPr="003E5B6E">
        <w:rPr>
          <w:rFonts w:ascii="Arial" w:hAnsi="Arial" w:cs="Arial"/>
          <w:sz w:val="20"/>
          <w:szCs w:val="20"/>
        </w:rPr>
        <w:t>As the conservation community develops new security-oriented approaches to the illegal wildlife trade, policy-makers urgently need more information in order to design more effective and socially just response</w:t>
      </w:r>
      <w:r>
        <w:rPr>
          <w:rFonts w:ascii="Arial" w:hAnsi="Arial" w:cs="Arial"/>
          <w:sz w:val="20"/>
          <w:szCs w:val="20"/>
        </w:rPr>
        <w:t>s. The BIOSEC project team aim</w:t>
      </w:r>
      <w:r w:rsidRPr="003E5B6E">
        <w:rPr>
          <w:rFonts w:ascii="Arial" w:hAnsi="Arial" w:cs="Arial"/>
          <w:sz w:val="20"/>
          <w:szCs w:val="20"/>
        </w:rPr>
        <w:t xml:space="preserve"> to develop new approaches to assist and support user groups in practical actions.  We hope that this research will inform and shape effective conservation strategies. </w:t>
      </w:r>
    </w:p>
    <w:p w14:paraId="43D0EB96" w14:textId="77777777" w:rsidR="006275DD" w:rsidRPr="003E5B6E" w:rsidRDefault="006275DD" w:rsidP="006275DD">
      <w:pPr>
        <w:autoSpaceDE w:val="0"/>
        <w:autoSpaceDN w:val="0"/>
        <w:adjustRightInd w:val="0"/>
        <w:rPr>
          <w:rFonts w:ascii="Arial" w:hAnsi="Arial" w:cs="Arial"/>
          <w:b/>
          <w:sz w:val="20"/>
          <w:szCs w:val="20"/>
        </w:rPr>
      </w:pPr>
      <w:r w:rsidRPr="003E5B6E">
        <w:rPr>
          <w:rFonts w:ascii="Arial" w:hAnsi="Arial" w:cs="Arial"/>
          <w:b/>
          <w:sz w:val="20"/>
          <w:szCs w:val="20"/>
        </w:rPr>
        <w:t>What if I wish to make a complaint?</w:t>
      </w:r>
    </w:p>
    <w:p w14:paraId="06E5F5F1" w14:textId="69266965" w:rsidR="006275DD" w:rsidRPr="003E5B6E" w:rsidRDefault="006275DD" w:rsidP="006275DD">
      <w:pPr>
        <w:rPr>
          <w:rFonts w:ascii="Arial" w:eastAsia="Times New Roman" w:hAnsi="Arial" w:cs="Arial"/>
          <w:sz w:val="20"/>
          <w:szCs w:val="20"/>
          <w:shd w:val="clear" w:color="auto" w:fill="FFFFFF"/>
        </w:rPr>
      </w:pPr>
      <w:r w:rsidRPr="003E5B6E">
        <w:rPr>
          <w:rFonts w:ascii="Arial" w:hAnsi="Arial" w:cs="Arial"/>
          <w:sz w:val="20"/>
          <w:szCs w:val="20"/>
        </w:rPr>
        <w:t xml:space="preserve">We welcome feedback, both positive and negative, in order to improve our research practice. If you wish to make a complaint then please contact the Principal Investigator on the BIOSEC Project, Professor Rosaleen Duffy, </w:t>
      </w:r>
      <w:hyperlink r:id="rId34" w:history="1">
        <w:r w:rsidRPr="003E5B6E">
          <w:rPr>
            <w:rStyle w:val="Hyperlink"/>
            <w:rFonts w:ascii="Arial" w:hAnsi="Arial" w:cs="Arial"/>
            <w:sz w:val="20"/>
            <w:szCs w:val="20"/>
          </w:rPr>
          <w:t>r.v.duffy@sheffield.ac.uk</w:t>
        </w:r>
      </w:hyperlink>
      <w:r w:rsidRPr="003E5B6E">
        <w:rPr>
          <w:rFonts w:ascii="Arial" w:hAnsi="Arial" w:cs="Arial"/>
          <w:sz w:val="20"/>
          <w:szCs w:val="20"/>
        </w:rPr>
        <w:t xml:space="preserve"> and Ruth Wilson, the project manager on </w:t>
      </w:r>
      <w:hyperlink r:id="rId35" w:history="1">
        <w:r w:rsidRPr="003E5B6E">
          <w:rPr>
            <w:rStyle w:val="Hyperlink"/>
            <w:rFonts w:ascii="Arial" w:hAnsi="Arial" w:cs="Arial"/>
            <w:sz w:val="20"/>
            <w:szCs w:val="20"/>
          </w:rPr>
          <w:t>biosec@sheffield.ac.uk</w:t>
        </w:r>
      </w:hyperlink>
      <w:r w:rsidRPr="003E5B6E">
        <w:rPr>
          <w:rFonts w:ascii="Arial" w:hAnsi="Arial" w:cs="Arial"/>
          <w:sz w:val="20"/>
          <w:szCs w:val="20"/>
        </w:rPr>
        <w:t xml:space="preserve">. If you do not feel that your complaint has been dealt with properly then you can directly contact Lucy Martinez, the research manager in the Department of Politics, who will be able to take the complaint forward to the Head of Department and through the appropriate channels in the University. Her contact details are </w:t>
      </w:r>
      <w:hyperlink r:id="rId36" w:history="1">
        <w:r w:rsidRPr="003E5B6E">
          <w:rPr>
            <w:rStyle w:val="Hyperlink"/>
            <w:rFonts w:ascii="Arial" w:hAnsi="Arial" w:cs="Arial"/>
            <w:sz w:val="20"/>
            <w:szCs w:val="20"/>
          </w:rPr>
          <w:t>l.martinez@sheffield.ac.uk</w:t>
        </w:r>
      </w:hyperlink>
      <w:r w:rsidRPr="003E5B6E">
        <w:rPr>
          <w:rFonts w:ascii="Arial" w:hAnsi="Arial" w:cs="Arial"/>
          <w:sz w:val="20"/>
          <w:szCs w:val="20"/>
        </w:rPr>
        <w:t>, tel  +44 (</w:t>
      </w:r>
      <w:r w:rsidRPr="003E5B6E">
        <w:rPr>
          <w:rFonts w:ascii="Arial" w:eastAsia="Times New Roman" w:hAnsi="Arial" w:cs="Arial"/>
          <w:sz w:val="20"/>
          <w:szCs w:val="20"/>
          <w:shd w:val="clear" w:color="auto" w:fill="FFFFFF"/>
        </w:rPr>
        <w:t>0)114 2220665.</w:t>
      </w:r>
    </w:p>
    <w:p w14:paraId="3F18DDF1" w14:textId="77777777" w:rsidR="006275DD" w:rsidRPr="003E5B6E" w:rsidRDefault="006275DD" w:rsidP="006275DD">
      <w:pPr>
        <w:rPr>
          <w:rFonts w:ascii="Arial" w:eastAsia="Times New Roman" w:hAnsi="Arial" w:cs="Arial"/>
          <w:b/>
          <w:sz w:val="20"/>
          <w:szCs w:val="20"/>
          <w:shd w:val="clear" w:color="auto" w:fill="FFFFFF"/>
        </w:rPr>
      </w:pPr>
      <w:r w:rsidRPr="003E5B6E">
        <w:rPr>
          <w:rFonts w:ascii="Arial" w:eastAsia="Times New Roman" w:hAnsi="Arial" w:cs="Arial"/>
          <w:b/>
          <w:sz w:val="20"/>
          <w:szCs w:val="20"/>
          <w:shd w:val="clear" w:color="auto" w:fill="FFFFFF"/>
        </w:rPr>
        <w:t>Will my taking part be kept confidential?</w:t>
      </w:r>
    </w:p>
    <w:p w14:paraId="075563FD" w14:textId="01A643B4" w:rsidR="006275DD" w:rsidRPr="003E5B6E" w:rsidRDefault="006275DD" w:rsidP="006275DD">
      <w:pPr>
        <w:rPr>
          <w:rFonts w:ascii="Arial" w:eastAsia="Times New Roman" w:hAnsi="Arial" w:cs="Arial"/>
          <w:sz w:val="20"/>
          <w:szCs w:val="20"/>
          <w:shd w:val="clear" w:color="auto" w:fill="FFFFFF"/>
        </w:rPr>
      </w:pPr>
      <w:r w:rsidRPr="003E5B6E">
        <w:rPr>
          <w:rFonts w:ascii="Arial" w:eastAsia="Times New Roman" w:hAnsi="Arial" w:cs="Arial"/>
          <w:sz w:val="20"/>
          <w:szCs w:val="20"/>
          <w:shd w:val="clear" w:color="auto" w:fill="FFFFFF"/>
        </w:rPr>
        <w:t>Yes. All the information we collect will be kept confident</w:t>
      </w:r>
      <w:r>
        <w:rPr>
          <w:rFonts w:ascii="Arial" w:eastAsia="Times New Roman" w:hAnsi="Arial" w:cs="Arial"/>
          <w:sz w:val="20"/>
          <w:szCs w:val="20"/>
          <w:shd w:val="clear" w:color="auto" w:fill="FFFFFF"/>
        </w:rPr>
        <w:t>ial. You will not be named in an</w:t>
      </w:r>
      <w:r w:rsidRPr="003E5B6E">
        <w:rPr>
          <w:rFonts w:ascii="Arial" w:eastAsia="Times New Roman" w:hAnsi="Arial" w:cs="Arial"/>
          <w:sz w:val="20"/>
          <w:szCs w:val="20"/>
          <w:shd w:val="clear" w:color="auto" w:fill="FFFFFF"/>
        </w:rPr>
        <w:t xml:space="preserve">y reports or publications. </w:t>
      </w:r>
    </w:p>
    <w:p w14:paraId="71E99DF9" w14:textId="77777777" w:rsidR="006275DD" w:rsidRPr="003E5B6E" w:rsidRDefault="006275DD" w:rsidP="006275DD">
      <w:pPr>
        <w:rPr>
          <w:rFonts w:ascii="Arial" w:eastAsia="Times New Roman" w:hAnsi="Arial" w:cs="Arial"/>
          <w:b/>
          <w:sz w:val="20"/>
          <w:szCs w:val="20"/>
          <w:shd w:val="clear" w:color="auto" w:fill="FFFFFF"/>
        </w:rPr>
      </w:pPr>
      <w:r w:rsidRPr="003E5B6E">
        <w:rPr>
          <w:rFonts w:ascii="Arial" w:eastAsia="Times New Roman" w:hAnsi="Arial" w:cs="Arial"/>
          <w:b/>
          <w:sz w:val="20"/>
          <w:szCs w:val="20"/>
          <w:shd w:val="clear" w:color="auto" w:fill="FFFFFF"/>
        </w:rPr>
        <w:t>What will happen to the results of the research?</w:t>
      </w:r>
    </w:p>
    <w:p w14:paraId="00D917C3" w14:textId="627FF51B" w:rsidR="006275DD" w:rsidRPr="003E5B6E" w:rsidRDefault="006275DD" w:rsidP="006275DD">
      <w:pPr>
        <w:rPr>
          <w:rFonts w:ascii="Arial" w:eastAsia="Times New Roman" w:hAnsi="Arial" w:cs="Arial"/>
          <w:sz w:val="20"/>
          <w:szCs w:val="20"/>
          <w:shd w:val="clear" w:color="auto" w:fill="FFFFFF"/>
        </w:rPr>
      </w:pPr>
      <w:r>
        <w:rPr>
          <w:rFonts w:ascii="Arial" w:eastAsia="Times New Roman" w:hAnsi="Arial" w:cs="Arial"/>
          <w:sz w:val="20"/>
          <w:szCs w:val="20"/>
          <w:shd w:val="clear" w:color="auto" w:fill="FFFFFF"/>
        </w:rPr>
        <w:t xml:space="preserve">The results from this research will form the basis of my PhD thesis. The results will also be written up into a series of academic publications, policy reports, working papers and presentations for conferences/workshops. </w:t>
      </w:r>
      <w:r w:rsidRPr="003E5B6E">
        <w:rPr>
          <w:rFonts w:ascii="Arial" w:eastAsia="Times New Roman" w:hAnsi="Arial" w:cs="Arial"/>
          <w:sz w:val="20"/>
          <w:szCs w:val="20"/>
          <w:shd w:val="clear" w:color="auto" w:fill="FFFFFF"/>
        </w:rPr>
        <w:t>You will not be identified in any of these.  Due to the nature of this kind of qualitative research, the information you provide will not be made available for secondary use by other researchers.</w:t>
      </w:r>
    </w:p>
    <w:p w14:paraId="2371533B" w14:textId="77777777" w:rsidR="006275DD" w:rsidRPr="003E5B6E" w:rsidRDefault="006275DD" w:rsidP="006275DD">
      <w:pPr>
        <w:rPr>
          <w:rFonts w:ascii="Arial" w:eastAsia="Times New Roman" w:hAnsi="Arial" w:cs="Arial"/>
          <w:b/>
          <w:sz w:val="20"/>
          <w:szCs w:val="20"/>
          <w:shd w:val="clear" w:color="auto" w:fill="FFFFFF"/>
        </w:rPr>
      </w:pPr>
      <w:r w:rsidRPr="003E5B6E">
        <w:rPr>
          <w:rFonts w:ascii="Arial" w:eastAsia="Times New Roman" w:hAnsi="Arial" w:cs="Arial"/>
          <w:b/>
          <w:sz w:val="20"/>
          <w:szCs w:val="20"/>
          <w:shd w:val="clear" w:color="auto" w:fill="FFFFFF"/>
        </w:rPr>
        <w:t>Who is funding the research?</w:t>
      </w:r>
    </w:p>
    <w:p w14:paraId="13972897" w14:textId="61EAE6CC" w:rsidR="006275DD" w:rsidRPr="003E5B6E" w:rsidRDefault="006275DD" w:rsidP="006275DD">
      <w:pPr>
        <w:rPr>
          <w:rFonts w:ascii="Arial" w:eastAsia="Times New Roman" w:hAnsi="Arial" w:cs="Arial"/>
          <w:sz w:val="20"/>
          <w:szCs w:val="20"/>
          <w:shd w:val="clear" w:color="auto" w:fill="FFFFFF"/>
        </w:rPr>
      </w:pPr>
      <w:r w:rsidRPr="003E5B6E">
        <w:rPr>
          <w:rFonts w:ascii="Arial" w:eastAsia="Times New Roman" w:hAnsi="Arial" w:cs="Arial"/>
          <w:sz w:val="20"/>
          <w:szCs w:val="20"/>
          <w:shd w:val="clear" w:color="auto" w:fill="FFFFFF"/>
        </w:rPr>
        <w:t>This project is funded by a European Research Counc</w:t>
      </w:r>
      <w:r>
        <w:rPr>
          <w:rFonts w:ascii="Arial" w:eastAsia="Times New Roman" w:hAnsi="Arial" w:cs="Arial"/>
          <w:sz w:val="20"/>
          <w:szCs w:val="20"/>
          <w:shd w:val="clear" w:color="auto" w:fill="FFFFFF"/>
        </w:rPr>
        <w:t>il Advanced Investigator Award, 2016-2020.</w:t>
      </w:r>
    </w:p>
    <w:p w14:paraId="28FCF489" w14:textId="77777777" w:rsidR="006275DD" w:rsidRPr="003E5B6E" w:rsidRDefault="006275DD" w:rsidP="006275DD">
      <w:pPr>
        <w:rPr>
          <w:rFonts w:ascii="Arial" w:eastAsia="Times New Roman" w:hAnsi="Arial" w:cs="Arial"/>
          <w:b/>
          <w:sz w:val="20"/>
          <w:szCs w:val="20"/>
          <w:shd w:val="clear" w:color="auto" w:fill="FFFFFF"/>
        </w:rPr>
      </w:pPr>
      <w:r w:rsidRPr="003E5B6E">
        <w:rPr>
          <w:rFonts w:ascii="Arial" w:eastAsia="Times New Roman" w:hAnsi="Arial" w:cs="Arial"/>
          <w:b/>
          <w:sz w:val="20"/>
          <w:szCs w:val="20"/>
          <w:shd w:val="clear" w:color="auto" w:fill="FFFFFF"/>
        </w:rPr>
        <w:lastRenderedPageBreak/>
        <w:t>Who has reviewed this project ethically?</w:t>
      </w:r>
    </w:p>
    <w:p w14:paraId="624AE74B" w14:textId="0BA50B2F" w:rsidR="006275DD" w:rsidRPr="003E5B6E" w:rsidRDefault="006275DD" w:rsidP="006275DD">
      <w:pPr>
        <w:rPr>
          <w:rFonts w:ascii="Arial" w:eastAsia="Times New Roman" w:hAnsi="Arial" w:cs="Arial"/>
          <w:sz w:val="20"/>
          <w:szCs w:val="20"/>
          <w:shd w:val="clear" w:color="auto" w:fill="FFFFFF"/>
        </w:rPr>
      </w:pPr>
      <w:r w:rsidRPr="003E5B6E">
        <w:rPr>
          <w:rFonts w:ascii="Arial" w:eastAsia="Times New Roman" w:hAnsi="Arial" w:cs="Arial"/>
          <w:sz w:val="20"/>
          <w:szCs w:val="20"/>
          <w:shd w:val="clear" w:color="auto" w:fill="FFFFFF"/>
        </w:rPr>
        <w:t xml:space="preserve">This project has obtained ethical approval from the Department of Politics at the University of Sheffield, which is the appropriate authority to carry out reviews for the University Research Ethics Committee. It has also undergone additional ethical review by the European Research Council. </w:t>
      </w:r>
    </w:p>
    <w:p w14:paraId="6E9822C0" w14:textId="77777777" w:rsidR="006275DD" w:rsidRPr="003E5B6E" w:rsidRDefault="006275DD" w:rsidP="006275DD">
      <w:pPr>
        <w:rPr>
          <w:rFonts w:ascii="Arial" w:eastAsia="Times New Roman" w:hAnsi="Arial" w:cs="Arial"/>
          <w:b/>
          <w:sz w:val="20"/>
          <w:szCs w:val="20"/>
          <w:shd w:val="clear" w:color="auto" w:fill="FFFFFF"/>
        </w:rPr>
      </w:pPr>
      <w:r w:rsidRPr="003E5B6E">
        <w:rPr>
          <w:rFonts w:ascii="Arial" w:eastAsia="Times New Roman" w:hAnsi="Arial" w:cs="Arial"/>
          <w:b/>
          <w:sz w:val="20"/>
          <w:szCs w:val="20"/>
          <w:shd w:val="clear" w:color="auto" w:fill="FFFFFF"/>
        </w:rPr>
        <w:t xml:space="preserve">Contact for further information </w:t>
      </w:r>
    </w:p>
    <w:p w14:paraId="5D7A1F47" w14:textId="77777777" w:rsidR="006275DD" w:rsidRDefault="006275DD" w:rsidP="006275DD">
      <w:pPr>
        <w:rPr>
          <w:rFonts w:ascii="Arial" w:hAnsi="Arial" w:cs="Arial"/>
          <w:sz w:val="20"/>
          <w:szCs w:val="20"/>
        </w:rPr>
      </w:pPr>
      <w:r>
        <w:rPr>
          <w:rFonts w:ascii="Arial" w:hAnsi="Arial" w:cs="Arial"/>
          <w:sz w:val="20"/>
          <w:szCs w:val="20"/>
        </w:rPr>
        <w:t xml:space="preserve">Please do not hesitate to contact the lead researcher directly, Hannah Dickinson </w:t>
      </w:r>
      <w:hyperlink r:id="rId37" w:history="1">
        <w:r w:rsidRPr="00533907">
          <w:rPr>
            <w:rStyle w:val="Hyperlink"/>
            <w:rFonts w:ascii="Arial" w:hAnsi="Arial" w:cs="Arial"/>
            <w:sz w:val="20"/>
            <w:szCs w:val="20"/>
          </w:rPr>
          <w:t>h.g.dickinson@sheffield.ac.uk</w:t>
        </w:r>
      </w:hyperlink>
      <w:r>
        <w:rPr>
          <w:rFonts w:ascii="Arial" w:hAnsi="Arial" w:cs="Arial"/>
          <w:sz w:val="20"/>
          <w:szCs w:val="20"/>
        </w:rPr>
        <w:t>.</w:t>
      </w:r>
    </w:p>
    <w:p w14:paraId="1EE6CE2E" w14:textId="55AAD334" w:rsidR="006275DD" w:rsidRPr="006275DD" w:rsidRDefault="006275DD" w:rsidP="006275DD">
      <w:pPr>
        <w:rPr>
          <w:rFonts w:ascii="Arial" w:hAnsi="Arial" w:cs="Arial"/>
          <w:sz w:val="20"/>
          <w:szCs w:val="20"/>
        </w:rPr>
      </w:pPr>
      <w:r>
        <w:rPr>
          <w:rFonts w:ascii="Arial" w:hAnsi="Arial" w:cs="Arial"/>
          <w:sz w:val="20"/>
          <w:szCs w:val="20"/>
        </w:rPr>
        <w:t xml:space="preserve">Alternatively you can contact Rosaleen Duffy (Principal Investigator) </w:t>
      </w:r>
      <w:hyperlink r:id="rId38" w:history="1">
        <w:r w:rsidRPr="003E5B6E">
          <w:rPr>
            <w:rStyle w:val="Hyperlink"/>
            <w:rFonts w:ascii="Arial" w:hAnsi="Arial" w:cs="Arial"/>
            <w:sz w:val="20"/>
            <w:szCs w:val="20"/>
          </w:rPr>
          <w:t>r.v.duffy@sheffield.ac.uk</w:t>
        </w:r>
      </w:hyperlink>
      <w:r w:rsidRPr="003E5B6E">
        <w:rPr>
          <w:rFonts w:ascii="Arial" w:hAnsi="Arial" w:cs="Arial"/>
          <w:sz w:val="20"/>
          <w:szCs w:val="20"/>
        </w:rPr>
        <w:t>, or</w:t>
      </w:r>
      <w:r>
        <w:rPr>
          <w:rFonts w:ascii="Arial" w:hAnsi="Arial" w:cs="Arial"/>
          <w:sz w:val="20"/>
          <w:szCs w:val="20"/>
        </w:rPr>
        <w:t xml:space="preserve">, </w:t>
      </w:r>
      <w:r w:rsidRPr="003E5B6E">
        <w:rPr>
          <w:rFonts w:ascii="Arial" w:hAnsi="Arial" w:cs="Arial"/>
          <w:sz w:val="20"/>
          <w:szCs w:val="20"/>
        </w:rPr>
        <w:t>Ruth Wilson</w:t>
      </w:r>
      <w:r>
        <w:rPr>
          <w:rFonts w:ascii="Arial" w:hAnsi="Arial" w:cs="Arial"/>
          <w:sz w:val="20"/>
          <w:szCs w:val="20"/>
        </w:rPr>
        <w:t xml:space="preserve"> (Project Manager)</w:t>
      </w:r>
      <w:r w:rsidRPr="003E5B6E">
        <w:rPr>
          <w:rFonts w:ascii="Arial" w:hAnsi="Arial" w:cs="Arial"/>
          <w:sz w:val="20"/>
          <w:szCs w:val="20"/>
        </w:rPr>
        <w:t xml:space="preserve"> on </w:t>
      </w:r>
      <w:hyperlink r:id="rId39" w:history="1">
        <w:r w:rsidRPr="003E5B6E">
          <w:rPr>
            <w:rStyle w:val="Hyperlink"/>
            <w:rFonts w:ascii="Arial" w:hAnsi="Arial" w:cs="Arial"/>
            <w:sz w:val="20"/>
            <w:szCs w:val="20"/>
          </w:rPr>
          <w:t>biosec@sheffield.ac.uk</w:t>
        </w:r>
      </w:hyperlink>
      <w:r w:rsidRPr="003E5B6E">
        <w:rPr>
          <w:rFonts w:ascii="Arial" w:hAnsi="Arial" w:cs="Arial"/>
          <w:sz w:val="20"/>
          <w:szCs w:val="20"/>
        </w:rPr>
        <w:t xml:space="preserve"> </w:t>
      </w:r>
      <w:r w:rsidRPr="003E5B6E">
        <w:rPr>
          <w:rFonts w:ascii="Arial" w:eastAsia="Times New Roman" w:hAnsi="Arial" w:cs="Arial"/>
          <w:color w:val="0B5394"/>
          <w:sz w:val="20"/>
          <w:szCs w:val="20"/>
          <w:shd w:val="clear" w:color="auto" w:fill="FFFFFF"/>
        </w:rPr>
        <w:t>0114 222 1659</w:t>
      </w:r>
      <w:r w:rsidRPr="003E5B6E">
        <w:rPr>
          <w:rFonts w:ascii="Arial" w:hAnsi="Arial" w:cs="Arial"/>
          <w:sz w:val="20"/>
          <w:szCs w:val="20"/>
        </w:rPr>
        <w:t xml:space="preserve"> for further information </w:t>
      </w:r>
    </w:p>
    <w:p w14:paraId="17807D53" w14:textId="77777777" w:rsidR="006275DD" w:rsidRPr="003E5B6E" w:rsidRDefault="006275DD" w:rsidP="006275DD">
      <w:pPr>
        <w:rPr>
          <w:rFonts w:ascii="Arial" w:eastAsia="Times New Roman" w:hAnsi="Arial" w:cs="Arial"/>
          <w:i/>
          <w:sz w:val="20"/>
          <w:szCs w:val="20"/>
          <w:shd w:val="clear" w:color="auto" w:fill="FFFFFF"/>
        </w:rPr>
      </w:pPr>
      <w:r w:rsidRPr="003E5B6E">
        <w:rPr>
          <w:rFonts w:ascii="Arial" w:eastAsia="Times New Roman" w:hAnsi="Arial" w:cs="Arial"/>
          <w:i/>
          <w:sz w:val="20"/>
          <w:szCs w:val="20"/>
          <w:shd w:val="clear" w:color="auto" w:fill="FFFFFF"/>
        </w:rPr>
        <w:t xml:space="preserve">Thank you for taking the time to read this. </w:t>
      </w:r>
    </w:p>
    <w:p w14:paraId="37549EFD" w14:textId="77777777" w:rsidR="006275DD" w:rsidRPr="003E5B6E" w:rsidRDefault="006275DD" w:rsidP="006275DD">
      <w:pPr>
        <w:rPr>
          <w:rFonts w:ascii="Arial" w:eastAsia="Times New Roman" w:hAnsi="Arial" w:cs="Arial"/>
          <w:sz w:val="20"/>
          <w:szCs w:val="20"/>
          <w:shd w:val="clear" w:color="auto" w:fill="FFFFFF"/>
        </w:rPr>
      </w:pPr>
    </w:p>
    <w:p w14:paraId="3447FF64" w14:textId="44A080B1" w:rsidR="006275DD" w:rsidRPr="004316F0" w:rsidRDefault="006275DD" w:rsidP="006275DD">
      <w:pPr>
        <w:spacing w:line="259" w:lineRule="auto"/>
        <w:jc w:val="left"/>
        <w:rPr>
          <w:rFonts w:ascii="Arial" w:eastAsia="Times New Roman" w:hAnsi="Arial" w:cs="Arial"/>
          <w:sz w:val="19"/>
          <w:szCs w:val="19"/>
          <w:shd w:val="clear" w:color="auto" w:fill="FFFFFF"/>
        </w:rPr>
      </w:pPr>
    </w:p>
    <w:p w14:paraId="6DE88480" w14:textId="0C3007BB" w:rsidR="006275DD" w:rsidRDefault="006275DD">
      <w:pPr>
        <w:spacing w:line="259" w:lineRule="auto"/>
        <w:jc w:val="left"/>
        <w:rPr>
          <w:rFonts w:ascii="Arial" w:eastAsia="Times New Roman" w:hAnsi="Arial" w:cs="Arial"/>
          <w:color w:val="888888"/>
          <w:sz w:val="19"/>
          <w:szCs w:val="19"/>
          <w:shd w:val="clear" w:color="auto" w:fill="FFFFFF"/>
        </w:rPr>
      </w:pPr>
      <w:r>
        <w:rPr>
          <w:rFonts w:ascii="Arial" w:eastAsia="Times New Roman" w:hAnsi="Arial" w:cs="Arial"/>
          <w:color w:val="888888"/>
          <w:sz w:val="19"/>
          <w:szCs w:val="19"/>
          <w:shd w:val="clear" w:color="auto" w:fill="FFFFFF"/>
        </w:rPr>
        <w:br w:type="page"/>
      </w:r>
    </w:p>
    <w:p w14:paraId="29A553B2" w14:textId="77777777" w:rsidR="006275DD" w:rsidRPr="006275DD" w:rsidRDefault="006275DD" w:rsidP="006275DD">
      <w:pPr>
        <w:spacing w:line="259" w:lineRule="auto"/>
        <w:jc w:val="left"/>
        <w:rPr>
          <w:rFonts w:ascii="Arial" w:eastAsia="Times New Roman" w:hAnsi="Arial" w:cs="Arial"/>
          <w:color w:val="888888"/>
          <w:sz w:val="19"/>
          <w:szCs w:val="19"/>
          <w:shd w:val="clear" w:color="auto" w:fill="FFFFFF"/>
        </w:rPr>
      </w:pPr>
    </w:p>
    <w:p w14:paraId="683AB28C" w14:textId="2EE08512" w:rsidR="0056026C" w:rsidRDefault="0056026C" w:rsidP="0056026C">
      <w:pPr>
        <w:pStyle w:val="Heading2"/>
      </w:pPr>
      <w:bookmarkStart w:id="118" w:name="_Toc453224271"/>
      <w:r w:rsidRPr="0056026C">
        <w:t>Appendix B: Textual materials studied</w:t>
      </w:r>
      <w:bookmarkEnd w:id="118"/>
    </w:p>
    <w:tbl>
      <w:tblPr>
        <w:tblStyle w:val="TableGrid"/>
        <w:tblW w:w="0" w:type="auto"/>
        <w:tblLayout w:type="fixed"/>
        <w:tblLook w:val="04A0" w:firstRow="1" w:lastRow="0" w:firstColumn="1" w:lastColumn="0" w:noHBand="0" w:noVBand="1"/>
      </w:tblPr>
      <w:tblGrid>
        <w:gridCol w:w="7054"/>
        <w:gridCol w:w="1276"/>
        <w:gridCol w:w="912"/>
      </w:tblGrid>
      <w:tr w:rsidR="00CA6531" w:rsidRPr="0056026C" w14:paraId="41900CF7" w14:textId="77777777" w:rsidTr="00FB1E78">
        <w:trPr>
          <w:trHeight w:val="315"/>
        </w:trPr>
        <w:tc>
          <w:tcPr>
            <w:tcW w:w="7054" w:type="dxa"/>
            <w:shd w:val="clear" w:color="auto" w:fill="AEAAAA" w:themeFill="background2" w:themeFillShade="BF"/>
            <w:noWrap/>
            <w:hideMark/>
          </w:tcPr>
          <w:p w14:paraId="0F095A77" w14:textId="77777777" w:rsidR="0056026C" w:rsidRPr="00CA6531" w:rsidRDefault="0056026C" w:rsidP="0056026C">
            <w:pPr>
              <w:spacing w:line="240" w:lineRule="auto"/>
              <w:jc w:val="left"/>
              <w:rPr>
                <w:rFonts w:ascii="Arial" w:eastAsia="Times New Roman" w:hAnsi="Arial" w:cs="Arial"/>
                <w:b/>
                <w:bCs/>
                <w:color w:val="000000"/>
                <w:sz w:val="20"/>
                <w:szCs w:val="20"/>
                <w:lang w:eastAsia="en-US"/>
              </w:rPr>
            </w:pPr>
            <w:r w:rsidRPr="00CA6531">
              <w:rPr>
                <w:rFonts w:ascii="Arial" w:eastAsia="Times New Roman" w:hAnsi="Arial" w:cs="Arial"/>
                <w:b/>
                <w:bCs/>
                <w:color w:val="000000"/>
                <w:sz w:val="20"/>
                <w:szCs w:val="20"/>
                <w:lang w:eastAsia="en-US"/>
              </w:rPr>
              <w:t>Document</w:t>
            </w:r>
          </w:p>
        </w:tc>
        <w:tc>
          <w:tcPr>
            <w:tcW w:w="1276" w:type="dxa"/>
            <w:shd w:val="clear" w:color="auto" w:fill="AEAAAA" w:themeFill="background2" w:themeFillShade="BF"/>
            <w:noWrap/>
            <w:hideMark/>
          </w:tcPr>
          <w:p w14:paraId="74E052C1" w14:textId="77777777" w:rsidR="0056026C" w:rsidRPr="00CA6531" w:rsidRDefault="0056026C" w:rsidP="0056026C">
            <w:pPr>
              <w:spacing w:line="240" w:lineRule="auto"/>
              <w:jc w:val="left"/>
              <w:rPr>
                <w:rFonts w:ascii="Arial" w:eastAsia="Times New Roman" w:hAnsi="Arial" w:cs="Arial"/>
                <w:b/>
                <w:bCs/>
                <w:color w:val="000000"/>
                <w:sz w:val="20"/>
                <w:szCs w:val="20"/>
                <w:lang w:eastAsia="en-US"/>
              </w:rPr>
            </w:pPr>
            <w:r w:rsidRPr="00CA6531">
              <w:rPr>
                <w:rFonts w:ascii="Arial" w:eastAsia="Times New Roman" w:hAnsi="Arial" w:cs="Arial"/>
                <w:b/>
                <w:bCs/>
                <w:color w:val="000000"/>
                <w:sz w:val="20"/>
                <w:szCs w:val="20"/>
                <w:lang w:eastAsia="en-US"/>
              </w:rPr>
              <w:t>Type</w:t>
            </w:r>
          </w:p>
        </w:tc>
        <w:tc>
          <w:tcPr>
            <w:tcW w:w="912" w:type="dxa"/>
            <w:shd w:val="clear" w:color="auto" w:fill="AEAAAA" w:themeFill="background2" w:themeFillShade="BF"/>
            <w:noWrap/>
            <w:hideMark/>
          </w:tcPr>
          <w:p w14:paraId="5CD3B9E9" w14:textId="77777777" w:rsidR="0056026C" w:rsidRPr="00CA6531" w:rsidRDefault="0056026C" w:rsidP="0056026C">
            <w:pPr>
              <w:spacing w:line="240" w:lineRule="auto"/>
              <w:jc w:val="left"/>
              <w:rPr>
                <w:rFonts w:ascii="Arial" w:eastAsia="Times New Roman" w:hAnsi="Arial" w:cs="Arial"/>
                <w:b/>
                <w:bCs/>
                <w:color w:val="000000"/>
                <w:sz w:val="20"/>
                <w:szCs w:val="20"/>
                <w:lang w:eastAsia="en-US"/>
              </w:rPr>
            </w:pPr>
            <w:r w:rsidRPr="00CA6531">
              <w:rPr>
                <w:rFonts w:ascii="Arial" w:eastAsia="Times New Roman" w:hAnsi="Arial" w:cs="Arial"/>
                <w:b/>
                <w:bCs/>
                <w:color w:val="000000"/>
                <w:sz w:val="20"/>
                <w:szCs w:val="20"/>
                <w:lang w:eastAsia="en-US"/>
              </w:rPr>
              <w:t>Year of publication</w:t>
            </w:r>
          </w:p>
        </w:tc>
      </w:tr>
      <w:tr w:rsidR="00CA6531" w:rsidRPr="00CA6531" w14:paraId="5D1A9CDF" w14:textId="77777777" w:rsidTr="00CA6531">
        <w:trPr>
          <w:trHeight w:val="315"/>
        </w:trPr>
        <w:tc>
          <w:tcPr>
            <w:tcW w:w="7054" w:type="dxa"/>
            <w:noWrap/>
            <w:hideMark/>
          </w:tcPr>
          <w:p w14:paraId="4E4E3A18" w14:textId="77777777" w:rsidR="0056026C" w:rsidRPr="00CA6531" w:rsidRDefault="0056026C" w:rsidP="0056026C">
            <w:pPr>
              <w:spacing w:line="240" w:lineRule="auto"/>
              <w:jc w:val="left"/>
              <w:rPr>
                <w:rFonts w:ascii="Arial" w:eastAsia="Times New Roman" w:hAnsi="Arial" w:cs="Arial"/>
                <w:sz w:val="18"/>
                <w:szCs w:val="18"/>
                <w:lang w:eastAsia="en-US"/>
              </w:rPr>
            </w:pPr>
            <w:r w:rsidRPr="00CA6531">
              <w:rPr>
                <w:rFonts w:ascii="Arial" w:eastAsia="Times New Roman" w:hAnsi="Arial" w:cs="Arial"/>
                <w:sz w:val="18"/>
                <w:szCs w:val="18"/>
                <w:lang w:eastAsia="en-US"/>
              </w:rPr>
              <w:t>CITES Resolution Conf 12.7 (Revised CITES Cop17)</w:t>
            </w:r>
          </w:p>
        </w:tc>
        <w:tc>
          <w:tcPr>
            <w:tcW w:w="1276" w:type="dxa"/>
            <w:noWrap/>
            <w:hideMark/>
          </w:tcPr>
          <w:p w14:paraId="5D1B58F1"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Policy/</w:t>
            </w:r>
          </w:p>
          <w:p w14:paraId="2A1786CF" w14:textId="7D300484"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Legislation</w:t>
            </w:r>
          </w:p>
        </w:tc>
        <w:tc>
          <w:tcPr>
            <w:tcW w:w="912" w:type="dxa"/>
            <w:noWrap/>
            <w:hideMark/>
          </w:tcPr>
          <w:p w14:paraId="639B6FBD" w14:textId="77777777" w:rsidR="0056026C" w:rsidRPr="00CA6531" w:rsidRDefault="0056026C" w:rsidP="0056026C">
            <w:pPr>
              <w:spacing w:line="240" w:lineRule="auto"/>
              <w:jc w:val="righ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2016</w:t>
            </w:r>
          </w:p>
        </w:tc>
      </w:tr>
      <w:tr w:rsidR="00CA6531" w:rsidRPr="00CA6531" w14:paraId="228CAED9" w14:textId="77777777" w:rsidTr="00CA6531">
        <w:trPr>
          <w:trHeight w:val="315"/>
        </w:trPr>
        <w:tc>
          <w:tcPr>
            <w:tcW w:w="7054" w:type="dxa"/>
            <w:noWrap/>
            <w:hideMark/>
          </w:tcPr>
          <w:p w14:paraId="6100F079"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EU Council Regulation 338/97</w:t>
            </w:r>
          </w:p>
        </w:tc>
        <w:tc>
          <w:tcPr>
            <w:tcW w:w="1276" w:type="dxa"/>
            <w:noWrap/>
            <w:hideMark/>
          </w:tcPr>
          <w:p w14:paraId="362A3C88"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Policy/</w:t>
            </w:r>
          </w:p>
          <w:p w14:paraId="7C164D83" w14:textId="0D60FB8F"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Legislation</w:t>
            </w:r>
          </w:p>
        </w:tc>
        <w:tc>
          <w:tcPr>
            <w:tcW w:w="912" w:type="dxa"/>
            <w:noWrap/>
            <w:hideMark/>
          </w:tcPr>
          <w:p w14:paraId="7EA88895"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p>
        </w:tc>
      </w:tr>
      <w:tr w:rsidR="00CA6531" w:rsidRPr="00CA6531" w14:paraId="7C5524E0" w14:textId="77777777" w:rsidTr="00CA6531">
        <w:trPr>
          <w:trHeight w:val="315"/>
        </w:trPr>
        <w:tc>
          <w:tcPr>
            <w:tcW w:w="7054" w:type="dxa"/>
            <w:noWrap/>
            <w:hideMark/>
          </w:tcPr>
          <w:p w14:paraId="0A1C71E8" w14:textId="73AADC26" w:rsidR="0056026C" w:rsidRPr="00CA6531" w:rsidRDefault="005515CF" w:rsidP="0056026C">
            <w:pPr>
              <w:spacing w:line="240" w:lineRule="auto"/>
              <w:jc w:val="left"/>
              <w:rPr>
                <w:rFonts w:ascii="Arial" w:eastAsia="Times New Roman" w:hAnsi="Arial" w:cs="Arial"/>
                <w:color w:val="000000"/>
                <w:sz w:val="18"/>
                <w:szCs w:val="18"/>
                <w:lang w:eastAsia="en-US"/>
              </w:rPr>
            </w:pPr>
            <w:r>
              <w:rPr>
                <w:rFonts w:ascii="Arial" w:eastAsia="Times New Roman" w:hAnsi="Arial" w:cs="Arial"/>
                <w:color w:val="000000"/>
                <w:sz w:val="18"/>
                <w:szCs w:val="18"/>
                <w:lang w:eastAsia="en-US"/>
              </w:rPr>
              <w:t>EU Comission Regulation</w:t>
            </w:r>
            <w:r w:rsidR="0056026C" w:rsidRPr="00CA6531">
              <w:rPr>
                <w:rFonts w:ascii="Arial" w:eastAsia="Times New Roman" w:hAnsi="Arial" w:cs="Arial"/>
                <w:color w:val="000000"/>
                <w:sz w:val="18"/>
                <w:szCs w:val="18"/>
                <w:lang w:eastAsia="en-US"/>
              </w:rPr>
              <w:t xml:space="preserve"> 865/2006</w:t>
            </w:r>
          </w:p>
        </w:tc>
        <w:tc>
          <w:tcPr>
            <w:tcW w:w="1276" w:type="dxa"/>
            <w:noWrap/>
            <w:hideMark/>
          </w:tcPr>
          <w:p w14:paraId="45694CAE"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Policy/</w:t>
            </w:r>
          </w:p>
          <w:p w14:paraId="004A982B" w14:textId="73AF8274"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Legislation</w:t>
            </w:r>
          </w:p>
        </w:tc>
        <w:tc>
          <w:tcPr>
            <w:tcW w:w="912" w:type="dxa"/>
            <w:noWrap/>
            <w:hideMark/>
          </w:tcPr>
          <w:p w14:paraId="48BC56A7"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p>
        </w:tc>
      </w:tr>
      <w:tr w:rsidR="00CA6531" w:rsidRPr="00CA6531" w14:paraId="3D429804" w14:textId="77777777" w:rsidTr="00CA6531">
        <w:trPr>
          <w:trHeight w:val="315"/>
        </w:trPr>
        <w:tc>
          <w:tcPr>
            <w:tcW w:w="7054" w:type="dxa"/>
            <w:noWrap/>
            <w:hideMark/>
          </w:tcPr>
          <w:p w14:paraId="6974964A"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 xml:space="preserve">European Commission communication - EU Action Plan Against Wildlife Trafficking </w:t>
            </w:r>
          </w:p>
        </w:tc>
        <w:tc>
          <w:tcPr>
            <w:tcW w:w="1276" w:type="dxa"/>
            <w:noWrap/>
            <w:hideMark/>
          </w:tcPr>
          <w:p w14:paraId="2F2C94C7"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Policy/</w:t>
            </w:r>
          </w:p>
          <w:p w14:paraId="38B68AE5" w14:textId="5C545ADA"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Legislation</w:t>
            </w:r>
          </w:p>
        </w:tc>
        <w:tc>
          <w:tcPr>
            <w:tcW w:w="912" w:type="dxa"/>
            <w:noWrap/>
            <w:hideMark/>
          </w:tcPr>
          <w:p w14:paraId="4DFB5040" w14:textId="77777777" w:rsidR="0056026C" w:rsidRPr="00CA6531" w:rsidRDefault="0056026C" w:rsidP="0056026C">
            <w:pPr>
              <w:spacing w:line="240" w:lineRule="auto"/>
              <w:jc w:val="righ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2016</w:t>
            </w:r>
          </w:p>
        </w:tc>
      </w:tr>
      <w:tr w:rsidR="00CA6531" w:rsidRPr="00CA6531" w14:paraId="28316264" w14:textId="77777777" w:rsidTr="00CA6531">
        <w:trPr>
          <w:trHeight w:val="315"/>
        </w:trPr>
        <w:tc>
          <w:tcPr>
            <w:tcW w:w="7054" w:type="dxa"/>
            <w:noWrap/>
            <w:hideMark/>
          </w:tcPr>
          <w:p w14:paraId="3ECEB974"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Romanian Ministerial Order 384/2018</w:t>
            </w:r>
          </w:p>
        </w:tc>
        <w:tc>
          <w:tcPr>
            <w:tcW w:w="1276" w:type="dxa"/>
            <w:noWrap/>
            <w:hideMark/>
          </w:tcPr>
          <w:p w14:paraId="2B2E3EC1"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Policy/</w:t>
            </w:r>
          </w:p>
          <w:p w14:paraId="1BAD757A" w14:textId="282A389F"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Legislation</w:t>
            </w:r>
          </w:p>
        </w:tc>
        <w:tc>
          <w:tcPr>
            <w:tcW w:w="912" w:type="dxa"/>
            <w:noWrap/>
            <w:hideMark/>
          </w:tcPr>
          <w:p w14:paraId="68809718" w14:textId="77777777" w:rsidR="0056026C" w:rsidRPr="00CA6531" w:rsidRDefault="0056026C" w:rsidP="0056026C">
            <w:pPr>
              <w:spacing w:line="240" w:lineRule="auto"/>
              <w:jc w:val="righ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2018</w:t>
            </w:r>
          </w:p>
        </w:tc>
      </w:tr>
      <w:tr w:rsidR="00CA6531" w:rsidRPr="00CA6531" w14:paraId="5AD30A06" w14:textId="77777777" w:rsidTr="00CA6531">
        <w:trPr>
          <w:trHeight w:val="315"/>
        </w:trPr>
        <w:tc>
          <w:tcPr>
            <w:tcW w:w="7054" w:type="dxa"/>
            <w:noWrap/>
            <w:hideMark/>
          </w:tcPr>
          <w:p w14:paraId="099854AC"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 xml:space="preserve">European Commission EUMOFA report - The caviar market: production, trade and consumption in and outside the EU </w:t>
            </w:r>
          </w:p>
        </w:tc>
        <w:tc>
          <w:tcPr>
            <w:tcW w:w="1276" w:type="dxa"/>
            <w:noWrap/>
            <w:hideMark/>
          </w:tcPr>
          <w:p w14:paraId="0F5513F3" w14:textId="77777777" w:rsidR="00CA6531" w:rsidRPr="00CA6531" w:rsidRDefault="00CA6531"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EU</w:t>
            </w:r>
          </w:p>
          <w:p w14:paraId="33F502C2" w14:textId="4DEAF851"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Commission report</w:t>
            </w:r>
          </w:p>
        </w:tc>
        <w:tc>
          <w:tcPr>
            <w:tcW w:w="912" w:type="dxa"/>
            <w:noWrap/>
            <w:hideMark/>
          </w:tcPr>
          <w:p w14:paraId="59778FC3" w14:textId="77777777" w:rsidR="0056026C" w:rsidRPr="00CA6531" w:rsidRDefault="0056026C" w:rsidP="0056026C">
            <w:pPr>
              <w:spacing w:line="240" w:lineRule="auto"/>
              <w:jc w:val="righ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2018</w:t>
            </w:r>
          </w:p>
        </w:tc>
      </w:tr>
      <w:tr w:rsidR="00CA6531" w:rsidRPr="00CA6531" w14:paraId="0B189F07" w14:textId="77777777" w:rsidTr="00CA6531">
        <w:trPr>
          <w:trHeight w:val="315"/>
        </w:trPr>
        <w:tc>
          <w:tcPr>
            <w:tcW w:w="7054" w:type="dxa"/>
            <w:noWrap/>
            <w:hideMark/>
          </w:tcPr>
          <w:p w14:paraId="6D346E61" w14:textId="275A71ED"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New Rules to combat illegal caviar trade - European Commission</w:t>
            </w:r>
          </w:p>
        </w:tc>
        <w:tc>
          <w:tcPr>
            <w:tcW w:w="1276" w:type="dxa"/>
            <w:noWrap/>
            <w:hideMark/>
          </w:tcPr>
          <w:p w14:paraId="0F7B7627"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Press Release</w:t>
            </w:r>
          </w:p>
        </w:tc>
        <w:tc>
          <w:tcPr>
            <w:tcW w:w="912" w:type="dxa"/>
            <w:noWrap/>
            <w:hideMark/>
          </w:tcPr>
          <w:p w14:paraId="0E7073D6" w14:textId="77777777" w:rsidR="0056026C" w:rsidRPr="00CA6531" w:rsidRDefault="0056026C" w:rsidP="0056026C">
            <w:pPr>
              <w:spacing w:line="240" w:lineRule="auto"/>
              <w:jc w:val="righ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2006</w:t>
            </w:r>
          </w:p>
        </w:tc>
      </w:tr>
      <w:tr w:rsidR="00CA6531" w:rsidRPr="00CA6531" w14:paraId="727C7A08" w14:textId="77777777" w:rsidTr="00CA6531">
        <w:trPr>
          <w:trHeight w:val="315"/>
        </w:trPr>
        <w:tc>
          <w:tcPr>
            <w:tcW w:w="7054" w:type="dxa"/>
            <w:noWrap/>
            <w:hideMark/>
          </w:tcPr>
          <w:p w14:paraId="27436502" w14:textId="77777777" w:rsidR="00CA6531" w:rsidRDefault="0056026C" w:rsidP="0056026C">
            <w:pPr>
              <w:spacing w:line="240" w:lineRule="auto"/>
              <w:jc w:val="left"/>
              <w:rPr>
                <w:rFonts w:ascii="Arial" w:eastAsia="Times New Roman" w:hAnsi="Arial" w:cs="Arial"/>
                <w:sz w:val="18"/>
                <w:szCs w:val="18"/>
                <w:lang w:eastAsia="en-US"/>
              </w:rPr>
            </w:pPr>
            <w:r w:rsidRPr="00CA6531">
              <w:rPr>
                <w:rFonts w:ascii="Arial" w:eastAsia="Times New Roman" w:hAnsi="Arial" w:cs="Arial"/>
                <w:sz w:val="18"/>
                <w:szCs w:val="18"/>
                <w:lang w:eastAsia="en-US"/>
              </w:rPr>
              <w:t xml:space="preserve">Illegal caviar trade in Bulgaria and Romania </w:t>
            </w:r>
            <w:r w:rsidR="00CA6531">
              <w:rPr>
                <w:rFonts w:ascii="Arial" w:eastAsia="Times New Roman" w:hAnsi="Arial" w:cs="Arial"/>
                <w:sz w:val="18"/>
                <w:szCs w:val="18"/>
                <w:lang w:eastAsia="en-US"/>
              </w:rPr>
              <w:t>–</w:t>
            </w:r>
            <w:r w:rsidRPr="00CA6531">
              <w:rPr>
                <w:rFonts w:ascii="Arial" w:eastAsia="Times New Roman" w:hAnsi="Arial" w:cs="Arial"/>
                <w:sz w:val="18"/>
                <w:szCs w:val="18"/>
                <w:lang w:eastAsia="en-US"/>
              </w:rPr>
              <w:t xml:space="preserve"> WWF</w:t>
            </w:r>
          </w:p>
          <w:p w14:paraId="4A99918E" w14:textId="3D855B61" w:rsidR="0056026C" w:rsidRPr="00CA6531" w:rsidRDefault="0056026C" w:rsidP="0056026C">
            <w:pPr>
              <w:spacing w:line="240" w:lineRule="auto"/>
              <w:jc w:val="left"/>
              <w:rPr>
                <w:rFonts w:ascii="Arial" w:eastAsia="Times New Roman" w:hAnsi="Arial" w:cs="Arial"/>
                <w:sz w:val="18"/>
                <w:szCs w:val="18"/>
                <w:lang w:eastAsia="en-US"/>
              </w:rPr>
            </w:pPr>
          </w:p>
        </w:tc>
        <w:tc>
          <w:tcPr>
            <w:tcW w:w="1276" w:type="dxa"/>
            <w:noWrap/>
            <w:hideMark/>
          </w:tcPr>
          <w:p w14:paraId="0071CF67"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NGO Report</w:t>
            </w:r>
          </w:p>
        </w:tc>
        <w:tc>
          <w:tcPr>
            <w:tcW w:w="912" w:type="dxa"/>
            <w:noWrap/>
            <w:hideMark/>
          </w:tcPr>
          <w:p w14:paraId="292E5B97" w14:textId="77777777" w:rsidR="0056026C" w:rsidRPr="00CA6531" w:rsidRDefault="0056026C" w:rsidP="0056026C">
            <w:pPr>
              <w:spacing w:line="240" w:lineRule="auto"/>
              <w:jc w:val="righ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2013</w:t>
            </w:r>
          </w:p>
        </w:tc>
      </w:tr>
      <w:tr w:rsidR="00CA6531" w:rsidRPr="00CA6531" w14:paraId="690338DB" w14:textId="77777777" w:rsidTr="00CA6531">
        <w:trPr>
          <w:trHeight w:val="315"/>
        </w:trPr>
        <w:tc>
          <w:tcPr>
            <w:tcW w:w="7054" w:type="dxa"/>
            <w:noWrap/>
            <w:hideMark/>
          </w:tcPr>
          <w:p w14:paraId="20B51C33" w14:textId="77777777" w:rsidR="0056026C" w:rsidRDefault="0056026C" w:rsidP="0056026C">
            <w:pPr>
              <w:spacing w:line="240" w:lineRule="auto"/>
              <w:jc w:val="left"/>
              <w:rPr>
                <w:rFonts w:ascii="Arial" w:eastAsia="Times New Roman" w:hAnsi="Arial" w:cs="Arial"/>
                <w:sz w:val="18"/>
                <w:szCs w:val="18"/>
                <w:lang w:eastAsia="en-US"/>
              </w:rPr>
            </w:pPr>
            <w:r w:rsidRPr="00CA6531">
              <w:rPr>
                <w:rFonts w:ascii="Arial" w:eastAsia="Times New Roman" w:hAnsi="Arial" w:cs="Arial"/>
                <w:sz w:val="18"/>
                <w:szCs w:val="18"/>
                <w:lang w:eastAsia="en-US"/>
              </w:rPr>
              <w:t xml:space="preserve">Understanding the Global Caviar Market - TRAFFIC </w:t>
            </w:r>
          </w:p>
          <w:p w14:paraId="2C6289DE" w14:textId="400F5CDF" w:rsidR="00CA6531" w:rsidRPr="00CA6531" w:rsidRDefault="00CA6531" w:rsidP="0056026C">
            <w:pPr>
              <w:spacing w:line="240" w:lineRule="auto"/>
              <w:jc w:val="left"/>
              <w:rPr>
                <w:rFonts w:ascii="Arial" w:eastAsia="Times New Roman" w:hAnsi="Arial" w:cs="Arial"/>
                <w:sz w:val="18"/>
                <w:szCs w:val="18"/>
                <w:lang w:eastAsia="en-US"/>
              </w:rPr>
            </w:pPr>
          </w:p>
        </w:tc>
        <w:tc>
          <w:tcPr>
            <w:tcW w:w="1276" w:type="dxa"/>
            <w:noWrap/>
            <w:hideMark/>
          </w:tcPr>
          <w:p w14:paraId="5B4FDCBE"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NGO Report</w:t>
            </w:r>
          </w:p>
        </w:tc>
        <w:tc>
          <w:tcPr>
            <w:tcW w:w="912" w:type="dxa"/>
            <w:noWrap/>
            <w:hideMark/>
          </w:tcPr>
          <w:p w14:paraId="21D44FB9" w14:textId="77777777" w:rsidR="0056026C" w:rsidRPr="00CA6531" w:rsidRDefault="0056026C" w:rsidP="0056026C">
            <w:pPr>
              <w:spacing w:line="240" w:lineRule="auto"/>
              <w:jc w:val="righ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2018</w:t>
            </w:r>
          </w:p>
        </w:tc>
      </w:tr>
      <w:tr w:rsidR="00CA6531" w:rsidRPr="00CA6531" w14:paraId="061B418E" w14:textId="77777777" w:rsidTr="00CA6531">
        <w:trPr>
          <w:trHeight w:val="315"/>
        </w:trPr>
        <w:tc>
          <w:tcPr>
            <w:tcW w:w="7054" w:type="dxa"/>
            <w:noWrap/>
            <w:hideMark/>
          </w:tcPr>
          <w:p w14:paraId="3BA922CB"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Corruption and Wildlife Crime: A focus on the caviar trade - TRAFFIC</w:t>
            </w:r>
          </w:p>
        </w:tc>
        <w:tc>
          <w:tcPr>
            <w:tcW w:w="1276" w:type="dxa"/>
            <w:noWrap/>
            <w:hideMark/>
          </w:tcPr>
          <w:p w14:paraId="62A89B8A"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NGO Report</w:t>
            </w:r>
          </w:p>
        </w:tc>
        <w:tc>
          <w:tcPr>
            <w:tcW w:w="912" w:type="dxa"/>
            <w:noWrap/>
            <w:hideMark/>
          </w:tcPr>
          <w:p w14:paraId="7963D625" w14:textId="77777777" w:rsidR="0056026C" w:rsidRPr="00CA6531" w:rsidRDefault="0056026C" w:rsidP="0056026C">
            <w:pPr>
              <w:spacing w:line="240" w:lineRule="auto"/>
              <w:jc w:val="righ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2019</w:t>
            </w:r>
          </w:p>
        </w:tc>
      </w:tr>
      <w:tr w:rsidR="00CA6531" w:rsidRPr="00CA6531" w14:paraId="4DCE45D5" w14:textId="77777777" w:rsidTr="00CA6531">
        <w:trPr>
          <w:trHeight w:val="315"/>
        </w:trPr>
        <w:tc>
          <w:tcPr>
            <w:tcW w:w="7054" w:type="dxa"/>
            <w:noWrap/>
            <w:hideMark/>
          </w:tcPr>
          <w:p w14:paraId="5EAE9EA7" w14:textId="5E28E093" w:rsidR="0056026C" w:rsidRPr="00CA6531" w:rsidRDefault="0056026C" w:rsidP="00F84E6F">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 xml:space="preserve">Trade in Sturgeon caviar in Bulgaria and Romania - TRAFFIC </w:t>
            </w:r>
          </w:p>
        </w:tc>
        <w:tc>
          <w:tcPr>
            <w:tcW w:w="1276" w:type="dxa"/>
            <w:noWrap/>
            <w:hideMark/>
          </w:tcPr>
          <w:p w14:paraId="6C09641A"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NGO Report</w:t>
            </w:r>
          </w:p>
        </w:tc>
        <w:tc>
          <w:tcPr>
            <w:tcW w:w="912" w:type="dxa"/>
            <w:noWrap/>
            <w:hideMark/>
          </w:tcPr>
          <w:p w14:paraId="3F5227D1" w14:textId="77777777" w:rsidR="0056026C" w:rsidRPr="00CA6531" w:rsidRDefault="0056026C" w:rsidP="0056026C">
            <w:pPr>
              <w:spacing w:line="240" w:lineRule="auto"/>
              <w:jc w:val="righ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2011</w:t>
            </w:r>
          </w:p>
        </w:tc>
      </w:tr>
      <w:tr w:rsidR="00CA6531" w:rsidRPr="00CA6531" w14:paraId="6B36BF44" w14:textId="77777777" w:rsidTr="00CA6531">
        <w:trPr>
          <w:trHeight w:val="315"/>
        </w:trPr>
        <w:tc>
          <w:tcPr>
            <w:tcW w:w="7054" w:type="dxa"/>
            <w:noWrap/>
            <w:hideMark/>
          </w:tcPr>
          <w:p w14:paraId="7D59CC19" w14:textId="3330F958" w:rsidR="00CA6531" w:rsidRPr="00CA6531" w:rsidRDefault="0056026C" w:rsidP="00F84E6F">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Caviar Report to the European Commission: Briefing on the caviar trade and range state implementation of Resolution Conf 12.7 (rev cop14)</w:t>
            </w:r>
            <w:r w:rsidR="00F84E6F">
              <w:rPr>
                <w:rFonts w:ascii="Arial" w:eastAsia="Times New Roman" w:hAnsi="Arial" w:cs="Arial"/>
                <w:color w:val="000000"/>
                <w:sz w:val="18"/>
                <w:szCs w:val="18"/>
                <w:lang w:eastAsia="en-US"/>
              </w:rPr>
              <w:br/>
            </w:r>
            <w:r w:rsidRPr="00CA6531">
              <w:rPr>
                <w:rFonts w:ascii="Arial" w:eastAsia="Times New Roman" w:hAnsi="Arial" w:cs="Arial"/>
                <w:color w:val="000000"/>
                <w:sz w:val="18"/>
                <w:szCs w:val="18"/>
                <w:lang w:eastAsia="en-US"/>
              </w:rPr>
              <w:t xml:space="preserve"> </w:t>
            </w:r>
          </w:p>
        </w:tc>
        <w:tc>
          <w:tcPr>
            <w:tcW w:w="1276" w:type="dxa"/>
            <w:noWrap/>
            <w:hideMark/>
          </w:tcPr>
          <w:p w14:paraId="78F7E579"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NGO Report</w:t>
            </w:r>
          </w:p>
        </w:tc>
        <w:tc>
          <w:tcPr>
            <w:tcW w:w="912" w:type="dxa"/>
            <w:noWrap/>
            <w:hideMark/>
          </w:tcPr>
          <w:p w14:paraId="592B3FAD" w14:textId="77777777" w:rsidR="0056026C" w:rsidRPr="00CA6531" w:rsidRDefault="0056026C" w:rsidP="0056026C">
            <w:pPr>
              <w:spacing w:line="240" w:lineRule="auto"/>
              <w:jc w:val="righ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2008</w:t>
            </w:r>
          </w:p>
        </w:tc>
      </w:tr>
      <w:tr w:rsidR="00CA6531" w:rsidRPr="00CA6531" w14:paraId="05B9C597" w14:textId="77777777" w:rsidTr="00CA6531">
        <w:trPr>
          <w:trHeight w:val="315"/>
        </w:trPr>
        <w:tc>
          <w:tcPr>
            <w:tcW w:w="7054" w:type="dxa"/>
            <w:noWrap/>
            <w:hideMark/>
          </w:tcPr>
          <w:p w14:paraId="55341B8F" w14:textId="77777777" w:rsidR="0056026C"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Caviar Report to the European Commission: Analysis of EC trade in caviar by species and tracking on caviar permits within UNEP WCMC Database</w:t>
            </w:r>
          </w:p>
          <w:p w14:paraId="2E54715D" w14:textId="77777777" w:rsidR="00CA6531" w:rsidRPr="00CA6531" w:rsidRDefault="00CA6531" w:rsidP="0056026C">
            <w:pPr>
              <w:spacing w:line="240" w:lineRule="auto"/>
              <w:jc w:val="left"/>
              <w:rPr>
                <w:rFonts w:ascii="Arial" w:eastAsia="Times New Roman" w:hAnsi="Arial" w:cs="Arial"/>
                <w:color w:val="000000"/>
                <w:sz w:val="18"/>
                <w:szCs w:val="18"/>
                <w:lang w:eastAsia="en-US"/>
              </w:rPr>
            </w:pPr>
          </w:p>
        </w:tc>
        <w:tc>
          <w:tcPr>
            <w:tcW w:w="1276" w:type="dxa"/>
            <w:noWrap/>
            <w:hideMark/>
          </w:tcPr>
          <w:p w14:paraId="788DD8B8"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NGO Report</w:t>
            </w:r>
          </w:p>
        </w:tc>
        <w:tc>
          <w:tcPr>
            <w:tcW w:w="912" w:type="dxa"/>
            <w:noWrap/>
            <w:hideMark/>
          </w:tcPr>
          <w:p w14:paraId="74C0062C" w14:textId="77777777" w:rsidR="0056026C" w:rsidRPr="00CA6531" w:rsidRDefault="0056026C" w:rsidP="0056026C">
            <w:pPr>
              <w:spacing w:line="240" w:lineRule="auto"/>
              <w:jc w:val="righ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2008</w:t>
            </w:r>
          </w:p>
        </w:tc>
      </w:tr>
      <w:tr w:rsidR="00CA6531" w:rsidRPr="00CA6531" w14:paraId="38020123" w14:textId="77777777" w:rsidTr="00CA6531">
        <w:trPr>
          <w:trHeight w:val="315"/>
        </w:trPr>
        <w:tc>
          <w:tcPr>
            <w:tcW w:w="7054" w:type="dxa"/>
            <w:noWrap/>
            <w:hideMark/>
          </w:tcPr>
          <w:p w14:paraId="42DDF238"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UNODC World Wildlife Crime Report - Caviar case study</w:t>
            </w:r>
          </w:p>
        </w:tc>
        <w:tc>
          <w:tcPr>
            <w:tcW w:w="1276" w:type="dxa"/>
            <w:noWrap/>
            <w:hideMark/>
          </w:tcPr>
          <w:p w14:paraId="57A2294E"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NGO Report</w:t>
            </w:r>
          </w:p>
        </w:tc>
        <w:tc>
          <w:tcPr>
            <w:tcW w:w="912" w:type="dxa"/>
            <w:noWrap/>
            <w:hideMark/>
          </w:tcPr>
          <w:p w14:paraId="031782CF" w14:textId="77777777" w:rsidR="0056026C" w:rsidRPr="00CA6531" w:rsidRDefault="0056026C" w:rsidP="0056026C">
            <w:pPr>
              <w:spacing w:line="240" w:lineRule="auto"/>
              <w:jc w:val="righ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2016</w:t>
            </w:r>
          </w:p>
        </w:tc>
      </w:tr>
      <w:tr w:rsidR="00CA6531" w:rsidRPr="00CA6531" w14:paraId="44626396" w14:textId="77777777" w:rsidTr="00CA6531">
        <w:trPr>
          <w:trHeight w:val="315"/>
        </w:trPr>
        <w:tc>
          <w:tcPr>
            <w:tcW w:w="7054" w:type="dxa"/>
            <w:noWrap/>
            <w:hideMark/>
          </w:tcPr>
          <w:p w14:paraId="3FF26F90"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WWF - Sturgeon Strategy</w:t>
            </w:r>
          </w:p>
        </w:tc>
        <w:tc>
          <w:tcPr>
            <w:tcW w:w="1276" w:type="dxa"/>
            <w:noWrap/>
            <w:hideMark/>
          </w:tcPr>
          <w:p w14:paraId="52AEBB9B"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Action Plan</w:t>
            </w:r>
          </w:p>
        </w:tc>
        <w:tc>
          <w:tcPr>
            <w:tcW w:w="912" w:type="dxa"/>
            <w:noWrap/>
            <w:hideMark/>
          </w:tcPr>
          <w:p w14:paraId="1460106A" w14:textId="77777777" w:rsidR="0056026C" w:rsidRPr="00CA6531" w:rsidRDefault="0056026C" w:rsidP="0056026C">
            <w:pPr>
              <w:spacing w:line="240" w:lineRule="auto"/>
              <w:jc w:val="righ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2017</w:t>
            </w:r>
          </w:p>
        </w:tc>
      </w:tr>
      <w:tr w:rsidR="00CA6531" w:rsidRPr="00CA6531" w14:paraId="151709A1" w14:textId="77777777" w:rsidTr="00CA6531">
        <w:trPr>
          <w:trHeight w:val="315"/>
        </w:trPr>
        <w:tc>
          <w:tcPr>
            <w:tcW w:w="7054" w:type="dxa"/>
            <w:noWrap/>
            <w:hideMark/>
          </w:tcPr>
          <w:p w14:paraId="4B1219B6" w14:textId="77777777" w:rsidR="0056026C"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Danube Sturgeon Task Force - Sturgeon 2020: A programme for the protection and rehabilitation of Danube sturgeon</w:t>
            </w:r>
          </w:p>
          <w:p w14:paraId="0D934A5C" w14:textId="77777777" w:rsidR="00CA6531" w:rsidRPr="00CA6531" w:rsidRDefault="00CA6531" w:rsidP="0056026C">
            <w:pPr>
              <w:spacing w:line="240" w:lineRule="auto"/>
              <w:jc w:val="left"/>
              <w:rPr>
                <w:rFonts w:ascii="Arial" w:eastAsia="Times New Roman" w:hAnsi="Arial" w:cs="Arial"/>
                <w:color w:val="000000"/>
                <w:sz w:val="18"/>
                <w:szCs w:val="18"/>
                <w:lang w:eastAsia="en-US"/>
              </w:rPr>
            </w:pPr>
          </w:p>
        </w:tc>
        <w:tc>
          <w:tcPr>
            <w:tcW w:w="1276" w:type="dxa"/>
            <w:noWrap/>
            <w:hideMark/>
          </w:tcPr>
          <w:p w14:paraId="66986F3B"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Action Plan</w:t>
            </w:r>
          </w:p>
        </w:tc>
        <w:tc>
          <w:tcPr>
            <w:tcW w:w="912" w:type="dxa"/>
            <w:noWrap/>
            <w:hideMark/>
          </w:tcPr>
          <w:p w14:paraId="00F0130A" w14:textId="77777777" w:rsidR="0056026C" w:rsidRPr="00CA6531" w:rsidRDefault="0056026C" w:rsidP="0056026C">
            <w:pPr>
              <w:spacing w:line="240" w:lineRule="auto"/>
              <w:jc w:val="righ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2013</w:t>
            </w:r>
          </w:p>
        </w:tc>
      </w:tr>
      <w:tr w:rsidR="00CA6531" w:rsidRPr="00CA6531" w14:paraId="02314C90" w14:textId="77777777" w:rsidTr="00CA6531">
        <w:trPr>
          <w:trHeight w:val="315"/>
        </w:trPr>
        <w:tc>
          <w:tcPr>
            <w:tcW w:w="7054" w:type="dxa"/>
            <w:noWrap/>
            <w:hideMark/>
          </w:tcPr>
          <w:p w14:paraId="10713004" w14:textId="77777777" w:rsidR="0056026C"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 xml:space="preserve">Council of Europe - Pan-European Action Plan for Sturgeons (prepared by WWF and WSCS) </w:t>
            </w:r>
          </w:p>
          <w:p w14:paraId="2FD9124C" w14:textId="77777777" w:rsidR="00CA6531" w:rsidRPr="00CA6531" w:rsidRDefault="00CA6531" w:rsidP="0056026C">
            <w:pPr>
              <w:spacing w:line="240" w:lineRule="auto"/>
              <w:jc w:val="left"/>
              <w:rPr>
                <w:rFonts w:ascii="Arial" w:eastAsia="Times New Roman" w:hAnsi="Arial" w:cs="Arial"/>
                <w:color w:val="000000"/>
                <w:sz w:val="18"/>
                <w:szCs w:val="18"/>
                <w:lang w:eastAsia="en-US"/>
              </w:rPr>
            </w:pPr>
          </w:p>
        </w:tc>
        <w:tc>
          <w:tcPr>
            <w:tcW w:w="1276" w:type="dxa"/>
            <w:noWrap/>
            <w:hideMark/>
          </w:tcPr>
          <w:p w14:paraId="359FC46A"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Action Plan</w:t>
            </w:r>
          </w:p>
        </w:tc>
        <w:tc>
          <w:tcPr>
            <w:tcW w:w="912" w:type="dxa"/>
            <w:noWrap/>
            <w:hideMark/>
          </w:tcPr>
          <w:p w14:paraId="4D3EEDB0" w14:textId="77777777" w:rsidR="0056026C" w:rsidRPr="00CA6531" w:rsidRDefault="0056026C" w:rsidP="0056026C">
            <w:pPr>
              <w:spacing w:line="240" w:lineRule="auto"/>
              <w:jc w:val="righ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2018</w:t>
            </w:r>
          </w:p>
        </w:tc>
      </w:tr>
      <w:tr w:rsidR="00CA6531" w:rsidRPr="00CA6531" w14:paraId="049398D6" w14:textId="77777777" w:rsidTr="00CA6531">
        <w:trPr>
          <w:trHeight w:val="315"/>
        </w:trPr>
        <w:tc>
          <w:tcPr>
            <w:tcW w:w="7054" w:type="dxa"/>
            <w:noWrap/>
            <w:hideMark/>
          </w:tcPr>
          <w:p w14:paraId="3852D8B3"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IUCN Sturgeon stocks and caviar trade workshop 1995</w:t>
            </w:r>
          </w:p>
        </w:tc>
        <w:tc>
          <w:tcPr>
            <w:tcW w:w="1276" w:type="dxa"/>
            <w:noWrap/>
            <w:hideMark/>
          </w:tcPr>
          <w:p w14:paraId="5D502132"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Meeting proceedings</w:t>
            </w:r>
          </w:p>
        </w:tc>
        <w:tc>
          <w:tcPr>
            <w:tcW w:w="912" w:type="dxa"/>
            <w:noWrap/>
            <w:hideMark/>
          </w:tcPr>
          <w:p w14:paraId="661667A9" w14:textId="77777777" w:rsidR="0056026C" w:rsidRPr="00CA6531" w:rsidRDefault="0056026C" w:rsidP="0056026C">
            <w:pPr>
              <w:spacing w:line="240" w:lineRule="auto"/>
              <w:jc w:val="righ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1997</w:t>
            </w:r>
          </w:p>
        </w:tc>
      </w:tr>
      <w:tr w:rsidR="00CA6531" w:rsidRPr="00CA6531" w14:paraId="399A76A3" w14:textId="77777777" w:rsidTr="00CA6531">
        <w:trPr>
          <w:trHeight w:val="315"/>
        </w:trPr>
        <w:tc>
          <w:tcPr>
            <w:tcW w:w="7054" w:type="dxa"/>
            <w:noWrap/>
            <w:hideMark/>
          </w:tcPr>
          <w:p w14:paraId="614BB536" w14:textId="77777777" w:rsidR="0056026C"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Proceedings of the International sturgeon enforcement workshop to combat illegal trade in caviar - TRAFFIC report for European commission</w:t>
            </w:r>
          </w:p>
          <w:p w14:paraId="2D5B0670" w14:textId="77777777" w:rsidR="00CA6531" w:rsidRPr="00CA6531" w:rsidRDefault="00CA6531" w:rsidP="0056026C">
            <w:pPr>
              <w:spacing w:line="240" w:lineRule="auto"/>
              <w:jc w:val="left"/>
              <w:rPr>
                <w:rFonts w:ascii="Arial" w:eastAsia="Times New Roman" w:hAnsi="Arial" w:cs="Arial"/>
                <w:color w:val="000000"/>
                <w:sz w:val="18"/>
                <w:szCs w:val="18"/>
                <w:lang w:eastAsia="en-US"/>
              </w:rPr>
            </w:pPr>
          </w:p>
        </w:tc>
        <w:tc>
          <w:tcPr>
            <w:tcW w:w="1276" w:type="dxa"/>
            <w:noWrap/>
            <w:hideMark/>
          </w:tcPr>
          <w:p w14:paraId="1812AF1C"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Meeting proceedings</w:t>
            </w:r>
          </w:p>
        </w:tc>
        <w:tc>
          <w:tcPr>
            <w:tcW w:w="912" w:type="dxa"/>
            <w:noWrap/>
            <w:hideMark/>
          </w:tcPr>
          <w:p w14:paraId="1FD49665" w14:textId="77777777" w:rsidR="0056026C" w:rsidRPr="00CA6531" w:rsidRDefault="0056026C" w:rsidP="0056026C">
            <w:pPr>
              <w:spacing w:line="240" w:lineRule="auto"/>
              <w:jc w:val="righ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2006</w:t>
            </w:r>
          </w:p>
        </w:tc>
      </w:tr>
      <w:tr w:rsidR="00CA6531" w:rsidRPr="00CA6531" w14:paraId="4B163069" w14:textId="77777777" w:rsidTr="00CA6531">
        <w:trPr>
          <w:trHeight w:val="315"/>
        </w:trPr>
        <w:tc>
          <w:tcPr>
            <w:tcW w:w="7054" w:type="dxa"/>
            <w:noWrap/>
            <w:hideMark/>
          </w:tcPr>
          <w:p w14:paraId="3073B574" w14:textId="77777777" w:rsidR="0056026C"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Overview of important international seizures of CITES Listed specimens in the EU Jan - Dec 2012</w:t>
            </w:r>
          </w:p>
          <w:p w14:paraId="75C60BCD" w14:textId="77777777" w:rsidR="00CA6531" w:rsidRPr="00CA6531" w:rsidRDefault="00CA6531" w:rsidP="0056026C">
            <w:pPr>
              <w:spacing w:line="240" w:lineRule="auto"/>
              <w:jc w:val="left"/>
              <w:rPr>
                <w:rFonts w:ascii="Arial" w:eastAsia="Times New Roman" w:hAnsi="Arial" w:cs="Arial"/>
                <w:color w:val="000000"/>
                <w:sz w:val="18"/>
                <w:szCs w:val="18"/>
                <w:lang w:eastAsia="en-US"/>
              </w:rPr>
            </w:pPr>
          </w:p>
        </w:tc>
        <w:tc>
          <w:tcPr>
            <w:tcW w:w="1276" w:type="dxa"/>
            <w:noWrap/>
            <w:hideMark/>
          </w:tcPr>
          <w:p w14:paraId="49BFA757"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Briefing report</w:t>
            </w:r>
          </w:p>
        </w:tc>
        <w:tc>
          <w:tcPr>
            <w:tcW w:w="912" w:type="dxa"/>
            <w:noWrap/>
            <w:hideMark/>
          </w:tcPr>
          <w:p w14:paraId="588395C9" w14:textId="77777777" w:rsidR="0056026C" w:rsidRPr="00CA6531" w:rsidRDefault="0056026C" w:rsidP="0056026C">
            <w:pPr>
              <w:spacing w:line="240" w:lineRule="auto"/>
              <w:jc w:val="righ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2013</w:t>
            </w:r>
          </w:p>
        </w:tc>
      </w:tr>
      <w:tr w:rsidR="00CA6531" w:rsidRPr="00CA6531" w14:paraId="6664295F" w14:textId="77777777" w:rsidTr="00CA6531">
        <w:trPr>
          <w:trHeight w:val="315"/>
        </w:trPr>
        <w:tc>
          <w:tcPr>
            <w:tcW w:w="7054" w:type="dxa"/>
            <w:noWrap/>
            <w:hideMark/>
          </w:tcPr>
          <w:p w14:paraId="6204FF00" w14:textId="77777777" w:rsidR="0056026C"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Overview of important seizures in the EU Jan - Dec 2013</w:t>
            </w:r>
          </w:p>
          <w:p w14:paraId="2D4C17AB" w14:textId="77777777" w:rsidR="00CA6531" w:rsidRPr="00CA6531" w:rsidRDefault="00CA6531" w:rsidP="0056026C">
            <w:pPr>
              <w:spacing w:line="240" w:lineRule="auto"/>
              <w:jc w:val="left"/>
              <w:rPr>
                <w:rFonts w:ascii="Arial" w:eastAsia="Times New Roman" w:hAnsi="Arial" w:cs="Arial"/>
                <w:color w:val="000000"/>
                <w:sz w:val="18"/>
                <w:szCs w:val="18"/>
                <w:lang w:eastAsia="en-US"/>
              </w:rPr>
            </w:pPr>
          </w:p>
        </w:tc>
        <w:tc>
          <w:tcPr>
            <w:tcW w:w="1276" w:type="dxa"/>
            <w:noWrap/>
            <w:hideMark/>
          </w:tcPr>
          <w:p w14:paraId="5B34C7B2"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Briefing report</w:t>
            </w:r>
          </w:p>
        </w:tc>
        <w:tc>
          <w:tcPr>
            <w:tcW w:w="912" w:type="dxa"/>
            <w:noWrap/>
            <w:hideMark/>
          </w:tcPr>
          <w:p w14:paraId="12DDE9EF" w14:textId="77777777" w:rsidR="0056026C" w:rsidRPr="00CA6531" w:rsidRDefault="0056026C" w:rsidP="0056026C">
            <w:pPr>
              <w:spacing w:line="240" w:lineRule="auto"/>
              <w:jc w:val="righ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2014</w:t>
            </w:r>
          </w:p>
        </w:tc>
      </w:tr>
      <w:tr w:rsidR="00CA6531" w:rsidRPr="00CA6531" w14:paraId="1378D902" w14:textId="77777777" w:rsidTr="00CA6531">
        <w:trPr>
          <w:trHeight w:val="315"/>
        </w:trPr>
        <w:tc>
          <w:tcPr>
            <w:tcW w:w="7054" w:type="dxa"/>
            <w:noWrap/>
            <w:hideMark/>
          </w:tcPr>
          <w:p w14:paraId="74B7975C" w14:textId="77777777" w:rsidR="0056026C"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Overview of important international seizures in the EU Jan - Dec 2014</w:t>
            </w:r>
          </w:p>
          <w:p w14:paraId="2B942084" w14:textId="77777777" w:rsidR="00CA6531" w:rsidRPr="00CA6531" w:rsidRDefault="00CA6531" w:rsidP="0056026C">
            <w:pPr>
              <w:spacing w:line="240" w:lineRule="auto"/>
              <w:jc w:val="left"/>
              <w:rPr>
                <w:rFonts w:ascii="Arial" w:eastAsia="Times New Roman" w:hAnsi="Arial" w:cs="Arial"/>
                <w:color w:val="000000"/>
                <w:sz w:val="18"/>
                <w:szCs w:val="18"/>
                <w:lang w:eastAsia="en-US"/>
              </w:rPr>
            </w:pPr>
          </w:p>
        </w:tc>
        <w:tc>
          <w:tcPr>
            <w:tcW w:w="1276" w:type="dxa"/>
            <w:noWrap/>
            <w:hideMark/>
          </w:tcPr>
          <w:p w14:paraId="6CB03D38"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Briefing report</w:t>
            </w:r>
          </w:p>
        </w:tc>
        <w:tc>
          <w:tcPr>
            <w:tcW w:w="912" w:type="dxa"/>
            <w:noWrap/>
            <w:hideMark/>
          </w:tcPr>
          <w:p w14:paraId="4029824F" w14:textId="77777777" w:rsidR="0056026C" w:rsidRPr="00CA6531" w:rsidRDefault="0056026C" w:rsidP="0056026C">
            <w:pPr>
              <w:spacing w:line="240" w:lineRule="auto"/>
              <w:jc w:val="righ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2015</w:t>
            </w:r>
          </w:p>
        </w:tc>
      </w:tr>
      <w:tr w:rsidR="00CA6531" w:rsidRPr="00CA6531" w14:paraId="23A47305" w14:textId="77777777" w:rsidTr="00CA6531">
        <w:trPr>
          <w:trHeight w:val="315"/>
        </w:trPr>
        <w:tc>
          <w:tcPr>
            <w:tcW w:w="7054" w:type="dxa"/>
            <w:noWrap/>
            <w:hideMark/>
          </w:tcPr>
          <w:p w14:paraId="4236A7FF" w14:textId="16258BDA" w:rsidR="0056026C"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Over</w:t>
            </w:r>
            <w:r w:rsidR="00CA6531">
              <w:rPr>
                <w:rFonts w:ascii="Arial" w:eastAsia="Times New Roman" w:hAnsi="Arial" w:cs="Arial"/>
                <w:color w:val="000000"/>
                <w:sz w:val="18"/>
                <w:szCs w:val="18"/>
                <w:lang w:eastAsia="en-US"/>
              </w:rPr>
              <w:t>v</w:t>
            </w:r>
            <w:r w:rsidRPr="00CA6531">
              <w:rPr>
                <w:rFonts w:ascii="Arial" w:eastAsia="Times New Roman" w:hAnsi="Arial" w:cs="Arial"/>
                <w:color w:val="000000"/>
                <w:sz w:val="18"/>
                <w:szCs w:val="18"/>
                <w:lang w:eastAsia="en-US"/>
              </w:rPr>
              <w:t>iew of important international seizures in the EU Jan - Dec 2015</w:t>
            </w:r>
          </w:p>
          <w:p w14:paraId="1E29E012" w14:textId="77777777" w:rsidR="00CA6531" w:rsidRPr="00CA6531" w:rsidRDefault="00CA6531" w:rsidP="0056026C">
            <w:pPr>
              <w:spacing w:line="240" w:lineRule="auto"/>
              <w:jc w:val="left"/>
              <w:rPr>
                <w:rFonts w:ascii="Arial" w:eastAsia="Times New Roman" w:hAnsi="Arial" w:cs="Arial"/>
                <w:color w:val="000000"/>
                <w:sz w:val="18"/>
                <w:szCs w:val="18"/>
                <w:lang w:eastAsia="en-US"/>
              </w:rPr>
            </w:pPr>
          </w:p>
        </w:tc>
        <w:tc>
          <w:tcPr>
            <w:tcW w:w="1276" w:type="dxa"/>
            <w:noWrap/>
            <w:hideMark/>
          </w:tcPr>
          <w:p w14:paraId="4785CACF"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Briefing report</w:t>
            </w:r>
          </w:p>
        </w:tc>
        <w:tc>
          <w:tcPr>
            <w:tcW w:w="912" w:type="dxa"/>
            <w:noWrap/>
            <w:hideMark/>
          </w:tcPr>
          <w:p w14:paraId="72C250D8" w14:textId="77777777" w:rsidR="0056026C" w:rsidRPr="00CA6531" w:rsidRDefault="0056026C" w:rsidP="0056026C">
            <w:pPr>
              <w:spacing w:line="240" w:lineRule="auto"/>
              <w:jc w:val="righ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2016</w:t>
            </w:r>
          </w:p>
        </w:tc>
      </w:tr>
      <w:tr w:rsidR="00CA6531" w:rsidRPr="00CA6531" w14:paraId="3156F8BA" w14:textId="77777777" w:rsidTr="00CA6531">
        <w:trPr>
          <w:trHeight w:val="315"/>
        </w:trPr>
        <w:tc>
          <w:tcPr>
            <w:tcW w:w="7054" w:type="dxa"/>
            <w:noWrap/>
            <w:hideMark/>
          </w:tcPr>
          <w:p w14:paraId="76DD46BA" w14:textId="00068B95" w:rsidR="00CA6531"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Overview of important international seizures in the EU Jan - Dec 2016</w:t>
            </w:r>
          </w:p>
        </w:tc>
        <w:tc>
          <w:tcPr>
            <w:tcW w:w="1276" w:type="dxa"/>
            <w:noWrap/>
            <w:hideMark/>
          </w:tcPr>
          <w:p w14:paraId="21EF4B74"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Briefing report</w:t>
            </w:r>
          </w:p>
        </w:tc>
        <w:tc>
          <w:tcPr>
            <w:tcW w:w="912" w:type="dxa"/>
            <w:noWrap/>
            <w:hideMark/>
          </w:tcPr>
          <w:p w14:paraId="742E5A9C" w14:textId="77777777" w:rsidR="0056026C" w:rsidRPr="00CA6531" w:rsidRDefault="0056026C" w:rsidP="0056026C">
            <w:pPr>
              <w:spacing w:line="240" w:lineRule="auto"/>
              <w:jc w:val="righ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2017</w:t>
            </w:r>
          </w:p>
        </w:tc>
      </w:tr>
      <w:tr w:rsidR="00CA6531" w:rsidRPr="00CA6531" w14:paraId="3A5B9C04" w14:textId="77777777" w:rsidTr="00CA6531">
        <w:trPr>
          <w:trHeight w:val="315"/>
        </w:trPr>
        <w:tc>
          <w:tcPr>
            <w:tcW w:w="7054" w:type="dxa"/>
            <w:noWrap/>
            <w:hideMark/>
          </w:tcPr>
          <w:p w14:paraId="7090BA54"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Overview of seizures of CITES listed wildlife in the EU Jan - Dec 2017</w:t>
            </w:r>
          </w:p>
        </w:tc>
        <w:tc>
          <w:tcPr>
            <w:tcW w:w="1276" w:type="dxa"/>
            <w:noWrap/>
            <w:hideMark/>
          </w:tcPr>
          <w:p w14:paraId="7B4922A5" w14:textId="77777777" w:rsidR="0056026C" w:rsidRPr="00CA6531" w:rsidRDefault="0056026C" w:rsidP="0056026C">
            <w:pPr>
              <w:spacing w:line="240" w:lineRule="auto"/>
              <w:jc w:val="lef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Briefing report</w:t>
            </w:r>
          </w:p>
        </w:tc>
        <w:tc>
          <w:tcPr>
            <w:tcW w:w="912" w:type="dxa"/>
            <w:noWrap/>
            <w:hideMark/>
          </w:tcPr>
          <w:p w14:paraId="3FC31724" w14:textId="77777777" w:rsidR="0056026C" w:rsidRPr="00CA6531" w:rsidRDefault="0056026C" w:rsidP="0056026C">
            <w:pPr>
              <w:spacing w:line="240" w:lineRule="auto"/>
              <w:jc w:val="right"/>
              <w:rPr>
                <w:rFonts w:ascii="Arial" w:eastAsia="Times New Roman" w:hAnsi="Arial" w:cs="Arial"/>
                <w:color w:val="000000"/>
                <w:sz w:val="18"/>
                <w:szCs w:val="18"/>
                <w:lang w:eastAsia="en-US"/>
              </w:rPr>
            </w:pPr>
            <w:r w:rsidRPr="00CA6531">
              <w:rPr>
                <w:rFonts w:ascii="Arial" w:eastAsia="Times New Roman" w:hAnsi="Arial" w:cs="Arial"/>
                <w:color w:val="000000"/>
                <w:sz w:val="18"/>
                <w:szCs w:val="18"/>
                <w:lang w:eastAsia="en-US"/>
              </w:rPr>
              <w:t>2019</w:t>
            </w:r>
          </w:p>
        </w:tc>
      </w:tr>
    </w:tbl>
    <w:p w14:paraId="765DBFB4" w14:textId="77777777" w:rsidR="0056026C" w:rsidRDefault="0056026C" w:rsidP="0056026C">
      <w:pPr>
        <w:rPr>
          <w:sz w:val="18"/>
          <w:szCs w:val="18"/>
        </w:rPr>
      </w:pPr>
    </w:p>
    <w:p w14:paraId="31B73028" w14:textId="77777777" w:rsidR="004316F0" w:rsidRDefault="004316F0" w:rsidP="004316F0">
      <w:pPr>
        <w:pStyle w:val="Heading2"/>
        <w:rPr>
          <w:shd w:val="clear" w:color="auto" w:fill="FFFFFF"/>
        </w:rPr>
      </w:pPr>
      <w:bookmarkStart w:id="119" w:name="_Toc453224272"/>
      <w:r>
        <w:rPr>
          <w:shd w:val="clear" w:color="auto" w:fill="FFFFFF"/>
        </w:rPr>
        <w:lastRenderedPageBreak/>
        <w:t>Reference List:</w:t>
      </w:r>
      <w:bookmarkEnd w:id="119"/>
    </w:p>
    <w:p w14:paraId="76EE912C" w14:textId="77777777" w:rsidR="00FC2BD1" w:rsidRDefault="00FC2BD1" w:rsidP="00FC2BD1">
      <w:pPr>
        <w:pStyle w:val="NormalWeb"/>
        <w:spacing w:before="0" w:beforeAutospacing="0" w:after="160" w:afterAutospacing="0"/>
        <w:rPr>
          <w:color w:val="000000"/>
        </w:rPr>
      </w:pPr>
      <w:r>
        <w:rPr>
          <w:color w:val="000000"/>
          <w:sz w:val="22"/>
          <w:szCs w:val="22"/>
        </w:rPr>
        <w:t xml:space="preserve">Acton, L., Campbell, L.M., Cleary, J., Gray, N.J. and  Halpin, P.N. (2019) ‘What is the Sargasso Sea? The problem of fixing space in a fluid ocean’, </w:t>
      </w:r>
      <w:r>
        <w:rPr>
          <w:i/>
          <w:iCs/>
          <w:color w:val="000000"/>
          <w:sz w:val="22"/>
          <w:szCs w:val="22"/>
        </w:rPr>
        <w:t>Political Geography</w:t>
      </w:r>
      <w:r>
        <w:rPr>
          <w:color w:val="000000"/>
          <w:sz w:val="22"/>
          <w:szCs w:val="22"/>
        </w:rPr>
        <w:t xml:space="preserve">, [online] </w:t>
      </w:r>
      <w:r>
        <w:rPr>
          <w:b/>
          <w:bCs/>
          <w:color w:val="000000"/>
          <w:sz w:val="22"/>
          <w:szCs w:val="22"/>
        </w:rPr>
        <w:t>68</w:t>
      </w:r>
      <w:r>
        <w:rPr>
          <w:color w:val="000000"/>
          <w:sz w:val="22"/>
          <w:szCs w:val="22"/>
        </w:rPr>
        <w:t>, pp.86–100. [Viewed: 27 November 2018] Available from: doi: 10.1016/j.polgeo.2018.11.004.</w:t>
      </w:r>
    </w:p>
    <w:p w14:paraId="3944457D" w14:textId="77777777" w:rsidR="00FC2BD1" w:rsidRDefault="00FC2BD1" w:rsidP="00FC2BD1">
      <w:pPr>
        <w:pStyle w:val="NormalWeb"/>
        <w:spacing w:before="0" w:beforeAutospacing="0" w:after="160" w:afterAutospacing="0"/>
        <w:jc w:val="both"/>
        <w:rPr>
          <w:color w:val="000000"/>
        </w:rPr>
      </w:pPr>
      <w:r>
        <w:rPr>
          <w:color w:val="000000"/>
          <w:sz w:val="22"/>
          <w:szCs w:val="22"/>
        </w:rPr>
        <w:t xml:space="preserve">Adeli, A. and Namdar, M. (2015) ‘The Iranian Caviar and its Substitutes in the World Market’, </w:t>
      </w:r>
      <w:r>
        <w:rPr>
          <w:i/>
          <w:iCs/>
          <w:color w:val="000000"/>
          <w:sz w:val="22"/>
          <w:szCs w:val="22"/>
        </w:rPr>
        <w:t>Ecopersia</w:t>
      </w:r>
      <w:r>
        <w:rPr>
          <w:color w:val="000000"/>
          <w:sz w:val="22"/>
          <w:szCs w:val="22"/>
        </w:rPr>
        <w:t xml:space="preserve">, </w:t>
      </w:r>
      <w:r>
        <w:rPr>
          <w:b/>
          <w:bCs/>
          <w:color w:val="000000"/>
          <w:sz w:val="22"/>
          <w:szCs w:val="22"/>
        </w:rPr>
        <w:t>3</w:t>
      </w:r>
      <w:r>
        <w:rPr>
          <w:color w:val="000000"/>
          <w:sz w:val="22"/>
          <w:szCs w:val="22"/>
        </w:rPr>
        <w:t>(1), pp. 933–944.</w:t>
      </w:r>
    </w:p>
    <w:p w14:paraId="0B2A93AC" w14:textId="77777777" w:rsidR="00FC2BD1" w:rsidRDefault="00FC2BD1" w:rsidP="00FC2BD1">
      <w:pPr>
        <w:pStyle w:val="NormalWeb"/>
        <w:spacing w:before="0" w:beforeAutospacing="0" w:after="160" w:afterAutospacing="0"/>
        <w:rPr>
          <w:color w:val="000000"/>
        </w:rPr>
      </w:pPr>
      <w:r>
        <w:rPr>
          <w:color w:val="000000"/>
          <w:sz w:val="22"/>
          <w:szCs w:val="22"/>
        </w:rPr>
        <w:t xml:space="preserve">Agnew, J. A. (2003) </w:t>
      </w:r>
      <w:r>
        <w:rPr>
          <w:i/>
          <w:iCs/>
          <w:color w:val="000000"/>
          <w:sz w:val="22"/>
          <w:szCs w:val="22"/>
        </w:rPr>
        <w:t>Geopolitics : re-visioning world politics</w:t>
      </w:r>
      <w:r>
        <w:rPr>
          <w:color w:val="000000"/>
          <w:sz w:val="22"/>
          <w:szCs w:val="22"/>
        </w:rPr>
        <w:t>. London: Routledge. </w:t>
      </w:r>
    </w:p>
    <w:p w14:paraId="7B6FD6FE" w14:textId="77777777" w:rsidR="00FC2BD1" w:rsidRDefault="00FC2BD1" w:rsidP="00FC2BD1">
      <w:pPr>
        <w:pStyle w:val="NormalWeb"/>
        <w:spacing w:before="0" w:beforeAutospacing="0" w:after="160" w:afterAutospacing="0"/>
        <w:rPr>
          <w:color w:val="000000"/>
        </w:rPr>
      </w:pPr>
      <w:r>
        <w:rPr>
          <w:color w:val="000000"/>
          <w:sz w:val="22"/>
          <w:szCs w:val="22"/>
          <w:shd w:val="clear" w:color="auto" w:fill="FFFFFF"/>
        </w:rPr>
        <w:t xml:space="preserve">Agnew, J., Mitchell, K., &amp; Toal, G. (Eds). (2003) </w:t>
      </w:r>
      <w:r>
        <w:rPr>
          <w:i/>
          <w:iCs/>
          <w:color w:val="000000"/>
          <w:sz w:val="22"/>
          <w:szCs w:val="22"/>
          <w:shd w:val="clear" w:color="auto" w:fill="FFFFFF"/>
        </w:rPr>
        <w:t xml:space="preserve">A Companion to Political Geography. </w:t>
      </w:r>
      <w:r>
        <w:rPr>
          <w:color w:val="000000"/>
          <w:sz w:val="22"/>
          <w:szCs w:val="22"/>
          <w:shd w:val="clear" w:color="auto" w:fill="FFFFFF"/>
        </w:rPr>
        <w:t>Oxford: Blackwell Publishing</w:t>
      </w:r>
    </w:p>
    <w:p w14:paraId="0C97C03E" w14:textId="77777777" w:rsidR="00FC2BD1" w:rsidRDefault="00FC2BD1" w:rsidP="00FC2BD1">
      <w:pPr>
        <w:pStyle w:val="NormalWeb"/>
        <w:spacing w:before="0" w:beforeAutospacing="0" w:after="160" w:afterAutospacing="0"/>
        <w:rPr>
          <w:color w:val="000000"/>
        </w:rPr>
      </w:pPr>
      <w:r>
        <w:rPr>
          <w:color w:val="000000"/>
          <w:sz w:val="22"/>
          <w:szCs w:val="22"/>
        </w:rPr>
        <w:t xml:space="preserve">Agnew, J., Mamadouh, V., Secor, A.J, &amp; Sharp, J. (Eds.) (2015) </w:t>
      </w:r>
      <w:r>
        <w:rPr>
          <w:i/>
          <w:iCs/>
          <w:color w:val="000000"/>
          <w:sz w:val="22"/>
          <w:szCs w:val="22"/>
        </w:rPr>
        <w:t>The Wiley Blackwell Companion to Political Geography</w:t>
      </w:r>
      <w:r>
        <w:rPr>
          <w:color w:val="000000"/>
          <w:sz w:val="22"/>
          <w:szCs w:val="22"/>
        </w:rPr>
        <w:t>. Chichester, England: </w:t>
      </w:r>
    </w:p>
    <w:p w14:paraId="34B6C8A4" w14:textId="77777777" w:rsidR="00FC2BD1" w:rsidRDefault="00FC2BD1" w:rsidP="00FC2BD1">
      <w:pPr>
        <w:pStyle w:val="NormalWeb"/>
        <w:spacing w:before="0" w:beforeAutospacing="0" w:after="160" w:afterAutospacing="0"/>
        <w:jc w:val="both"/>
        <w:rPr>
          <w:color w:val="000000"/>
        </w:rPr>
      </w:pPr>
      <w:r>
        <w:rPr>
          <w:color w:val="000000"/>
          <w:sz w:val="22"/>
          <w:szCs w:val="22"/>
        </w:rPr>
        <w:t xml:space="preserve">Anderson. B. and Harrison, P. (Eds.) (2016) </w:t>
      </w:r>
      <w:r>
        <w:rPr>
          <w:i/>
          <w:iCs/>
          <w:color w:val="000000"/>
          <w:sz w:val="22"/>
          <w:szCs w:val="22"/>
        </w:rPr>
        <w:t>Taking-Place: Non-Representational Theories and Geography</w:t>
      </w:r>
      <w:r>
        <w:rPr>
          <w:color w:val="000000"/>
          <w:sz w:val="22"/>
          <w:szCs w:val="22"/>
        </w:rPr>
        <w:t>. London: Routledge.</w:t>
      </w:r>
    </w:p>
    <w:p w14:paraId="633C054E" w14:textId="77777777" w:rsidR="00FC2BD1" w:rsidRDefault="00FC2BD1" w:rsidP="00FC2BD1">
      <w:pPr>
        <w:pStyle w:val="NormalWeb"/>
        <w:spacing w:before="0" w:beforeAutospacing="0" w:after="160" w:afterAutospacing="0"/>
        <w:rPr>
          <w:color w:val="000000"/>
        </w:rPr>
      </w:pPr>
      <w:r>
        <w:rPr>
          <w:color w:val="000000"/>
          <w:sz w:val="22"/>
          <w:szCs w:val="22"/>
        </w:rPr>
        <w:t xml:space="preserve">Appadurai, A. (Ed.). (1986) </w:t>
      </w:r>
      <w:r>
        <w:rPr>
          <w:i/>
          <w:iCs/>
          <w:color w:val="000000"/>
          <w:sz w:val="22"/>
          <w:szCs w:val="22"/>
        </w:rPr>
        <w:t xml:space="preserve">The Social Life of Things: Commodities in Cultural Perspective. </w:t>
      </w:r>
      <w:r>
        <w:rPr>
          <w:color w:val="000000"/>
          <w:sz w:val="22"/>
          <w:szCs w:val="22"/>
        </w:rPr>
        <w:t>Cambridge: Cambridge University Press.</w:t>
      </w:r>
    </w:p>
    <w:p w14:paraId="10A4775A" w14:textId="77777777" w:rsidR="00FC2BD1" w:rsidRDefault="00FC2BD1" w:rsidP="00FC2BD1">
      <w:pPr>
        <w:pStyle w:val="NormalWeb"/>
        <w:spacing w:before="0" w:beforeAutospacing="0" w:after="160" w:afterAutospacing="0"/>
        <w:rPr>
          <w:color w:val="000000"/>
        </w:rPr>
      </w:pPr>
      <w:r>
        <w:rPr>
          <w:color w:val="000000"/>
          <w:sz w:val="22"/>
          <w:szCs w:val="22"/>
        </w:rPr>
        <w:t xml:space="preserve">Balzacq, T. (2011) </w:t>
      </w:r>
      <w:r>
        <w:rPr>
          <w:i/>
          <w:iCs/>
          <w:color w:val="000000"/>
          <w:sz w:val="22"/>
          <w:szCs w:val="22"/>
        </w:rPr>
        <w:t>Securitization theory : how security problems emerge and dissolve</w:t>
      </w:r>
      <w:r>
        <w:rPr>
          <w:color w:val="000000"/>
          <w:sz w:val="22"/>
          <w:szCs w:val="22"/>
        </w:rPr>
        <w:t>. London: Routledge.</w:t>
      </w:r>
    </w:p>
    <w:p w14:paraId="10836E65" w14:textId="77777777" w:rsidR="00FC2BD1" w:rsidRDefault="00FC2BD1" w:rsidP="00FC2BD1">
      <w:pPr>
        <w:pStyle w:val="NormalWeb"/>
        <w:spacing w:before="0" w:beforeAutospacing="0" w:after="160" w:afterAutospacing="0"/>
        <w:rPr>
          <w:color w:val="000000"/>
        </w:rPr>
      </w:pPr>
      <w:r>
        <w:rPr>
          <w:color w:val="000000"/>
          <w:sz w:val="22"/>
          <w:szCs w:val="22"/>
        </w:rPr>
        <w:t xml:space="preserve">Banos-Ruiz, I. (2017) ‘Europe, a silent hub of illegal wildlife trade’ [online]  </w:t>
      </w:r>
      <w:r>
        <w:rPr>
          <w:i/>
          <w:iCs/>
          <w:color w:val="000000"/>
          <w:sz w:val="22"/>
          <w:szCs w:val="22"/>
        </w:rPr>
        <w:t>Deutsche Welle</w:t>
      </w:r>
      <w:r>
        <w:rPr>
          <w:color w:val="000000"/>
          <w:sz w:val="22"/>
          <w:szCs w:val="22"/>
        </w:rPr>
        <w:t>. [Viewed 26 May 2020] Available from: https://www.dw.com/en/europe-a-silent-hub-of-illegal-wildlife-trade/a-37183459 .</w:t>
      </w:r>
    </w:p>
    <w:p w14:paraId="1D2EE319" w14:textId="77777777" w:rsidR="00FC2BD1" w:rsidRDefault="00FC2BD1" w:rsidP="00FC2BD1">
      <w:pPr>
        <w:pStyle w:val="NormalWeb"/>
        <w:spacing w:before="0" w:beforeAutospacing="0" w:after="160" w:afterAutospacing="0"/>
        <w:rPr>
          <w:color w:val="000000"/>
        </w:rPr>
      </w:pPr>
      <w:r>
        <w:rPr>
          <w:color w:val="000000"/>
          <w:sz w:val="22"/>
          <w:szCs w:val="22"/>
        </w:rPr>
        <w:t xml:space="preserve">Banoub, D. (2019) ‘Black Monday, 1894: Saltfish, credit, and the ecology of politics in Newfoundland’, </w:t>
      </w:r>
      <w:r>
        <w:rPr>
          <w:i/>
          <w:iCs/>
          <w:color w:val="000000"/>
          <w:sz w:val="22"/>
          <w:szCs w:val="22"/>
        </w:rPr>
        <w:t>Atlantic Studies</w:t>
      </w:r>
      <w:r>
        <w:rPr>
          <w:color w:val="000000"/>
          <w:sz w:val="22"/>
          <w:szCs w:val="22"/>
        </w:rPr>
        <w:t>, [online] pp. 1–17. [Viewed: 17 October 2019] Available from: doi: 10.1080/14788810.2019.1666646.</w:t>
      </w:r>
    </w:p>
    <w:p w14:paraId="2ACAF7B9" w14:textId="77777777" w:rsidR="00FC2BD1" w:rsidRDefault="00FC2BD1" w:rsidP="00FC2BD1">
      <w:pPr>
        <w:pStyle w:val="NormalWeb"/>
        <w:spacing w:before="0" w:beforeAutospacing="0" w:after="160" w:afterAutospacing="0"/>
        <w:rPr>
          <w:color w:val="000000"/>
        </w:rPr>
      </w:pPr>
      <w:r>
        <w:rPr>
          <w:color w:val="000000"/>
          <w:sz w:val="22"/>
          <w:szCs w:val="22"/>
        </w:rPr>
        <w:t xml:space="preserve">Barua, M. (2014) ‘Volatile Ecologies: Towards a Material Politics of Human-Animal Relations’, </w:t>
      </w:r>
      <w:r>
        <w:rPr>
          <w:i/>
          <w:iCs/>
          <w:color w:val="000000"/>
          <w:sz w:val="22"/>
          <w:szCs w:val="22"/>
        </w:rPr>
        <w:t>Environment and Planning A</w:t>
      </w:r>
      <w:r>
        <w:rPr>
          <w:color w:val="000000"/>
          <w:sz w:val="22"/>
          <w:szCs w:val="22"/>
        </w:rPr>
        <w:t xml:space="preserve">. [online]  </w:t>
      </w:r>
      <w:r>
        <w:rPr>
          <w:b/>
          <w:bCs/>
          <w:color w:val="000000"/>
          <w:sz w:val="22"/>
          <w:szCs w:val="22"/>
        </w:rPr>
        <w:t>46</w:t>
      </w:r>
      <w:r>
        <w:rPr>
          <w:color w:val="000000"/>
          <w:sz w:val="22"/>
          <w:szCs w:val="22"/>
        </w:rPr>
        <w:t>(6), pp. 1462–1478. [Viewed: 6 November 2018] Available from: doi: 10.1068/a46138.</w:t>
      </w:r>
    </w:p>
    <w:p w14:paraId="478E2C2E" w14:textId="77777777" w:rsidR="00FC2BD1" w:rsidRDefault="00FC2BD1" w:rsidP="00FC2BD1">
      <w:pPr>
        <w:pStyle w:val="NormalWeb"/>
        <w:spacing w:before="0" w:beforeAutospacing="0" w:after="160" w:afterAutospacing="0"/>
        <w:rPr>
          <w:color w:val="000000"/>
        </w:rPr>
      </w:pPr>
      <w:r>
        <w:rPr>
          <w:color w:val="000000"/>
          <w:sz w:val="22"/>
          <w:szCs w:val="22"/>
        </w:rPr>
        <w:t xml:space="preserve">Barua, M. (2016) ‘Lively commodities and encounter value’, </w:t>
      </w:r>
      <w:r>
        <w:rPr>
          <w:i/>
          <w:iCs/>
          <w:color w:val="000000"/>
          <w:sz w:val="22"/>
          <w:szCs w:val="22"/>
        </w:rPr>
        <w:t>Environment and Planning D: Society and Space</w:t>
      </w:r>
      <w:r>
        <w:rPr>
          <w:color w:val="000000"/>
          <w:sz w:val="22"/>
          <w:szCs w:val="22"/>
        </w:rPr>
        <w:t xml:space="preserve">. [Online] </w:t>
      </w:r>
      <w:r>
        <w:rPr>
          <w:b/>
          <w:bCs/>
          <w:color w:val="000000"/>
          <w:sz w:val="22"/>
          <w:szCs w:val="22"/>
        </w:rPr>
        <w:t>34</w:t>
      </w:r>
      <w:r>
        <w:rPr>
          <w:color w:val="000000"/>
          <w:sz w:val="22"/>
          <w:szCs w:val="22"/>
        </w:rPr>
        <w:t>(4), pp. 725–744. [Viewed: 6 November 2018] Available from: doi: 10.1177/0263775815626420.</w:t>
      </w:r>
    </w:p>
    <w:p w14:paraId="3441AE7D" w14:textId="77777777" w:rsidR="00FC2BD1" w:rsidRDefault="00FC2BD1" w:rsidP="00FC2BD1">
      <w:pPr>
        <w:pStyle w:val="NormalWeb"/>
        <w:spacing w:before="0" w:beforeAutospacing="0" w:after="160" w:afterAutospacing="0"/>
        <w:rPr>
          <w:color w:val="000000"/>
        </w:rPr>
      </w:pPr>
      <w:r>
        <w:rPr>
          <w:color w:val="000000"/>
          <w:sz w:val="22"/>
          <w:szCs w:val="22"/>
        </w:rPr>
        <w:t xml:space="preserve">Barua, M. (2017) ‘Nonhuman labour, encounter value, spectacular accumulation: the geographies of a lively commodity’,  </w:t>
      </w:r>
      <w:r>
        <w:rPr>
          <w:i/>
          <w:iCs/>
          <w:color w:val="000000"/>
          <w:sz w:val="22"/>
          <w:szCs w:val="22"/>
        </w:rPr>
        <w:t>Transactions of the Institute of British Geographers</w:t>
      </w:r>
      <w:r>
        <w:rPr>
          <w:color w:val="000000"/>
          <w:sz w:val="22"/>
          <w:szCs w:val="22"/>
        </w:rPr>
        <w:t xml:space="preserve">. [Online] </w:t>
      </w:r>
      <w:r>
        <w:rPr>
          <w:b/>
          <w:bCs/>
          <w:color w:val="000000"/>
          <w:sz w:val="22"/>
          <w:szCs w:val="22"/>
        </w:rPr>
        <w:t>42</w:t>
      </w:r>
      <w:r>
        <w:rPr>
          <w:color w:val="000000"/>
          <w:sz w:val="22"/>
          <w:szCs w:val="22"/>
        </w:rPr>
        <w:t>(2), pp. 274–288. [Viewed: 30.05.20] Available from:  doi: 10.1111/tran.12170.</w:t>
      </w:r>
    </w:p>
    <w:p w14:paraId="56CFB9B7" w14:textId="77777777" w:rsidR="00FC2BD1" w:rsidRDefault="00FC2BD1" w:rsidP="00FC2BD1">
      <w:pPr>
        <w:pStyle w:val="NormalWeb"/>
        <w:spacing w:before="0" w:beforeAutospacing="0" w:after="160" w:afterAutospacing="0"/>
        <w:rPr>
          <w:color w:val="000000"/>
        </w:rPr>
      </w:pPr>
      <w:r>
        <w:rPr>
          <w:color w:val="000000"/>
          <w:sz w:val="22"/>
          <w:szCs w:val="22"/>
        </w:rPr>
        <w:t xml:space="preserve">Bear, C. (2013) ‘Assembling the sea: Materiality, movement and regulatory practices in the cardigan bay scallop fishery’, </w:t>
      </w:r>
      <w:r>
        <w:rPr>
          <w:i/>
          <w:iCs/>
          <w:color w:val="000000"/>
          <w:sz w:val="22"/>
          <w:szCs w:val="22"/>
        </w:rPr>
        <w:t>Cultural Geographies</w:t>
      </w:r>
      <w:r>
        <w:rPr>
          <w:color w:val="000000"/>
          <w:sz w:val="22"/>
          <w:szCs w:val="22"/>
        </w:rPr>
        <w:t xml:space="preserve">. [Online] </w:t>
      </w:r>
      <w:r>
        <w:rPr>
          <w:b/>
          <w:bCs/>
          <w:color w:val="000000"/>
          <w:sz w:val="22"/>
          <w:szCs w:val="22"/>
        </w:rPr>
        <w:t>20</w:t>
      </w:r>
      <w:r>
        <w:rPr>
          <w:color w:val="000000"/>
          <w:sz w:val="22"/>
          <w:szCs w:val="22"/>
        </w:rPr>
        <w:t>(1), pp. 21–41. [Viewed: 29 November 2018] Available from: doi: 10.1177/1474474012463665.</w:t>
      </w:r>
    </w:p>
    <w:p w14:paraId="7A14862E" w14:textId="77777777" w:rsidR="00FC2BD1" w:rsidRDefault="00FC2BD1" w:rsidP="00FC2BD1">
      <w:pPr>
        <w:pStyle w:val="NormalWeb"/>
        <w:spacing w:before="0" w:beforeAutospacing="0" w:after="160" w:afterAutospacing="0"/>
        <w:rPr>
          <w:color w:val="000000"/>
        </w:rPr>
      </w:pPr>
      <w:r>
        <w:rPr>
          <w:color w:val="000000"/>
          <w:sz w:val="22"/>
          <w:szCs w:val="22"/>
        </w:rPr>
        <w:t xml:space="preserve">Bear, C. (2017) ‘Assembling ocean life: More-than-human entanglements in the Blue Economy’, </w:t>
      </w:r>
      <w:r>
        <w:rPr>
          <w:i/>
          <w:iCs/>
          <w:color w:val="000000"/>
          <w:sz w:val="22"/>
          <w:szCs w:val="22"/>
        </w:rPr>
        <w:t>Dialogues in Human Geography</w:t>
      </w:r>
      <w:r>
        <w:rPr>
          <w:color w:val="000000"/>
          <w:sz w:val="22"/>
          <w:szCs w:val="22"/>
        </w:rPr>
        <w:t xml:space="preserve">. [Online]  </w:t>
      </w:r>
      <w:r>
        <w:rPr>
          <w:b/>
          <w:bCs/>
          <w:color w:val="000000"/>
          <w:sz w:val="22"/>
          <w:szCs w:val="22"/>
        </w:rPr>
        <w:t>7</w:t>
      </w:r>
      <w:r>
        <w:rPr>
          <w:color w:val="000000"/>
          <w:sz w:val="22"/>
          <w:szCs w:val="22"/>
        </w:rPr>
        <w:t>(1), pp. 27–31. [Viewed: 07 November 2018] Available from: doi: 10.1177/2043820617691635.</w:t>
      </w:r>
    </w:p>
    <w:p w14:paraId="006C97B6" w14:textId="77777777" w:rsidR="00FC2BD1" w:rsidRDefault="00FC2BD1" w:rsidP="00FC2BD1">
      <w:pPr>
        <w:pStyle w:val="NormalWeb"/>
        <w:spacing w:before="0" w:beforeAutospacing="0" w:after="160" w:afterAutospacing="0"/>
        <w:rPr>
          <w:color w:val="000000"/>
        </w:rPr>
      </w:pPr>
      <w:r>
        <w:rPr>
          <w:color w:val="000000"/>
          <w:sz w:val="22"/>
          <w:szCs w:val="22"/>
        </w:rPr>
        <w:t xml:space="preserve">Beckert, J. &amp; Dewey, M. (Eds.) </w:t>
      </w:r>
      <w:r>
        <w:rPr>
          <w:i/>
          <w:iCs/>
          <w:color w:val="000000"/>
          <w:sz w:val="22"/>
          <w:szCs w:val="22"/>
        </w:rPr>
        <w:t>The Architecture of Illegal Markets: Towards an Economic Sociology of Illegality in the Economy</w:t>
      </w:r>
      <w:r>
        <w:rPr>
          <w:color w:val="000000"/>
          <w:sz w:val="22"/>
          <w:szCs w:val="22"/>
        </w:rPr>
        <w:t>. Oxford: Oxford University Press Online. Accessed from: doi: 10.1093/oso/9780198794974.001.0001</w:t>
      </w:r>
    </w:p>
    <w:p w14:paraId="6104E47A" w14:textId="77777777" w:rsidR="00FC2BD1" w:rsidRDefault="00FC2BD1" w:rsidP="00FC2BD1">
      <w:pPr>
        <w:pStyle w:val="NormalWeb"/>
        <w:spacing w:before="0" w:beforeAutospacing="0" w:after="160" w:afterAutospacing="0"/>
        <w:rPr>
          <w:color w:val="000000"/>
        </w:rPr>
      </w:pPr>
      <w:r>
        <w:rPr>
          <w:color w:val="000000"/>
          <w:sz w:val="22"/>
          <w:szCs w:val="22"/>
        </w:rPr>
        <w:t xml:space="preserve">Belcher, O., Bigger, P., Neimark, B. and Kennelly, C. (2019) ‘Hidden carbon costs of the “everywhere war”: Logistics, geopolitical ecology, and the carbon boot-print of the US military’, </w:t>
      </w:r>
      <w:r>
        <w:rPr>
          <w:i/>
          <w:iCs/>
          <w:color w:val="000000"/>
          <w:sz w:val="22"/>
          <w:szCs w:val="22"/>
        </w:rPr>
        <w:lastRenderedPageBreak/>
        <w:t>Transactions of the Institute of British Geographers</w:t>
      </w:r>
      <w:r>
        <w:rPr>
          <w:color w:val="000000"/>
          <w:sz w:val="22"/>
          <w:szCs w:val="22"/>
        </w:rPr>
        <w:t xml:space="preserve">. [Online] </w:t>
      </w:r>
      <w:r>
        <w:rPr>
          <w:b/>
          <w:bCs/>
          <w:color w:val="000000"/>
          <w:sz w:val="22"/>
          <w:szCs w:val="22"/>
        </w:rPr>
        <w:t>45</w:t>
      </w:r>
      <w:r>
        <w:rPr>
          <w:color w:val="000000"/>
          <w:sz w:val="22"/>
          <w:szCs w:val="22"/>
        </w:rPr>
        <w:t xml:space="preserve"> (1), pp. 1–16. [Accessed: 04 October 2019] Available from: doi: 10.1111/tran.12319.</w:t>
      </w:r>
    </w:p>
    <w:p w14:paraId="13BE017A" w14:textId="77777777" w:rsidR="00FC2BD1" w:rsidRDefault="00FC2BD1" w:rsidP="00FC2BD1">
      <w:pPr>
        <w:pStyle w:val="NormalWeb"/>
        <w:spacing w:before="0" w:beforeAutospacing="0" w:after="160" w:afterAutospacing="0"/>
        <w:rPr>
          <w:color w:val="000000"/>
        </w:rPr>
      </w:pPr>
      <w:r>
        <w:rPr>
          <w:color w:val="000000"/>
          <w:sz w:val="22"/>
          <w:szCs w:val="22"/>
        </w:rPr>
        <w:t xml:space="preserve">Benjaminsen, T. A., Buhaug, H., McConnell, F., Sharp, J. and Steinberg, P.E. (2017) ‘Political Geography and the environment’, </w:t>
      </w:r>
      <w:r>
        <w:rPr>
          <w:i/>
          <w:iCs/>
          <w:color w:val="000000"/>
          <w:sz w:val="22"/>
          <w:szCs w:val="22"/>
        </w:rPr>
        <w:t>Political Geography</w:t>
      </w:r>
      <w:r>
        <w:rPr>
          <w:color w:val="000000"/>
          <w:sz w:val="22"/>
          <w:szCs w:val="22"/>
        </w:rPr>
        <w:t xml:space="preserve">. [online] </w:t>
      </w:r>
      <w:r>
        <w:rPr>
          <w:b/>
          <w:bCs/>
          <w:color w:val="000000"/>
          <w:sz w:val="22"/>
          <w:szCs w:val="22"/>
        </w:rPr>
        <w:t>56</w:t>
      </w:r>
      <w:r>
        <w:rPr>
          <w:color w:val="000000"/>
          <w:sz w:val="22"/>
          <w:szCs w:val="22"/>
        </w:rPr>
        <w:t>, pp. A1–A2. [Accessed: 07 November 2018] Available from: doi: 10.1016/J.POLGEO.2016.11.008.</w:t>
      </w:r>
    </w:p>
    <w:p w14:paraId="7B4B6C80" w14:textId="77777777" w:rsidR="00FC2BD1" w:rsidRDefault="00FC2BD1" w:rsidP="00FC2BD1">
      <w:pPr>
        <w:pStyle w:val="NormalWeb"/>
        <w:spacing w:before="0" w:beforeAutospacing="0" w:after="160" w:afterAutospacing="0"/>
        <w:jc w:val="both"/>
        <w:rPr>
          <w:color w:val="000000"/>
        </w:rPr>
      </w:pPr>
      <w:r>
        <w:rPr>
          <w:color w:val="000000"/>
          <w:sz w:val="22"/>
          <w:szCs w:val="22"/>
        </w:rPr>
        <w:t xml:space="preserve">Bennett, J. (2010) </w:t>
      </w:r>
      <w:r>
        <w:rPr>
          <w:i/>
          <w:iCs/>
          <w:color w:val="000000"/>
          <w:sz w:val="22"/>
          <w:szCs w:val="22"/>
        </w:rPr>
        <w:t>Vibrant matter : a political ecology of things</w:t>
      </w:r>
      <w:r>
        <w:rPr>
          <w:color w:val="000000"/>
          <w:sz w:val="22"/>
          <w:szCs w:val="22"/>
        </w:rPr>
        <w:t>. London: Duke University Press.</w:t>
      </w:r>
    </w:p>
    <w:p w14:paraId="178E59C5" w14:textId="77777777" w:rsidR="00FC2BD1" w:rsidRDefault="00FC2BD1" w:rsidP="00FC2BD1">
      <w:pPr>
        <w:pStyle w:val="NormalWeb"/>
        <w:spacing w:before="0" w:beforeAutospacing="0" w:after="160" w:afterAutospacing="0"/>
        <w:rPr>
          <w:color w:val="000000"/>
        </w:rPr>
      </w:pPr>
      <w:r>
        <w:rPr>
          <w:color w:val="000000"/>
          <w:sz w:val="22"/>
          <w:szCs w:val="22"/>
        </w:rPr>
        <w:t xml:space="preserve">Bichler, G., Bush, S. and Malm, A. (2013) ‘Bad actors and faulty props: unlocking legal and illicit art trade’, </w:t>
      </w:r>
      <w:r>
        <w:rPr>
          <w:i/>
          <w:iCs/>
          <w:color w:val="000000"/>
          <w:sz w:val="22"/>
          <w:szCs w:val="22"/>
        </w:rPr>
        <w:t>Global Crime</w:t>
      </w:r>
      <w:r>
        <w:rPr>
          <w:color w:val="000000"/>
          <w:sz w:val="22"/>
          <w:szCs w:val="22"/>
        </w:rPr>
        <w:t xml:space="preserve">. [Online] </w:t>
      </w:r>
      <w:r>
        <w:rPr>
          <w:b/>
          <w:bCs/>
          <w:color w:val="000000"/>
          <w:sz w:val="22"/>
          <w:szCs w:val="22"/>
        </w:rPr>
        <w:t>14</w:t>
      </w:r>
      <w:r>
        <w:rPr>
          <w:color w:val="000000"/>
          <w:sz w:val="22"/>
          <w:szCs w:val="22"/>
        </w:rPr>
        <w:t>(4), pp. 359–385. [Accessed: 29 July 2019] Available from: doi: 10.1080/17440572.2013.828999.</w:t>
      </w:r>
    </w:p>
    <w:p w14:paraId="4B16AA5D" w14:textId="77777777" w:rsidR="00FC2BD1" w:rsidRPr="002367E4" w:rsidRDefault="00FC2BD1" w:rsidP="00FC2BD1">
      <w:pPr>
        <w:pStyle w:val="NormalWeb"/>
        <w:spacing w:before="0" w:beforeAutospacing="0" w:after="160" w:afterAutospacing="0"/>
        <w:rPr>
          <w:color w:val="000000"/>
          <w:sz w:val="22"/>
          <w:szCs w:val="22"/>
        </w:rPr>
      </w:pPr>
      <w:r w:rsidRPr="002367E4">
        <w:rPr>
          <w:color w:val="000000"/>
          <w:sz w:val="22"/>
          <w:szCs w:val="22"/>
        </w:rPr>
        <w:t xml:space="preserve">Bigger, P. and Neimark, B. D. (2017) ‘Weaponizing nature: The geopolitical ecology of the US Navy’s biofuel program’, </w:t>
      </w:r>
      <w:r w:rsidRPr="002367E4">
        <w:rPr>
          <w:i/>
          <w:iCs/>
          <w:color w:val="000000"/>
          <w:sz w:val="22"/>
          <w:szCs w:val="22"/>
        </w:rPr>
        <w:t>Political Geography</w:t>
      </w:r>
      <w:r w:rsidRPr="002367E4">
        <w:rPr>
          <w:color w:val="000000"/>
          <w:sz w:val="22"/>
          <w:szCs w:val="22"/>
        </w:rPr>
        <w:t xml:space="preserve">. [Online] </w:t>
      </w:r>
      <w:r w:rsidRPr="002367E4">
        <w:rPr>
          <w:b/>
          <w:bCs/>
          <w:color w:val="000000"/>
          <w:sz w:val="22"/>
          <w:szCs w:val="22"/>
        </w:rPr>
        <w:t>60</w:t>
      </w:r>
      <w:r w:rsidRPr="002367E4">
        <w:rPr>
          <w:color w:val="000000"/>
          <w:sz w:val="22"/>
          <w:szCs w:val="22"/>
        </w:rPr>
        <w:t>, pp. 13–22. [Accessed 06 November 2018] Available from: doi: 10.1016/J.POLGEO.2017.03.007.</w:t>
      </w:r>
    </w:p>
    <w:p w14:paraId="3F929CC8" w14:textId="533B1581" w:rsidR="00FC2BD1" w:rsidRPr="002367E4" w:rsidRDefault="00FC2BD1" w:rsidP="00FC2BD1">
      <w:pPr>
        <w:pStyle w:val="NormalWeb"/>
        <w:spacing w:before="240" w:beforeAutospacing="0" w:after="240" w:afterAutospacing="0"/>
        <w:rPr>
          <w:color w:val="000000"/>
          <w:sz w:val="22"/>
          <w:szCs w:val="22"/>
        </w:rPr>
      </w:pPr>
      <w:r w:rsidRPr="002367E4">
        <w:rPr>
          <w:color w:val="000000"/>
          <w:sz w:val="22"/>
          <w:szCs w:val="22"/>
        </w:rPr>
        <w:t xml:space="preserve">Birstein, V. J., Bauer, A. and Kaiser-Pohlmann, A. (eds.) (1997). </w:t>
      </w:r>
      <w:r w:rsidRPr="002367E4">
        <w:rPr>
          <w:i/>
          <w:iCs/>
          <w:color w:val="000000"/>
          <w:sz w:val="22"/>
          <w:szCs w:val="22"/>
        </w:rPr>
        <w:t xml:space="preserve">Sturgeon Stocks and Caviar Trade Workshop. </w:t>
      </w:r>
      <w:r w:rsidRPr="002367E4">
        <w:rPr>
          <w:color w:val="000000"/>
          <w:sz w:val="22"/>
          <w:szCs w:val="22"/>
        </w:rPr>
        <w:t>Cambridge, UK: IUCN. [Accessed: 26 September 2019] Available from:  http://awsassets.panda.org/downloads/11_1999_proceedins_sturg_stock_and_caviar_trade_int_1.pdf </w:t>
      </w:r>
    </w:p>
    <w:p w14:paraId="76958D2E" w14:textId="77777777" w:rsidR="00FC2BD1" w:rsidRPr="002367E4" w:rsidRDefault="00FC2BD1" w:rsidP="00FC2BD1">
      <w:pPr>
        <w:pStyle w:val="NormalWeb"/>
        <w:spacing w:before="0" w:beforeAutospacing="0" w:after="160" w:afterAutospacing="0"/>
        <w:rPr>
          <w:color w:val="000000"/>
          <w:sz w:val="22"/>
          <w:szCs w:val="22"/>
        </w:rPr>
      </w:pPr>
      <w:r w:rsidRPr="002367E4">
        <w:rPr>
          <w:color w:val="000000"/>
          <w:sz w:val="22"/>
          <w:szCs w:val="22"/>
        </w:rPr>
        <w:t xml:space="preserve">Braverman, I. (ed.) </w:t>
      </w:r>
      <w:r w:rsidRPr="002367E4">
        <w:rPr>
          <w:i/>
          <w:iCs/>
          <w:color w:val="000000"/>
          <w:sz w:val="22"/>
          <w:szCs w:val="22"/>
        </w:rPr>
        <w:t xml:space="preserve">Animals, Biopolitics, Law: Lively Legalities. </w:t>
      </w:r>
      <w:r w:rsidRPr="002367E4">
        <w:rPr>
          <w:color w:val="000000"/>
          <w:sz w:val="22"/>
          <w:szCs w:val="22"/>
        </w:rPr>
        <w:t> London: Routledge.</w:t>
      </w:r>
    </w:p>
    <w:p w14:paraId="2F9E4308" w14:textId="7DA257F6" w:rsidR="002367E4" w:rsidRPr="002367E4" w:rsidRDefault="002367E4" w:rsidP="002367E4">
      <w:pPr>
        <w:spacing w:after="0" w:line="240" w:lineRule="auto"/>
        <w:jc w:val="left"/>
        <w:rPr>
          <w:rFonts w:eastAsia="Times New Roman" w:cs="Times New Roman"/>
          <w:sz w:val="22"/>
          <w:shd w:val="clear" w:color="auto" w:fill="FFFFFF"/>
          <w:lang w:eastAsia="en-US"/>
        </w:rPr>
      </w:pPr>
      <w:r w:rsidRPr="002367E4">
        <w:rPr>
          <w:rFonts w:eastAsia="Times New Roman" w:cs="Times New Roman"/>
          <w:sz w:val="22"/>
          <w:shd w:val="clear" w:color="auto" w:fill="FFFFFF"/>
          <w:lang w:eastAsia="en-US"/>
        </w:rPr>
        <w:t xml:space="preserve">Bronzi, P., Chebanov, M., Michaels, J. T., Wei, Q., Rosenthal, H., &amp; Gessner, J. (2019) </w:t>
      </w:r>
    </w:p>
    <w:p w14:paraId="00049662" w14:textId="277F41DB" w:rsidR="002367E4" w:rsidRPr="002367E4" w:rsidRDefault="002367E4" w:rsidP="002367E4">
      <w:pPr>
        <w:spacing w:after="0" w:line="240" w:lineRule="auto"/>
        <w:jc w:val="left"/>
        <w:rPr>
          <w:rFonts w:eastAsia="Times New Roman" w:cs="Times New Roman"/>
          <w:sz w:val="22"/>
          <w:shd w:val="clear" w:color="auto" w:fill="FFFFFF"/>
          <w:lang w:eastAsia="en-US"/>
        </w:rPr>
      </w:pPr>
      <w:r w:rsidRPr="002367E4">
        <w:rPr>
          <w:rFonts w:eastAsia="Times New Roman" w:cs="Times New Roman"/>
          <w:sz w:val="22"/>
          <w:shd w:val="clear" w:color="auto" w:fill="FFFFFF"/>
          <w:lang w:eastAsia="en-US"/>
        </w:rPr>
        <w:t>‘Sturgeon Meat and Caviar Production: Global Update 2017’, </w:t>
      </w:r>
      <w:r w:rsidRPr="002367E4">
        <w:rPr>
          <w:rFonts w:eastAsia="Times New Roman" w:cs="Times New Roman"/>
          <w:i/>
          <w:iCs/>
          <w:sz w:val="22"/>
          <w:lang w:eastAsia="en-US"/>
        </w:rPr>
        <w:t>Journal of Applied Ichthyology</w:t>
      </w:r>
      <w:r w:rsidRPr="002367E4">
        <w:rPr>
          <w:rFonts w:eastAsia="Times New Roman" w:cs="Times New Roman"/>
          <w:sz w:val="22"/>
          <w:shd w:val="clear" w:color="auto" w:fill="FFFFFF"/>
          <w:lang w:eastAsia="en-US"/>
        </w:rPr>
        <w:t xml:space="preserve"> [Online] </w:t>
      </w:r>
      <w:r w:rsidRPr="002367E4">
        <w:rPr>
          <w:rFonts w:eastAsia="Times New Roman" w:cs="Times New Roman"/>
          <w:b/>
          <w:sz w:val="22"/>
          <w:shd w:val="clear" w:color="auto" w:fill="FFFFFF"/>
          <w:lang w:eastAsia="en-US"/>
        </w:rPr>
        <w:t>35</w:t>
      </w:r>
      <w:r w:rsidRPr="002367E4">
        <w:rPr>
          <w:rFonts w:eastAsia="Times New Roman" w:cs="Times New Roman"/>
          <w:sz w:val="22"/>
          <w:shd w:val="clear" w:color="auto" w:fill="FFFFFF"/>
          <w:lang w:eastAsia="en-US"/>
        </w:rPr>
        <w:t>.1, pp. 257-66</w:t>
      </w:r>
      <w:r>
        <w:rPr>
          <w:rFonts w:eastAsia="Times New Roman" w:cs="Times New Roman"/>
          <w:sz w:val="22"/>
          <w:shd w:val="clear" w:color="auto" w:fill="FFFFFF"/>
          <w:lang w:eastAsia="en-US"/>
        </w:rPr>
        <w:t xml:space="preserve"> [Accessed: 07 June 2020] Available from: doi: </w:t>
      </w:r>
      <w:r w:rsidRPr="002367E4">
        <w:rPr>
          <w:rFonts w:eastAsia="Times New Roman" w:cs="Times New Roman"/>
          <w:sz w:val="22"/>
          <w:shd w:val="clear" w:color="auto" w:fill="FFFFFF"/>
          <w:lang w:eastAsia="en-US"/>
        </w:rPr>
        <w:t>/10.1111/jai.13870</w:t>
      </w:r>
    </w:p>
    <w:p w14:paraId="637FC911" w14:textId="77777777" w:rsidR="002367E4" w:rsidRPr="002367E4" w:rsidRDefault="002367E4" w:rsidP="002367E4">
      <w:pPr>
        <w:spacing w:after="0" w:line="240" w:lineRule="auto"/>
        <w:jc w:val="left"/>
        <w:rPr>
          <w:rFonts w:eastAsia="Times New Roman" w:cs="Times New Roman"/>
          <w:sz w:val="22"/>
          <w:lang w:eastAsia="en-US"/>
        </w:rPr>
      </w:pPr>
    </w:p>
    <w:p w14:paraId="62560675" w14:textId="77777777" w:rsidR="00FC2BD1" w:rsidRPr="002367E4" w:rsidRDefault="00FC2BD1" w:rsidP="00FC2BD1">
      <w:pPr>
        <w:pStyle w:val="NormalWeb"/>
        <w:spacing w:before="0" w:beforeAutospacing="0" w:after="160" w:afterAutospacing="0"/>
        <w:rPr>
          <w:color w:val="000000"/>
          <w:sz w:val="22"/>
          <w:szCs w:val="22"/>
        </w:rPr>
      </w:pPr>
      <w:r w:rsidRPr="002367E4">
        <w:rPr>
          <w:color w:val="000000"/>
          <w:sz w:val="22"/>
          <w:szCs w:val="22"/>
        </w:rPr>
        <w:t xml:space="preserve">Brooks, E. G. E., Roberton, S. I. and Bell, D. J. (2010) ‘The conservation impact of commercial wildlife farming of porcupines in Vietnam’, </w:t>
      </w:r>
      <w:r w:rsidRPr="002367E4">
        <w:rPr>
          <w:i/>
          <w:iCs/>
          <w:color w:val="000000"/>
          <w:sz w:val="22"/>
          <w:szCs w:val="22"/>
        </w:rPr>
        <w:t>Biological Conservation</w:t>
      </w:r>
      <w:r w:rsidRPr="002367E4">
        <w:rPr>
          <w:color w:val="000000"/>
          <w:sz w:val="22"/>
          <w:szCs w:val="22"/>
        </w:rPr>
        <w:t xml:space="preserve">. [Online] </w:t>
      </w:r>
      <w:r w:rsidRPr="002367E4">
        <w:rPr>
          <w:b/>
          <w:bCs/>
          <w:color w:val="000000"/>
          <w:sz w:val="22"/>
          <w:szCs w:val="22"/>
        </w:rPr>
        <w:t>143</w:t>
      </w:r>
      <w:r w:rsidRPr="002367E4">
        <w:rPr>
          <w:color w:val="000000"/>
          <w:sz w:val="22"/>
          <w:szCs w:val="22"/>
        </w:rPr>
        <w:t>(11), pp. 2808–2814. [Accessed: 8 April 2020] Available from:  doi: 10.1016/j.biocon.2010.07.030.</w:t>
      </w:r>
    </w:p>
    <w:p w14:paraId="1942B450" w14:textId="77777777" w:rsidR="00FC2BD1" w:rsidRPr="002367E4" w:rsidRDefault="00FC2BD1" w:rsidP="00FC2BD1">
      <w:pPr>
        <w:pStyle w:val="NormalWeb"/>
        <w:spacing w:before="0" w:beforeAutospacing="0" w:after="160" w:afterAutospacing="0"/>
        <w:rPr>
          <w:color w:val="000000"/>
          <w:sz w:val="22"/>
          <w:szCs w:val="22"/>
        </w:rPr>
      </w:pPr>
      <w:r w:rsidRPr="002367E4">
        <w:rPr>
          <w:color w:val="000000"/>
          <w:sz w:val="22"/>
          <w:szCs w:val="22"/>
          <w:shd w:val="clear" w:color="auto" w:fill="FFFFFF"/>
        </w:rPr>
        <w:t xml:space="preserve">Burke, A. &amp; Parker, R. (eds.) </w:t>
      </w:r>
      <w:r w:rsidRPr="002367E4">
        <w:rPr>
          <w:i/>
          <w:iCs/>
          <w:color w:val="000000"/>
          <w:sz w:val="22"/>
          <w:szCs w:val="22"/>
          <w:shd w:val="clear" w:color="auto" w:fill="FFFFFF"/>
        </w:rPr>
        <w:t>Global Insecurity</w:t>
      </w:r>
      <w:r w:rsidRPr="002367E4">
        <w:rPr>
          <w:color w:val="000000"/>
          <w:sz w:val="22"/>
          <w:szCs w:val="22"/>
          <w:shd w:val="clear" w:color="auto" w:fill="FFFFFF"/>
        </w:rPr>
        <w:t>. London: Palgrave Macmillan UK. Available from: https://doi.org/10.1057/978-1-349-95145-1</w:t>
      </w:r>
    </w:p>
    <w:p w14:paraId="2F0C1391" w14:textId="77777777" w:rsidR="00FC2BD1" w:rsidRPr="002367E4" w:rsidRDefault="00FC2BD1" w:rsidP="00FC2BD1">
      <w:pPr>
        <w:pStyle w:val="NormalWeb"/>
        <w:spacing w:before="0" w:beforeAutospacing="0" w:after="160" w:afterAutospacing="0"/>
        <w:rPr>
          <w:color w:val="000000"/>
          <w:sz w:val="22"/>
          <w:szCs w:val="22"/>
        </w:rPr>
      </w:pPr>
      <w:r w:rsidRPr="002367E4">
        <w:rPr>
          <w:color w:val="000000"/>
          <w:sz w:val="22"/>
          <w:szCs w:val="22"/>
          <w:shd w:val="clear" w:color="auto" w:fill="FFFFFF"/>
        </w:rPr>
        <w:t xml:space="preserve">Castree, N. (2003) ‘The Geopolitics of Nature’, in Agnew, J., Mitchell, K., &amp; Toal, G. (Eds). </w:t>
      </w:r>
      <w:r w:rsidRPr="002367E4">
        <w:rPr>
          <w:i/>
          <w:iCs/>
          <w:color w:val="000000"/>
          <w:sz w:val="22"/>
          <w:szCs w:val="22"/>
          <w:shd w:val="clear" w:color="auto" w:fill="FFFFFF"/>
        </w:rPr>
        <w:t xml:space="preserve">A Companion to Political Geography. </w:t>
      </w:r>
      <w:r w:rsidRPr="002367E4">
        <w:rPr>
          <w:color w:val="000000"/>
          <w:sz w:val="22"/>
          <w:szCs w:val="22"/>
          <w:shd w:val="clear" w:color="auto" w:fill="FFFFFF"/>
        </w:rPr>
        <w:t>Oxford: Blackwell Publishing </w:t>
      </w:r>
    </w:p>
    <w:p w14:paraId="7D57657C" w14:textId="77777777" w:rsidR="00FC2BD1" w:rsidRPr="002367E4" w:rsidRDefault="00FC2BD1" w:rsidP="00FC2BD1">
      <w:pPr>
        <w:pStyle w:val="NormalWeb"/>
        <w:spacing w:before="0" w:beforeAutospacing="0" w:after="160" w:afterAutospacing="0"/>
        <w:rPr>
          <w:color w:val="000000"/>
          <w:sz w:val="22"/>
          <w:szCs w:val="22"/>
        </w:rPr>
      </w:pPr>
      <w:r w:rsidRPr="002367E4">
        <w:rPr>
          <w:color w:val="000000"/>
          <w:sz w:val="22"/>
          <w:szCs w:val="22"/>
        </w:rPr>
        <w:t xml:space="preserve">Chagani, F. (2014) ‘Critical political ecology and the seductions of posthumanism’, </w:t>
      </w:r>
      <w:r w:rsidRPr="002367E4">
        <w:rPr>
          <w:i/>
          <w:iCs/>
          <w:color w:val="000000"/>
          <w:sz w:val="22"/>
          <w:szCs w:val="22"/>
        </w:rPr>
        <w:t>Journal of Political Ecology</w:t>
      </w:r>
      <w:r w:rsidRPr="002367E4">
        <w:rPr>
          <w:color w:val="000000"/>
          <w:sz w:val="22"/>
          <w:szCs w:val="22"/>
        </w:rPr>
        <w:t xml:space="preserve"> [Online] </w:t>
      </w:r>
      <w:r w:rsidRPr="002367E4">
        <w:rPr>
          <w:b/>
          <w:bCs/>
          <w:color w:val="000000"/>
          <w:sz w:val="22"/>
          <w:szCs w:val="22"/>
        </w:rPr>
        <w:t>21</w:t>
      </w:r>
      <w:r w:rsidRPr="002367E4">
        <w:rPr>
          <w:color w:val="000000"/>
          <w:sz w:val="22"/>
          <w:szCs w:val="22"/>
        </w:rPr>
        <w:t>(1), pp. 424–436. [Accessed: 28 November 2018]  doi: 10.2458/v21i1.21144.</w:t>
      </w:r>
    </w:p>
    <w:p w14:paraId="1CDD2EA6" w14:textId="77777777" w:rsidR="00FC2BD1" w:rsidRPr="002367E4" w:rsidRDefault="00FC2BD1" w:rsidP="00FC2BD1">
      <w:pPr>
        <w:pStyle w:val="NormalWeb"/>
        <w:spacing w:before="0" w:beforeAutospacing="0" w:after="160" w:afterAutospacing="0"/>
        <w:rPr>
          <w:color w:val="000000"/>
          <w:sz w:val="22"/>
          <w:szCs w:val="22"/>
        </w:rPr>
      </w:pPr>
      <w:r w:rsidRPr="002367E4">
        <w:rPr>
          <w:color w:val="000000"/>
          <w:sz w:val="22"/>
          <w:szCs w:val="22"/>
        </w:rPr>
        <w:t xml:space="preserve">Challender, D. W. S. </w:t>
      </w:r>
      <w:r w:rsidRPr="002367E4">
        <w:rPr>
          <w:i/>
          <w:iCs/>
          <w:color w:val="000000"/>
          <w:sz w:val="22"/>
          <w:szCs w:val="22"/>
        </w:rPr>
        <w:t>et al.</w:t>
      </w:r>
      <w:r w:rsidRPr="002367E4">
        <w:rPr>
          <w:color w:val="000000"/>
          <w:sz w:val="22"/>
          <w:szCs w:val="22"/>
        </w:rPr>
        <w:t xml:space="preserve"> (2019) ‘Evaluating the feasibility of pangolin farming and its potential conservation impact’, </w:t>
      </w:r>
      <w:r w:rsidRPr="002367E4">
        <w:rPr>
          <w:i/>
          <w:iCs/>
          <w:color w:val="000000"/>
          <w:sz w:val="22"/>
          <w:szCs w:val="22"/>
        </w:rPr>
        <w:t>Global Ecology and Conservation</w:t>
      </w:r>
      <w:r w:rsidRPr="002367E4">
        <w:rPr>
          <w:color w:val="000000"/>
          <w:sz w:val="22"/>
          <w:szCs w:val="22"/>
        </w:rPr>
        <w:t xml:space="preserve">. [Online] </w:t>
      </w:r>
      <w:r w:rsidRPr="002367E4">
        <w:rPr>
          <w:b/>
          <w:bCs/>
          <w:color w:val="000000"/>
          <w:sz w:val="22"/>
          <w:szCs w:val="22"/>
        </w:rPr>
        <w:t>20</w:t>
      </w:r>
      <w:r w:rsidRPr="002367E4">
        <w:rPr>
          <w:color w:val="000000"/>
          <w:sz w:val="22"/>
          <w:szCs w:val="22"/>
        </w:rPr>
        <w:t>, p. e00714. [Accessed: 8 April 2020] Available from: doi: 10.1016/j.gecco.2019.e00714.</w:t>
      </w:r>
    </w:p>
    <w:p w14:paraId="6C535FA8" w14:textId="77777777" w:rsidR="00FC2BD1" w:rsidRPr="002367E4" w:rsidRDefault="00FC2BD1" w:rsidP="00FC2BD1">
      <w:pPr>
        <w:pStyle w:val="NormalWeb"/>
        <w:spacing w:before="0" w:beforeAutospacing="0" w:after="160" w:afterAutospacing="0"/>
        <w:rPr>
          <w:color w:val="000000"/>
          <w:sz w:val="22"/>
          <w:szCs w:val="22"/>
        </w:rPr>
      </w:pPr>
      <w:r w:rsidRPr="002367E4">
        <w:rPr>
          <w:color w:val="000000"/>
          <w:sz w:val="22"/>
          <w:szCs w:val="22"/>
        </w:rPr>
        <w:t xml:space="preserve">Chaturvedi, S. and Doyle, T. (2015) </w:t>
      </w:r>
      <w:r w:rsidRPr="002367E4">
        <w:rPr>
          <w:i/>
          <w:iCs/>
          <w:color w:val="000000"/>
          <w:sz w:val="22"/>
          <w:szCs w:val="22"/>
        </w:rPr>
        <w:t>Climate terror : a critical geopolitics of climate change</w:t>
      </w:r>
      <w:r w:rsidRPr="002367E4">
        <w:rPr>
          <w:color w:val="000000"/>
          <w:sz w:val="22"/>
          <w:szCs w:val="22"/>
        </w:rPr>
        <w:t>. London, UK: Palgrave Macmillan</w:t>
      </w:r>
    </w:p>
    <w:p w14:paraId="5589A990" w14:textId="77777777" w:rsidR="00FC2BD1" w:rsidRPr="002367E4" w:rsidRDefault="00FC2BD1" w:rsidP="00FC2BD1">
      <w:pPr>
        <w:pStyle w:val="NormalWeb"/>
        <w:spacing w:before="0" w:beforeAutospacing="0" w:after="160" w:afterAutospacing="0"/>
        <w:rPr>
          <w:color w:val="000000"/>
          <w:sz w:val="22"/>
          <w:szCs w:val="22"/>
        </w:rPr>
      </w:pPr>
      <w:r w:rsidRPr="002367E4">
        <w:rPr>
          <w:color w:val="000000"/>
          <w:sz w:val="22"/>
          <w:szCs w:val="22"/>
        </w:rPr>
        <w:t xml:space="preserve">Christophers, B. (2011) ‘Follow the thing: Money’, </w:t>
      </w:r>
      <w:r w:rsidRPr="002367E4">
        <w:rPr>
          <w:i/>
          <w:iCs/>
          <w:color w:val="000000"/>
          <w:sz w:val="22"/>
          <w:szCs w:val="22"/>
        </w:rPr>
        <w:t>Environment and Planning D: Society and Space</w:t>
      </w:r>
      <w:r w:rsidRPr="002367E4">
        <w:rPr>
          <w:color w:val="000000"/>
          <w:sz w:val="22"/>
          <w:szCs w:val="22"/>
        </w:rPr>
        <w:t xml:space="preserve">, [Online]  </w:t>
      </w:r>
      <w:r w:rsidRPr="002367E4">
        <w:rPr>
          <w:b/>
          <w:bCs/>
          <w:color w:val="000000"/>
          <w:sz w:val="22"/>
          <w:szCs w:val="22"/>
        </w:rPr>
        <w:t>29</w:t>
      </w:r>
      <w:r w:rsidRPr="002367E4">
        <w:rPr>
          <w:color w:val="000000"/>
          <w:sz w:val="22"/>
          <w:szCs w:val="22"/>
        </w:rPr>
        <w:t>(6), pp. 1068–1084. [Accessed: 10 October 2019] Available from: doi: 10.1068/d8410.</w:t>
      </w:r>
    </w:p>
    <w:p w14:paraId="1D3AEB22" w14:textId="77777777" w:rsidR="00FC2BD1" w:rsidRPr="002367E4" w:rsidRDefault="00FC2BD1" w:rsidP="00FC2BD1">
      <w:pPr>
        <w:pStyle w:val="NormalWeb"/>
        <w:spacing w:before="0" w:beforeAutospacing="0" w:after="160" w:afterAutospacing="0"/>
        <w:rPr>
          <w:color w:val="000000"/>
          <w:sz w:val="22"/>
          <w:szCs w:val="22"/>
        </w:rPr>
      </w:pPr>
      <w:r w:rsidRPr="002367E4">
        <w:rPr>
          <w:color w:val="000000"/>
          <w:sz w:val="22"/>
          <w:szCs w:val="22"/>
        </w:rPr>
        <w:t>CITES (2017) ‘</w:t>
      </w:r>
      <w:r w:rsidRPr="002367E4">
        <w:rPr>
          <w:i/>
          <w:iCs/>
          <w:color w:val="000000"/>
          <w:sz w:val="22"/>
          <w:szCs w:val="22"/>
        </w:rPr>
        <w:t>Stocks shared by Range States and the Respective Species: Report of the Animals Committee. SC99 Doc. 46.2</w:t>
      </w:r>
      <w:r w:rsidRPr="002367E4">
        <w:rPr>
          <w:color w:val="000000"/>
          <w:sz w:val="22"/>
          <w:szCs w:val="22"/>
        </w:rPr>
        <w:t>’. [Online] 69th meeting of the CITES Standing Committee. Geneva, Switzerland [Accessed: 05 June 2020] Available from: https://cites.org/sites/default/files/eng/com/sc/69/E-SC69-46-02.pdf</w:t>
      </w:r>
    </w:p>
    <w:p w14:paraId="785B2774" w14:textId="77777777" w:rsidR="00FC2BD1" w:rsidRDefault="00FC2BD1" w:rsidP="00FC2BD1">
      <w:pPr>
        <w:pStyle w:val="NormalWeb"/>
        <w:spacing w:before="0" w:beforeAutospacing="0" w:after="160" w:afterAutospacing="0"/>
        <w:rPr>
          <w:color w:val="000000"/>
        </w:rPr>
      </w:pPr>
      <w:r w:rsidRPr="002367E4">
        <w:rPr>
          <w:color w:val="000000"/>
          <w:sz w:val="22"/>
          <w:szCs w:val="22"/>
        </w:rPr>
        <w:lastRenderedPageBreak/>
        <w:t>CITES (2016) ‘</w:t>
      </w:r>
      <w:r w:rsidRPr="002367E4">
        <w:rPr>
          <w:i/>
          <w:iCs/>
          <w:color w:val="000000"/>
          <w:sz w:val="22"/>
          <w:szCs w:val="22"/>
        </w:rPr>
        <w:t>Conf. 12.7 (Rev. CoP17) Conservation of and trade</w:t>
      </w:r>
      <w:r>
        <w:rPr>
          <w:i/>
          <w:iCs/>
          <w:color w:val="000000"/>
          <w:sz w:val="22"/>
          <w:szCs w:val="22"/>
        </w:rPr>
        <w:t xml:space="preserve"> in sturgeons and paddlefish’. </w:t>
      </w:r>
      <w:r>
        <w:rPr>
          <w:color w:val="000000"/>
          <w:sz w:val="22"/>
          <w:szCs w:val="22"/>
        </w:rPr>
        <w:t>[Online]</w:t>
      </w:r>
      <w:r>
        <w:rPr>
          <w:i/>
          <w:iCs/>
          <w:color w:val="000000"/>
          <w:sz w:val="22"/>
          <w:szCs w:val="22"/>
        </w:rPr>
        <w:t xml:space="preserve"> </w:t>
      </w:r>
      <w:r>
        <w:rPr>
          <w:color w:val="000000"/>
          <w:sz w:val="22"/>
          <w:szCs w:val="22"/>
        </w:rPr>
        <w:t>Geneva, Switzerland: CITES Secretariat. [Accessed: 05 June 2020] Available from: https://www.cites.org/sites/default/files/document/E-Res-12-07-R17.pdf</w:t>
      </w:r>
    </w:p>
    <w:p w14:paraId="5C057E81" w14:textId="77777777" w:rsidR="00FC2BD1" w:rsidRDefault="00FC2BD1" w:rsidP="00FC2BD1">
      <w:pPr>
        <w:pStyle w:val="NormalWeb"/>
        <w:spacing w:before="0" w:beforeAutospacing="0" w:after="160" w:afterAutospacing="0"/>
        <w:rPr>
          <w:color w:val="000000"/>
        </w:rPr>
      </w:pPr>
      <w:r>
        <w:rPr>
          <w:color w:val="000000"/>
          <w:sz w:val="22"/>
          <w:szCs w:val="22"/>
        </w:rPr>
        <w:t>Cloke, P., Cook, I., Crang, P., Goodwin, M., Painter, J., &amp; Philo, C</w:t>
      </w:r>
      <w:r>
        <w:rPr>
          <w:i/>
          <w:iCs/>
          <w:color w:val="000000"/>
          <w:sz w:val="22"/>
          <w:szCs w:val="22"/>
        </w:rPr>
        <w:t>.</w:t>
      </w:r>
      <w:r>
        <w:rPr>
          <w:color w:val="000000"/>
          <w:sz w:val="22"/>
          <w:szCs w:val="22"/>
        </w:rPr>
        <w:t xml:space="preserve">(2004) </w:t>
      </w:r>
      <w:r>
        <w:rPr>
          <w:i/>
          <w:iCs/>
          <w:color w:val="000000"/>
          <w:sz w:val="22"/>
          <w:szCs w:val="22"/>
        </w:rPr>
        <w:t>Practising human geography</w:t>
      </w:r>
      <w:r>
        <w:rPr>
          <w:color w:val="000000"/>
          <w:sz w:val="22"/>
          <w:szCs w:val="22"/>
        </w:rPr>
        <w:t xml:space="preserve">, </w:t>
      </w:r>
      <w:r>
        <w:rPr>
          <w:i/>
          <w:iCs/>
          <w:color w:val="000000"/>
          <w:sz w:val="22"/>
          <w:szCs w:val="22"/>
        </w:rPr>
        <w:t>Practising Human Geography</w:t>
      </w:r>
      <w:r>
        <w:rPr>
          <w:color w:val="000000"/>
          <w:sz w:val="22"/>
          <w:szCs w:val="22"/>
        </w:rPr>
        <w:t xml:space="preserve">. London: SAGE Publications Ltd. Available from: </w:t>
      </w:r>
      <w:r>
        <w:rPr>
          <w:color w:val="000000"/>
          <w:sz w:val="21"/>
          <w:szCs w:val="21"/>
          <w:shd w:val="clear" w:color="auto" w:fill="FFFFFF"/>
        </w:rPr>
        <w:t>doi: 10.4135/9781446221235</w:t>
      </w:r>
    </w:p>
    <w:p w14:paraId="59D31452" w14:textId="77777777" w:rsidR="00FC2BD1" w:rsidRDefault="00FC2BD1" w:rsidP="00FC2BD1">
      <w:pPr>
        <w:pStyle w:val="NormalWeb"/>
        <w:spacing w:before="0" w:beforeAutospacing="0" w:after="160" w:afterAutospacing="0"/>
        <w:jc w:val="both"/>
        <w:rPr>
          <w:color w:val="000000"/>
        </w:rPr>
      </w:pPr>
      <w:r>
        <w:rPr>
          <w:color w:val="000000"/>
          <w:sz w:val="22"/>
          <w:szCs w:val="22"/>
        </w:rPr>
        <w:t xml:space="preserve">Clifford, N., French, S., &amp; Valentine, G. (eds.) (2010) </w:t>
      </w:r>
      <w:r>
        <w:rPr>
          <w:i/>
          <w:iCs/>
          <w:color w:val="000000"/>
          <w:sz w:val="22"/>
          <w:szCs w:val="22"/>
        </w:rPr>
        <w:t>Key Methods in Geography</w:t>
      </w:r>
      <w:r>
        <w:rPr>
          <w:color w:val="000000"/>
          <w:sz w:val="22"/>
          <w:szCs w:val="22"/>
        </w:rPr>
        <w:t>. 2nd edition. London: SAGE Publications Ltd</w:t>
      </w:r>
    </w:p>
    <w:p w14:paraId="11BF787D" w14:textId="77777777" w:rsidR="00FC2BD1" w:rsidRDefault="00FC2BD1" w:rsidP="00FC2BD1">
      <w:pPr>
        <w:pStyle w:val="NormalWeb"/>
        <w:spacing w:before="0" w:beforeAutospacing="0" w:after="160" w:afterAutospacing="0"/>
        <w:rPr>
          <w:color w:val="000000"/>
        </w:rPr>
      </w:pPr>
      <w:r>
        <w:rPr>
          <w:color w:val="000000"/>
          <w:sz w:val="22"/>
          <w:szCs w:val="22"/>
        </w:rPr>
        <w:t xml:space="preserve">Cochrane, A. and Ward, K. (2012) ‘Guest Editorial: Researching the geographies of policy mobility: Confronting the methodological challenges’, </w:t>
      </w:r>
      <w:r>
        <w:rPr>
          <w:i/>
          <w:iCs/>
          <w:color w:val="000000"/>
          <w:sz w:val="22"/>
          <w:szCs w:val="22"/>
        </w:rPr>
        <w:t>Environment and Planning A</w:t>
      </w:r>
      <w:r>
        <w:rPr>
          <w:color w:val="000000"/>
          <w:sz w:val="22"/>
          <w:szCs w:val="22"/>
        </w:rPr>
        <w:t xml:space="preserve">, [Online] </w:t>
      </w:r>
      <w:r>
        <w:rPr>
          <w:b/>
          <w:bCs/>
          <w:color w:val="000000"/>
          <w:sz w:val="22"/>
          <w:szCs w:val="22"/>
        </w:rPr>
        <w:t>44</w:t>
      </w:r>
      <w:r>
        <w:rPr>
          <w:color w:val="000000"/>
          <w:sz w:val="22"/>
          <w:szCs w:val="22"/>
        </w:rPr>
        <w:t>(1), pp. 5–12. [Accessed: 20 December 2019]  Available from:  doi: 10.1068/a44176.</w:t>
      </w:r>
    </w:p>
    <w:p w14:paraId="797E200F" w14:textId="77777777" w:rsidR="00FC2BD1" w:rsidRDefault="00FC2BD1" w:rsidP="00FC2BD1">
      <w:pPr>
        <w:pStyle w:val="NormalWeb"/>
        <w:spacing w:before="0" w:beforeAutospacing="0" w:after="160" w:afterAutospacing="0"/>
        <w:rPr>
          <w:color w:val="000000"/>
        </w:rPr>
      </w:pPr>
      <w:r>
        <w:rPr>
          <w:color w:val="000000"/>
          <w:sz w:val="22"/>
          <w:szCs w:val="22"/>
        </w:rPr>
        <w:t xml:space="preserve">Collard, R.-C. and Dempsey, J. (2013) ‘Life for Sale? The Politics of Lively Commodities’, </w:t>
      </w:r>
      <w:r>
        <w:rPr>
          <w:i/>
          <w:iCs/>
          <w:color w:val="000000"/>
          <w:sz w:val="22"/>
          <w:szCs w:val="22"/>
        </w:rPr>
        <w:t>Environment and Planning A</w:t>
      </w:r>
      <w:r>
        <w:rPr>
          <w:color w:val="000000"/>
          <w:sz w:val="22"/>
          <w:szCs w:val="22"/>
        </w:rPr>
        <w:t xml:space="preserve">, [Online] </w:t>
      </w:r>
      <w:r>
        <w:rPr>
          <w:b/>
          <w:bCs/>
          <w:color w:val="000000"/>
          <w:sz w:val="22"/>
          <w:szCs w:val="22"/>
        </w:rPr>
        <w:t>45</w:t>
      </w:r>
      <w:r>
        <w:rPr>
          <w:color w:val="000000"/>
          <w:sz w:val="22"/>
          <w:szCs w:val="22"/>
        </w:rPr>
        <w:t>(11), pp. 2682–2699. [Accessed: 07 November 2018]  Available from: doi: 10.1068/a45692.</w:t>
      </w:r>
    </w:p>
    <w:p w14:paraId="76A0D8AE" w14:textId="77777777" w:rsidR="00FC2BD1" w:rsidRDefault="00FC2BD1" w:rsidP="00FC2BD1">
      <w:pPr>
        <w:pStyle w:val="NormalWeb"/>
        <w:spacing w:before="0" w:beforeAutospacing="0" w:after="160" w:afterAutospacing="0"/>
        <w:rPr>
          <w:color w:val="000000"/>
        </w:rPr>
      </w:pPr>
      <w:r>
        <w:rPr>
          <w:color w:val="000000"/>
          <w:sz w:val="22"/>
          <w:szCs w:val="22"/>
        </w:rPr>
        <w:t xml:space="preserve">Colombino, A. and Giaccaria, P. (2016) ‘Dead liveness/living deadness: Thresholds of non-human life and death in biocapitalism’, </w:t>
      </w:r>
      <w:r>
        <w:rPr>
          <w:i/>
          <w:iCs/>
          <w:color w:val="000000"/>
          <w:sz w:val="22"/>
          <w:szCs w:val="22"/>
        </w:rPr>
        <w:t>Environment and Planning D: Society and Space</w:t>
      </w:r>
      <w:r>
        <w:rPr>
          <w:color w:val="000000"/>
          <w:sz w:val="22"/>
          <w:szCs w:val="22"/>
        </w:rPr>
        <w:t xml:space="preserve">, [Online]  </w:t>
      </w:r>
      <w:r>
        <w:rPr>
          <w:b/>
          <w:bCs/>
          <w:color w:val="000000"/>
          <w:sz w:val="22"/>
          <w:szCs w:val="22"/>
        </w:rPr>
        <w:t>34</w:t>
      </w:r>
      <w:r>
        <w:rPr>
          <w:color w:val="000000"/>
          <w:sz w:val="22"/>
          <w:szCs w:val="22"/>
        </w:rPr>
        <w:t>(6), pp. 1044–1062. [Accessed: 01 July 2019] Available from: doi: 10.1177/0263775816641944.</w:t>
      </w:r>
    </w:p>
    <w:p w14:paraId="13A58785" w14:textId="77777777" w:rsidR="00FC2BD1" w:rsidRDefault="00FC2BD1" w:rsidP="00FC2BD1">
      <w:pPr>
        <w:pStyle w:val="NormalWeb"/>
        <w:spacing w:before="0" w:beforeAutospacing="0" w:after="160" w:afterAutospacing="0"/>
        <w:rPr>
          <w:color w:val="000000"/>
        </w:rPr>
      </w:pPr>
      <w:r>
        <w:rPr>
          <w:color w:val="000000"/>
          <w:sz w:val="22"/>
          <w:szCs w:val="22"/>
        </w:rPr>
        <w:t xml:space="preserve">Cook, I. (2004) ‘Follow the thing: Papaya’, </w:t>
      </w:r>
      <w:r>
        <w:rPr>
          <w:i/>
          <w:iCs/>
          <w:color w:val="000000"/>
          <w:sz w:val="22"/>
          <w:szCs w:val="22"/>
        </w:rPr>
        <w:t>Antipode</w:t>
      </w:r>
      <w:r>
        <w:rPr>
          <w:color w:val="000000"/>
          <w:sz w:val="22"/>
          <w:szCs w:val="22"/>
        </w:rPr>
        <w:t xml:space="preserve">, [Online]  </w:t>
      </w:r>
      <w:r>
        <w:rPr>
          <w:b/>
          <w:bCs/>
          <w:color w:val="000000"/>
          <w:sz w:val="22"/>
          <w:szCs w:val="22"/>
        </w:rPr>
        <w:t>36</w:t>
      </w:r>
      <w:r>
        <w:rPr>
          <w:color w:val="000000"/>
          <w:sz w:val="22"/>
          <w:szCs w:val="22"/>
        </w:rPr>
        <w:t>(4), pp. 642–664. [Accessed: 10 October 2019] Available from: doi: 10.1111/j.1467-8330.2004.00441.x.</w:t>
      </w:r>
    </w:p>
    <w:p w14:paraId="504CB9FB" w14:textId="77777777" w:rsidR="00FC2BD1" w:rsidRDefault="00FC2BD1" w:rsidP="00FC2BD1">
      <w:pPr>
        <w:pStyle w:val="NormalWeb"/>
        <w:spacing w:before="0" w:beforeAutospacing="0" w:after="160" w:afterAutospacing="0"/>
        <w:rPr>
          <w:color w:val="000000"/>
        </w:rPr>
      </w:pPr>
      <w:r>
        <w:rPr>
          <w:color w:val="000000"/>
          <w:sz w:val="22"/>
          <w:szCs w:val="22"/>
        </w:rPr>
        <w:t xml:space="preserve">Cook, I. and Harrison, M. (2007) ‘Follow the thing: “West Indian hot pepper sauce”’, </w:t>
      </w:r>
      <w:r>
        <w:rPr>
          <w:i/>
          <w:iCs/>
          <w:color w:val="000000"/>
          <w:sz w:val="22"/>
          <w:szCs w:val="22"/>
        </w:rPr>
        <w:t>Space and Culture</w:t>
      </w:r>
      <w:r>
        <w:rPr>
          <w:color w:val="000000"/>
          <w:sz w:val="22"/>
          <w:szCs w:val="22"/>
        </w:rPr>
        <w:t xml:space="preserve">. [Online] </w:t>
      </w:r>
      <w:r>
        <w:rPr>
          <w:b/>
          <w:bCs/>
          <w:color w:val="000000"/>
          <w:sz w:val="22"/>
          <w:szCs w:val="22"/>
        </w:rPr>
        <w:t>10</w:t>
      </w:r>
      <w:r>
        <w:rPr>
          <w:color w:val="000000"/>
          <w:sz w:val="22"/>
          <w:szCs w:val="22"/>
        </w:rPr>
        <w:t>(1), pp. 40–63. [Accessed: 20 December 2019] Available from: doi: 10.1177/1206331206296384.</w:t>
      </w:r>
    </w:p>
    <w:p w14:paraId="2A87A2A9" w14:textId="77777777" w:rsidR="00FC2BD1" w:rsidRDefault="00FC2BD1" w:rsidP="00FC2BD1">
      <w:pPr>
        <w:pStyle w:val="NormalWeb"/>
        <w:spacing w:before="0" w:beforeAutospacing="0" w:after="160" w:afterAutospacing="0"/>
        <w:rPr>
          <w:color w:val="000000"/>
        </w:rPr>
      </w:pPr>
      <w:r>
        <w:rPr>
          <w:color w:val="000000"/>
          <w:sz w:val="22"/>
          <w:szCs w:val="22"/>
        </w:rPr>
        <w:t xml:space="preserve">Cox, K. R., Low, M., &amp; Robinson, J. (Eds.) </w:t>
      </w:r>
      <w:r>
        <w:rPr>
          <w:i/>
          <w:iCs/>
          <w:color w:val="000000"/>
          <w:sz w:val="22"/>
          <w:szCs w:val="22"/>
        </w:rPr>
        <w:t>The SAGE Handbook of Political Geography</w:t>
      </w:r>
      <w:r>
        <w:rPr>
          <w:color w:val="000000"/>
          <w:sz w:val="22"/>
          <w:szCs w:val="22"/>
        </w:rPr>
        <w:t>. London: SAGE Publications Ltd. </w:t>
      </w:r>
    </w:p>
    <w:p w14:paraId="3077E405" w14:textId="77777777" w:rsidR="00FC2BD1" w:rsidRDefault="00FC2BD1" w:rsidP="00FC2BD1">
      <w:pPr>
        <w:pStyle w:val="NormalWeb"/>
        <w:spacing w:before="0" w:beforeAutospacing="0" w:after="160" w:afterAutospacing="0"/>
        <w:rPr>
          <w:color w:val="000000"/>
        </w:rPr>
      </w:pPr>
      <w:r>
        <w:rPr>
          <w:color w:val="000000"/>
          <w:sz w:val="22"/>
          <w:szCs w:val="22"/>
        </w:rPr>
        <w:t xml:space="preserve">Cudworth, E. and Hobden, S. (2013) ‘Complexity, ecologism, and posthuman politics’, </w:t>
      </w:r>
      <w:r>
        <w:rPr>
          <w:i/>
          <w:iCs/>
          <w:color w:val="000000"/>
          <w:sz w:val="22"/>
          <w:szCs w:val="22"/>
        </w:rPr>
        <w:t>Review of International Studies</w:t>
      </w:r>
      <w:r>
        <w:rPr>
          <w:color w:val="000000"/>
          <w:sz w:val="22"/>
          <w:szCs w:val="22"/>
        </w:rPr>
        <w:t xml:space="preserve">, [Online] </w:t>
      </w:r>
      <w:r>
        <w:rPr>
          <w:b/>
          <w:bCs/>
          <w:color w:val="000000"/>
          <w:sz w:val="22"/>
          <w:szCs w:val="22"/>
        </w:rPr>
        <w:t>39</w:t>
      </w:r>
      <w:r>
        <w:rPr>
          <w:color w:val="000000"/>
          <w:sz w:val="22"/>
          <w:szCs w:val="22"/>
        </w:rPr>
        <w:t>(3), pp. 643–664. [Accessed: 27 November 2018] Available from: doi: 10.1017/S0260210512000290.</w:t>
      </w:r>
    </w:p>
    <w:p w14:paraId="02735742" w14:textId="77777777" w:rsidR="00FC2BD1" w:rsidRDefault="00FC2BD1" w:rsidP="00FC2BD1">
      <w:pPr>
        <w:pStyle w:val="NormalWeb"/>
        <w:spacing w:before="0" w:beforeAutospacing="0" w:after="160" w:afterAutospacing="0"/>
        <w:rPr>
          <w:color w:val="000000"/>
        </w:rPr>
      </w:pPr>
      <w:r>
        <w:rPr>
          <w:color w:val="000000"/>
          <w:sz w:val="22"/>
          <w:szCs w:val="22"/>
        </w:rPr>
        <w:t xml:space="preserve">Cudworth, E. and Hobden, S. (2015) ‘The posthuman way of war’, </w:t>
      </w:r>
      <w:r>
        <w:rPr>
          <w:i/>
          <w:iCs/>
          <w:color w:val="000000"/>
          <w:sz w:val="22"/>
          <w:szCs w:val="22"/>
        </w:rPr>
        <w:t>Security Dialogue</w:t>
      </w:r>
      <w:r>
        <w:rPr>
          <w:color w:val="000000"/>
          <w:sz w:val="22"/>
          <w:szCs w:val="22"/>
        </w:rPr>
        <w:t xml:space="preserve">, [Online] </w:t>
      </w:r>
      <w:r>
        <w:rPr>
          <w:b/>
          <w:bCs/>
          <w:color w:val="000000"/>
          <w:sz w:val="22"/>
          <w:szCs w:val="22"/>
        </w:rPr>
        <w:t>46</w:t>
      </w:r>
      <w:r>
        <w:rPr>
          <w:color w:val="000000"/>
          <w:sz w:val="22"/>
          <w:szCs w:val="22"/>
        </w:rPr>
        <w:t>(6), pp. 513–529. [Accessed: 17 January 2019]  Available from: doi:10.1177/0967010615596499.</w:t>
      </w:r>
    </w:p>
    <w:p w14:paraId="1DE71E60" w14:textId="77777777" w:rsidR="00FC2BD1" w:rsidRDefault="00FC2BD1" w:rsidP="00FC2BD1">
      <w:pPr>
        <w:pStyle w:val="NormalWeb"/>
        <w:spacing w:before="0" w:beforeAutospacing="0" w:after="160" w:afterAutospacing="0"/>
        <w:rPr>
          <w:color w:val="000000"/>
        </w:rPr>
      </w:pPr>
      <w:r>
        <w:rPr>
          <w:color w:val="000000"/>
          <w:sz w:val="22"/>
          <w:szCs w:val="22"/>
        </w:rPr>
        <w:t xml:space="preserve">Cudworth, E. and Hobden, S. (2017) ‘Post-human Security’, in Burke, A. &amp; Parker, R. (eds.) </w:t>
      </w:r>
      <w:r>
        <w:rPr>
          <w:i/>
          <w:iCs/>
          <w:color w:val="000000"/>
          <w:sz w:val="22"/>
          <w:szCs w:val="22"/>
        </w:rPr>
        <w:t>Global Insecurity</w:t>
      </w:r>
      <w:r>
        <w:rPr>
          <w:color w:val="000000"/>
          <w:sz w:val="22"/>
          <w:szCs w:val="22"/>
        </w:rPr>
        <w:t>. London: Palgrave Macmillan UK, pp. 65–81. Available from: doi: 10.1057/978-1-349-95145-1_4.</w:t>
      </w:r>
    </w:p>
    <w:p w14:paraId="46850079" w14:textId="77777777" w:rsidR="00FC2BD1" w:rsidRDefault="00FC2BD1" w:rsidP="00FC2BD1">
      <w:pPr>
        <w:pStyle w:val="NormalWeb"/>
        <w:spacing w:before="0" w:beforeAutospacing="0" w:after="160" w:afterAutospacing="0"/>
        <w:rPr>
          <w:color w:val="000000"/>
        </w:rPr>
      </w:pPr>
      <w:r>
        <w:rPr>
          <w:color w:val="000000"/>
          <w:sz w:val="22"/>
          <w:szCs w:val="22"/>
        </w:rPr>
        <w:t xml:space="preserve">Daea, M. (2019) ‘Caviar, crime and corruption’. </w:t>
      </w:r>
      <w:r>
        <w:rPr>
          <w:i/>
          <w:iCs/>
          <w:color w:val="000000"/>
          <w:sz w:val="22"/>
          <w:szCs w:val="22"/>
        </w:rPr>
        <w:t>Oxpeckers</w:t>
      </w:r>
      <w:r>
        <w:rPr>
          <w:color w:val="000000"/>
          <w:sz w:val="22"/>
          <w:szCs w:val="22"/>
        </w:rPr>
        <w:t>. [Online] Available from: https://oxpeckers.org/2019/10/caviar-crime-and-corruption/ (Accessed: 20 May 2020).</w:t>
      </w:r>
    </w:p>
    <w:p w14:paraId="77700A41" w14:textId="77777777" w:rsidR="00FC2BD1" w:rsidRDefault="00FC2BD1" w:rsidP="00FC2BD1">
      <w:pPr>
        <w:pStyle w:val="NormalWeb"/>
        <w:spacing w:before="0" w:beforeAutospacing="0" w:after="160" w:afterAutospacing="0"/>
        <w:rPr>
          <w:color w:val="000000"/>
        </w:rPr>
      </w:pPr>
      <w:r>
        <w:rPr>
          <w:color w:val="000000"/>
          <w:sz w:val="22"/>
          <w:szCs w:val="22"/>
        </w:rPr>
        <w:t xml:space="preserve">Dalby, S. (2020) </w:t>
      </w:r>
      <w:r>
        <w:rPr>
          <w:i/>
          <w:iCs/>
          <w:color w:val="000000"/>
          <w:sz w:val="22"/>
          <w:szCs w:val="22"/>
        </w:rPr>
        <w:t xml:space="preserve">Anthropocene Geopolitics: Globalization, Security, Sustainability. </w:t>
      </w:r>
      <w:r>
        <w:rPr>
          <w:color w:val="000000"/>
          <w:sz w:val="22"/>
          <w:szCs w:val="22"/>
        </w:rPr>
        <w:t>Ottawa, Ontario: University of Ottawa Press</w:t>
      </w:r>
    </w:p>
    <w:p w14:paraId="204659D3" w14:textId="77777777" w:rsidR="00FC2BD1" w:rsidRDefault="00FC2BD1" w:rsidP="00FC2BD1">
      <w:pPr>
        <w:pStyle w:val="NormalWeb"/>
        <w:spacing w:before="0" w:beforeAutospacing="0" w:after="160" w:afterAutospacing="0"/>
        <w:rPr>
          <w:color w:val="000000"/>
        </w:rPr>
      </w:pPr>
      <w:r>
        <w:rPr>
          <w:color w:val="000000"/>
          <w:sz w:val="22"/>
          <w:szCs w:val="22"/>
        </w:rPr>
        <w:t xml:space="preserve">Dalby, S. (2000) ‘Geopolitics and Ecology: Rethinking the Contexts of Environmental Security’, in Lowi, M. &amp; Shaw, B. (Eds.) </w:t>
      </w:r>
      <w:r>
        <w:rPr>
          <w:i/>
          <w:iCs/>
          <w:color w:val="000000"/>
          <w:sz w:val="22"/>
          <w:szCs w:val="22"/>
        </w:rPr>
        <w:t>Environment and Security</w:t>
      </w:r>
      <w:r>
        <w:rPr>
          <w:color w:val="000000"/>
          <w:sz w:val="22"/>
          <w:szCs w:val="22"/>
        </w:rPr>
        <w:t>. London: Palgrave Macmillan UK, pp. 84–100. Available from: doi: 10.1057/9780230596634_6.</w:t>
      </w:r>
    </w:p>
    <w:p w14:paraId="45F0B105" w14:textId="77777777" w:rsidR="00FC2BD1" w:rsidRDefault="00FC2BD1" w:rsidP="00FC2BD1">
      <w:pPr>
        <w:pStyle w:val="NormalWeb"/>
        <w:spacing w:before="0" w:beforeAutospacing="0" w:after="160" w:afterAutospacing="0"/>
        <w:rPr>
          <w:color w:val="000000"/>
        </w:rPr>
      </w:pPr>
      <w:r>
        <w:rPr>
          <w:color w:val="000000"/>
          <w:sz w:val="22"/>
          <w:szCs w:val="22"/>
        </w:rPr>
        <w:t xml:space="preserve">Dalby, S. (2010) ‘Recontextualising violence, power and nature: The next twenty years of critical geopolitics?’, </w:t>
      </w:r>
      <w:r>
        <w:rPr>
          <w:i/>
          <w:iCs/>
          <w:color w:val="000000"/>
          <w:sz w:val="22"/>
          <w:szCs w:val="22"/>
        </w:rPr>
        <w:t>Political Geography</w:t>
      </w:r>
      <w:r>
        <w:rPr>
          <w:color w:val="000000"/>
          <w:sz w:val="22"/>
          <w:szCs w:val="22"/>
        </w:rPr>
        <w:t xml:space="preserve">, [Online] </w:t>
      </w:r>
      <w:r>
        <w:rPr>
          <w:b/>
          <w:bCs/>
          <w:color w:val="000000"/>
          <w:sz w:val="22"/>
          <w:szCs w:val="22"/>
        </w:rPr>
        <w:t>29</w:t>
      </w:r>
      <w:r>
        <w:rPr>
          <w:color w:val="000000"/>
          <w:sz w:val="22"/>
          <w:szCs w:val="22"/>
        </w:rPr>
        <w:t>(5), pp. 280–288. [Accessed: 12 November 2018] Available from: doi: 10.1016/j.polgeo.2010.01.004.</w:t>
      </w:r>
    </w:p>
    <w:p w14:paraId="3DC3DD97" w14:textId="77777777" w:rsidR="00FC2BD1" w:rsidRDefault="00FC2BD1" w:rsidP="00FC2BD1">
      <w:pPr>
        <w:pStyle w:val="NormalWeb"/>
        <w:spacing w:before="0" w:beforeAutospacing="0" w:after="160" w:afterAutospacing="0"/>
        <w:rPr>
          <w:color w:val="000000"/>
        </w:rPr>
      </w:pPr>
      <w:r>
        <w:rPr>
          <w:color w:val="000000"/>
          <w:sz w:val="22"/>
          <w:szCs w:val="22"/>
        </w:rPr>
        <w:t xml:space="preserve">Dalby, S. (2013) ‘The geopolitics of climate change’, </w:t>
      </w:r>
      <w:r>
        <w:rPr>
          <w:i/>
          <w:iCs/>
          <w:color w:val="000000"/>
          <w:sz w:val="22"/>
          <w:szCs w:val="22"/>
        </w:rPr>
        <w:t>Political Geography</w:t>
      </w:r>
      <w:r>
        <w:rPr>
          <w:color w:val="000000"/>
          <w:sz w:val="22"/>
          <w:szCs w:val="22"/>
        </w:rPr>
        <w:t xml:space="preserve">. [Online] </w:t>
      </w:r>
      <w:r>
        <w:rPr>
          <w:b/>
          <w:bCs/>
          <w:color w:val="000000"/>
          <w:sz w:val="22"/>
          <w:szCs w:val="22"/>
        </w:rPr>
        <w:t>37</w:t>
      </w:r>
      <w:r>
        <w:rPr>
          <w:color w:val="000000"/>
          <w:sz w:val="22"/>
          <w:szCs w:val="22"/>
        </w:rPr>
        <w:t>, pp. 38–47. [Accessed: 19 March 2020] Available from: doi: 10.1016/j.polgeo.2013.09.004.</w:t>
      </w:r>
    </w:p>
    <w:p w14:paraId="1E18BC5B" w14:textId="77777777" w:rsidR="00FC2BD1" w:rsidRDefault="00FC2BD1" w:rsidP="00FC2BD1">
      <w:pPr>
        <w:pStyle w:val="NormalWeb"/>
        <w:spacing w:before="0" w:beforeAutospacing="0" w:after="160" w:afterAutospacing="0"/>
        <w:rPr>
          <w:color w:val="000000"/>
        </w:rPr>
      </w:pPr>
      <w:r>
        <w:rPr>
          <w:color w:val="000000"/>
          <w:sz w:val="22"/>
          <w:szCs w:val="22"/>
        </w:rPr>
        <w:lastRenderedPageBreak/>
        <w:t xml:space="preserve">Dalby, S. (2014) ‘Environmental geopolitics in the twenty-first century’,  </w:t>
      </w:r>
      <w:r>
        <w:rPr>
          <w:i/>
          <w:iCs/>
          <w:color w:val="000000"/>
          <w:sz w:val="22"/>
          <w:szCs w:val="22"/>
        </w:rPr>
        <w:t>Alternatives: Global, Local, Political.</w:t>
      </w:r>
      <w:r>
        <w:rPr>
          <w:color w:val="000000"/>
          <w:sz w:val="22"/>
          <w:szCs w:val="22"/>
        </w:rPr>
        <w:t xml:space="preserve"> [Online] </w:t>
      </w:r>
      <w:r>
        <w:rPr>
          <w:b/>
          <w:bCs/>
          <w:color w:val="000000"/>
          <w:sz w:val="22"/>
          <w:szCs w:val="22"/>
        </w:rPr>
        <w:t xml:space="preserve">39 </w:t>
      </w:r>
      <w:r>
        <w:rPr>
          <w:color w:val="000000"/>
          <w:sz w:val="22"/>
          <w:szCs w:val="22"/>
        </w:rPr>
        <w:t>(1): pp.3-16 [Accessed: 19 March 2020]  Available from: doi: 10.1177/0304375414558355.</w:t>
      </w:r>
    </w:p>
    <w:p w14:paraId="35FEA203" w14:textId="77777777" w:rsidR="00FC2BD1" w:rsidRDefault="00FC2BD1" w:rsidP="00FC2BD1">
      <w:pPr>
        <w:pStyle w:val="NormalWeb"/>
        <w:spacing w:before="0" w:beforeAutospacing="0" w:after="160" w:afterAutospacing="0"/>
        <w:rPr>
          <w:color w:val="000000"/>
        </w:rPr>
      </w:pPr>
      <w:r>
        <w:rPr>
          <w:color w:val="000000"/>
          <w:sz w:val="22"/>
          <w:szCs w:val="22"/>
        </w:rPr>
        <w:t xml:space="preserve">Dempsey, J. (2010) ‘Tracking grizzly bears in British Columbia’s environmental politics’, </w:t>
      </w:r>
      <w:r>
        <w:rPr>
          <w:i/>
          <w:iCs/>
          <w:color w:val="000000"/>
          <w:sz w:val="22"/>
          <w:szCs w:val="22"/>
        </w:rPr>
        <w:t>Environment and Planning A</w:t>
      </w:r>
      <w:r>
        <w:rPr>
          <w:color w:val="000000"/>
          <w:sz w:val="22"/>
          <w:szCs w:val="22"/>
        </w:rPr>
        <w:t xml:space="preserve">, [Online] </w:t>
      </w:r>
      <w:r>
        <w:rPr>
          <w:b/>
          <w:bCs/>
          <w:color w:val="000000"/>
          <w:sz w:val="22"/>
          <w:szCs w:val="22"/>
        </w:rPr>
        <w:t>42</w:t>
      </w:r>
      <w:r>
        <w:rPr>
          <w:color w:val="000000"/>
          <w:sz w:val="22"/>
          <w:szCs w:val="22"/>
        </w:rPr>
        <w:t>(5), pp. 1138–1156. [Accessed: 11 March 2020] Available from: doi: 10.1068/a42214.</w:t>
      </w:r>
    </w:p>
    <w:p w14:paraId="049A145A" w14:textId="77777777" w:rsidR="00FC2BD1" w:rsidRDefault="00FC2BD1" w:rsidP="00FC2BD1">
      <w:pPr>
        <w:pStyle w:val="NormalWeb"/>
        <w:spacing w:before="0" w:beforeAutospacing="0" w:after="160" w:afterAutospacing="0"/>
        <w:rPr>
          <w:color w:val="000000"/>
        </w:rPr>
      </w:pPr>
      <w:r>
        <w:rPr>
          <w:color w:val="000000"/>
          <w:sz w:val="22"/>
          <w:szCs w:val="22"/>
        </w:rPr>
        <w:t xml:space="preserve">Dittmer, J. (2014) ‘Geopolitical assemblages and complexity’, </w:t>
      </w:r>
      <w:r>
        <w:rPr>
          <w:i/>
          <w:iCs/>
          <w:color w:val="000000"/>
          <w:sz w:val="22"/>
          <w:szCs w:val="22"/>
        </w:rPr>
        <w:t>Progress in Human Geography</w:t>
      </w:r>
      <w:r>
        <w:rPr>
          <w:color w:val="000000"/>
          <w:sz w:val="22"/>
          <w:szCs w:val="22"/>
        </w:rPr>
        <w:t xml:space="preserve">, [Online] </w:t>
      </w:r>
      <w:r>
        <w:rPr>
          <w:b/>
          <w:bCs/>
          <w:color w:val="000000"/>
          <w:sz w:val="22"/>
          <w:szCs w:val="22"/>
        </w:rPr>
        <w:t>38</w:t>
      </w:r>
      <w:r>
        <w:rPr>
          <w:color w:val="000000"/>
          <w:sz w:val="22"/>
          <w:szCs w:val="22"/>
        </w:rPr>
        <w:t>(3), pp. 385–401. [Accessed: 28 November 2018] Available from: doi: 10.1177/0309132513501405.</w:t>
      </w:r>
    </w:p>
    <w:p w14:paraId="260B6A35" w14:textId="77777777" w:rsidR="00FC2BD1" w:rsidRDefault="00FC2BD1" w:rsidP="00FC2BD1">
      <w:pPr>
        <w:pStyle w:val="NormalWeb"/>
        <w:spacing w:before="0" w:beforeAutospacing="0" w:after="160" w:afterAutospacing="0"/>
        <w:rPr>
          <w:color w:val="000000"/>
          <w:sz w:val="22"/>
          <w:szCs w:val="22"/>
        </w:rPr>
      </w:pPr>
      <w:r>
        <w:rPr>
          <w:color w:val="000000"/>
          <w:sz w:val="22"/>
          <w:szCs w:val="22"/>
        </w:rPr>
        <w:t xml:space="preserve">Dittmer, J. and Bos, D. (2019) </w:t>
      </w:r>
      <w:r>
        <w:rPr>
          <w:i/>
          <w:iCs/>
          <w:color w:val="000000"/>
          <w:sz w:val="22"/>
          <w:szCs w:val="22"/>
        </w:rPr>
        <w:t>Popular culture, geopolitics, and identity</w:t>
      </w:r>
      <w:r>
        <w:rPr>
          <w:color w:val="000000"/>
          <w:sz w:val="22"/>
          <w:szCs w:val="22"/>
        </w:rPr>
        <w:t>. Lanham: Rowman &amp; Littlefield</w:t>
      </w:r>
    </w:p>
    <w:p w14:paraId="50DF9E12" w14:textId="2DC00B1B" w:rsidR="004D287D" w:rsidRDefault="004D287D" w:rsidP="00FC2BD1">
      <w:pPr>
        <w:pStyle w:val="NormalWeb"/>
        <w:spacing w:before="0" w:beforeAutospacing="0" w:after="160" w:afterAutospacing="0"/>
        <w:rPr>
          <w:color w:val="000000"/>
          <w:sz w:val="22"/>
          <w:szCs w:val="22"/>
        </w:rPr>
      </w:pPr>
      <w:r>
        <w:rPr>
          <w:color w:val="000000"/>
          <w:sz w:val="22"/>
          <w:szCs w:val="22"/>
        </w:rPr>
        <w:t xml:space="preserve">Dobson, A., Barker, K., and Taylor, S.L. (2013) </w:t>
      </w:r>
      <w:r w:rsidRPr="004D287D">
        <w:rPr>
          <w:i/>
          <w:color w:val="000000"/>
          <w:sz w:val="22"/>
          <w:szCs w:val="22"/>
        </w:rPr>
        <w:t xml:space="preserve">Biosecurity: The Socio-politics of invasive species and infectious diseases. </w:t>
      </w:r>
      <w:r>
        <w:rPr>
          <w:color w:val="000000"/>
          <w:sz w:val="22"/>
          <w:szCs w:val="22"/>
        </w:rPr>
        <w:t>London: Routledge</w:t>
      </w:r>
    </w:p>
    <w:p w14:paraId="7BDCC468" w14:textId="6FB3175A" w:rsidR="007A5CB5" w:rsidRPr="007A5CB5" w:rsidRDefault="007A5CB5" w:rsidP="007A5CB5">
      <w:pPr>
        <w:spacing w:after="0" w:line="240" w:lineRule="auto"/>
        <w:jc w:val="left"/>
        <w:rPr>
          <w:rFonts w:eastAsia="Times New Roman" w:cs="Times New Roman"/>
          <w:sz w:val="22"/>
          <w:shd w:val="clear" w:color="auto" w:fill="FFFFFF"/>
          <w:lang w:eastAsia="en-US"/>
        </w:rPr>
      </w:pPr>
      <w:r>
        <w:rPr>
          <w:rFonts w:eastAsia="Times New Roman" w:cs="Times New Roman"/>
          <w:sz w:val="22"/>
          <w:shd w:val="clear" w:color="auto" w:fill="FFFFFF"/>
          <w:lang w:eastAsia="en-US"/>
        </w:rPr>
        <w:t>Dodds, K</w:t>
      </w:r>
      <w:r w:rsidRPr="007A5CB5">
        <w:rPr>
          <w:rFonts w:eastAsia="Times New Roman" w:cs="Times New Roman"/>
          <w:sz w:val="22"/>
          <w:shd w:val="clear" w:color="auto" w:fill="FFFFFF"/>
          <w:lang w:eastAsia="en-US"/>
        </w:rPr>
        <w:t>.</w:t>
      </w:r>
      <w:r>
        <w:rPr>
          <w:rFonts w:eastAsia="Times New Roman" w:cs="Times New Roman"/>
          <w:sz w:val="22"/>
          <w:shd w:val="clear" w:color="auto" w:fill="FFFFFF"/>
          <w:lang w:eastAsia="en-US"/>
        </w:rPr>
        <w:t xml:space="preserve"> (2000) ‘</w:t>
      </w:r>
      <w:r w:rsidRPr="007A5CB5">
        <w:rPr>
          <w:rFonts w:eastAsia="Times New Roman" w:cs="Times New Roman"/>
          <w:sz w:val="22"/>
          <w:shd w:val="clear" w:color="auto" w:fill="FFFFFF"/>
          <w:lang w:eastAsia="en-US"/>
        </w:rPr>
        <w:t>Geopolitics, Patagonian Toothfish and Living Resource Re</w:t>
      </w:r>
      <w:r>
        <w:rPr>
          <w:rFonts w:eastAsia="Times New Roman" w:cs="Times New Roman"/>
          <w:sz w:val="22"/>
          <w:shd w:val="clear" w:color="auto" w:fill="FFFFFF"/>
          <w:lang w:eastAsia="en-US"/>
        </w:rPr>
        <w:t>gulation in the Southern Ocean,’</w:t>
      </w:r>
      <w:r w:rsidRPr="007A5CB5">
        <w:rPr>
          <w:rFonts w:eastAsia="Times New Roman" w:cs="Times New Roman"/>
          <w:sz w:val="22"/>
          <w:shd w:val="clear" w:color="auto" w:fill="FFFFFF"/>
          <w:lang w:eastAsia="en-US"/>
        </w:rPr>
        <w:t> </w:t>
      </w:r>
      <w:r w:rsidRPr="007A5CB5">
        <w:rPr>
          <w:rFonts w:eastAsia="Times New Roman" w:cs="Times New Roman"/>
          <w:i/>
          <w:iCs/>
          <w:sz w:val="22"/>
          <w:lang w:eastAsia="en-US"/>
        </w:rPr>
        <w:t>Third World Quarterly</w:t>
      </w:r>
      <w:r>
        <w:rPr>
          <w:rFonts w:eastAsia="Times New Roman" w:cs="Times New Roman"/>
          <w:i/>
          <w:iCs/>
          <w:sz w:val="22"/>
          <w:lang w:eastAsia="en-US"/>
        </w:rPr>
        <w:t xml:space="preserve"> </w:t>
      </w:r>
      <w:r w:rsidRPr="007A5CB5">
        <w:rPr>
          <w:rFonts w:eastAsia="Times New Roman" w:cs="Times New Roman"/>
          <w:iCs/>
          <w:sz w:val="22"/>
          <w:lang w:eastAsia="en-US"/>
        </w:rPr>
        <w:t>[Online]</w:t>
      </w:r>
      <w:r w:rsidRPr="007A5CB5">
        <w:rPr>
          <w:rFonts w:eastAsia="Times New Roman" w:cs="Times New Roman"/>
          <w:sz w:val="22"/>
          <w:shd w:val="clear" w:color="auto" w:fill="FFFFFF"/>
          <w:lang w:eastAsia="en-US"/>
        </w:rPr>
        <w:t> </w:t>
      </w:r>
      <w:r w:rsidRPr="007A5CB5">
        <w:rPr>
          <w:rFonts w:eastAsia="Times New Roman" w:cs="Times New Roman"/>
          <w:b/>
          <w:sz w:val="22"/>
          <w:shd w:val="clear" w:color="auto" w:fill="FFFFFF"/>
          <w:lang w:eastAsia="en-US"/>
        </w:rPr>
        <w:t>21</w:t>
      </w:r>
      <w:r>
        <w:rPr>
          <w:rFonts w:eastAsia="Times New Roman" w:cs="Times New Roman"/>
          <w:sz w:val="22"/>
          <w:shd w:val="clear" w:color="auto" w:fill="FFFFFF"/>
          <w:lang w:eastAsia="en-US"/>
        </w:rPr>
        <w:t xml:space="preserve"> (2), pp. </w:t>
      </w:r>
      <w:r w:rsidRPr="007A5CB5">
        <w:rPr>
          <w:rFonts w:eastAsia="Times New Roman" w:cs="Times New Roman"/>
          <w:sz w:val="22"/>
          <w:shd w:val="clear" w:color="auto" w:fill="FFFFFF"/>
          <w:lang w:eastAsia="en-US"/>
        </w:rPr>
        <w:t>229-</w:t>
      </w:r>
      <w:r>
        <w:rPr>
          <w:rFonts w:eastAsia="Times New Roman" w:cs="Times New Roman"/>
          <w:sz w:val="22"/>
          <w:shd w:val="clear" w:color="auto" w:fill="FFFFFF"/>
          <w:lang w:eastAsia="en-US"/>
        </w:rPr>
        <w:t>2</w:t>
      </w:r>
      <w:r w:rsidRPr="007A5CB5">
        <w:rPr>
          <w:rFonts w:eastAsia="Times New Roman" w:cs="Times New Roman"/>
          <w:sz w:val="22"/>
          <w:shd w:val="clear" w:color="auto" w:fill="FFFFFF"/>
          <w:lang w:eastAsia="en-US"/>
        </w:rPr>
        <w:t>46</w:t>
      </w:r>
      <w:r>
        <w:rPr>
          <w:rFonts w:eastAsia="Times New Roman" w:cs="Times New Roman"/>
          <w:sz w:val="22"/>
          <w:shd w:val="clear" w:color="auto" w:fill="FFFFFF"/>
          <w:lang w:eastAsia="en-US"/>
        </w:rPr>
        <w:t xml:space="preserve"> [Accessed: 19 May 2019] </w:t>
      </w:r>
    </w:p>
    <w:p w14:paraId="083B833D" w14:textId="77777777" w:rsidR="007A5CB5" w:rsidRPr="007A5CB5" w:rsidRDefault="007A5CB5" w:rsidP="007A5CB5">
      <w:pPr>
        <w:spacing w:after="0" w:line="240" w:lineRule="auto"/>
        <w:jc w:val="left"/>
        <w:rPr>
          <w:rFonts w:eastAsia="Times New Roman" w:cs="Times New Roman"/>
          <w:sz w:val="20"/>
          <w:szCs w:val="20"/>
          <w:lang w:eastAsia="en-US"/>
        </w:rPr>
      </w:pPr>
    </w:p>
    <w:p w14:paraId="1EF63EDC" w14:textId="77777777" w:rsidR="00FC2BD1" w:rsidRDefault="00FC2BD1" w:rsidP="00FC2BD1">
      <w:pPr>
        <w:pStyle w:val="NormalWeb"/>
        <w:spacing w:before="0" w:beforeAutospacing="0" w:after="160" w:afterAutospacing="0"/>
        <w:rPr>
          <w:color w:val="000000"/>
        </w:rPr>
      </w:pPr>
      <w:r>
        <w:rPr>
          <w:color w:val="000000"/>
          <w:sz w:val="22"/>
          <w:szCs w:val="22"/>
        </w:rPr>
        <w:t xml:space="preserve">Dodds, K. (2019) ‘Geopolitics and Ice Humanities: Elemental, Metaphorical and Volumetric Reverberations’, </w:t>
      </w:r>
      <w:r>
        <w:rPr>
          <w:i/>
          <w:iCs/>
          <w:color w:val="000000"/>
          <w:sz w:val="22"/>
          <w:szCs w:val="22"/>
        </w:rPr>
        <w:t>Geopolitics</w:t>
      </w:r>
      <w:r>
        <w:rPr>
          <w:color w:val="000000"/>
          <w:sz w:val="22"/>
          <w:szCs w:val="22"/>
        </w:rPr>
        <w:t xml:space="preserve">. [Online] </w:t>
      </w:r>
      <w:r>
        <w:rPr>
          <w:b/>
          <w:bCs/>
          <w:color w:val="000000"/>
          <w:sz w:val="22"/>
          <w:szCs w:val="22"/>
        </w:rPr>
        <w:t>00</w:t>
      </w:r>
      <w:r>
        <w:rPr>
          <w:color w:val="000000"/>
          <w:sz w:val="22"/>
          <w:szCs w:val="22"/>
        </w:rPr>
        <w:t>(00) pp. 1–29. [Accessed: 26 February 2020] Available from: doi: 10.1080/14650045.2019.1697240.</w:t>
      </w:r>
    </w:p>
    <w:p w14:paraId="67D63BF6" w14:textId="77777777" w:rsidR="00FC2BD1" w:rsidRDefault="00FC2BD1" w:rsidP="00FC2BD1">
      <w:pPr>
        <w:pStyle w:val="NormalWeb"/>
        <w:spacing w:before="0" w:beforeAutospacing="0" w:after="160" w:afterAutospacing="0"/>
        <w:rPr>
          <w:color w:val="000000"/>
        </w:rPr>
      </w:pPr>
      <w:r>
        <w:rPr>
          <w:color w:val="000000"/>
          <w:sz w:val="22"/>
          <w:szCs w:val="22"/>
        </w:rPr>
        <w:t xml:space="preserve">Doukakis, P. </w:t>
      </w:r>
      <w:r>
        <w:rPr>
          <w:i/>
          <w:iCs/>
          <w:color w:val="000000"/>
          <w:sz w:val="22"/>
          <w:szCs w:val="22"/>
        </w:rPr>
        <w:t>et al.</w:t>
      </w:r>
      <w:r>
        <w:rPr>
          <w:color w:val="000000"/>
          <w:sz w:val="22"/>
          <w:szCs w:val="22"/>
        </w:rPr>
        <w:t xml:space="preserve"> (2012) ‘Testing the effectiveness of an international conservation agreement: Marketplace forensics and CITES Caviar trade regulation’, </w:t>
      </w:r>
      <w:r>
        <w:rPr>
          <w:i/>
          <w:iCs/>
          <w:color w:val="000000"/>
          <w:sz w:val="22"/>
          <w:szCs w:val="22"/>
        </w:rPr>
        <w:t>PLoS ONE</w:t>
      </w:r>
      <w:r>
        <w:rPr>
          <w:color w:val="000000"/>
          <w:sz w:val="22"/>
          <w:szCs w:val="22"/>
        </w:rPr>
        <w:t xml:space="preserve">, [Online]  </w:t>
      </w:r>
      <w:r>
        <w:rPr>
          <w:b/>
          <w:bCs/>
          <w:color w:val="000000"/>
          <w:sz w:val="22"/>
          <w:szCs w:val="22"/>
        </w:rPr>
        <w:t>7</w:t>
      </w:r>
      <w:r>
        <w:rPr>
          <w:color w:val="000000"/>
          <w:sz w:val="22"/>
          <w:szCs w:val="22"/>
        </w:rPr>
        <w:t>(7) pp. 1-9.  [Accessed: 12 September 2019] Available from: doi: 10.1371/journal.pone.0040907.</w:t>
      </w:r>
    </w:p>
    <w:p w14:paraId="20C7357E" w14:textId="77777777" w:rsidR="00FC2BD1" w:rsidRDefault="00FC2BD1" w:rsidP="00FC2BD1">
      <w:pPr>
        <w:pStyle w:val="NormalWeb"/>
        <w:spacing w:before="0" w:beforeAutospacing="0" w:after="160" w:afterAutospacing="0"/>
        <w:rPr>
          <w:color w:val="000000"/>
        </w:rPr>
      </w:pPr>
      <w:r>
        <w:rPr>
          <w:color w:val="000000"/>
          <w:sz w:val="22"/>
          <w:szCs w:val="22"/>
        </w:rPr>
        <w:t xml:space="preserve">Dowling, R., Lloyd, K. and Suchet-Pearson, S. (2017) ‘Qualitative methods II: “More-than-human” methodologies and/in praxis’, </w:t>
      </w:r>
      <w:r>
        <w:rPr>
          <w:i/>
          <w:iCs/>
          <w:color w:val="000000"/>
          <w:sz w:val="22"/>
          <w:szCs w:val="22"/>
        </w:rPr>
        <w:t>Progress in Human Geography</w:t>
      </w:r>
      <w:r>
        <w:rPr>
          <w:color w:val="000000"/>
          <w:sz w:val="22"/>
          <w:szCs w:val="22"/>
        </w:rPr>
        <w:t xml:space="preserve">, [Online] </w:t>
      </w:r>
      <w:r>
        <w:rPr>
          <w:b/>
          <w:bCs/>
          <w:color w:val="000000"/>
          <w:sz w:val="22"/>
          <w:szCs w:val="22"/>
        </w:rPr>
        <w:t>41</w:t>
      </w:r>
      <w:r>
        <w:rPr>
          <w:color w:val="000000"/>
          <w:sz w:val="22"/>
          <w:szCs w:val="22"/>
        </w:rPr>
        <w:t>(6), pp. 823–831. [Accessed: 11 October 2019]  Available from: doi: 10.1177/0309132516664439.</w:t>
      </w:r>
    </w:p>
    <w:p w14:paraId="155BF68C" w14:textId="77777777" w:rsidR="00FC2BD1" w:rsidRDefault="00FC2BD1" w:rsidP="00FC2BD1">
      <w:pPr>
        <w:pStyle w:val="NormalWeb"/>
        <w:spacing w:before="0" w:beforeAutospacing="0" w:after="160" w:afterAutospacing="0"/>
        <w:rPr>
          <w:color w:val="000000"/>
        </w:rPr>
      </w:pPr>
      <w:r>
        <w:rPr>
          <w:color w:val="000000"/>
          <w:sz w:val="22"/>
          <w:szCs w:val="22"/>
        </w:rPr>
        <w:t xml:space="preserve">Dowling, R., Lloyd, K. and Suchet-Pearson, S. (2015) ‘Qualitative methods 1: Enriching the interview’, </w:t>
      </w:r>
      <w:r>
        <w:rPr>
          <w:i/>
          <w:iCs/>
          <w:color w:val="000000"/>
          <w:sz w:val="22"/>
          <w:szCs w:val="22"/>
        </w:rPr>
        <w:t>Progress in Human Geography,</w:t>
      </w:r>
      <w:r>
        <w:rPr>
          <w:color w:val="000000"/>
          <w:sz w:val="22"/>
          <w:szCs w:val="22"/>
        </w:rPr>
        <w:t xml:space="preserve"> [Online] </w:t>
      </w:r>
      <w:r>
        <w:rPr>
          <w:b/>
          <w:bCs/>
          <w:color w:val="000000"/>
          <w:sz w:val="22"/>
          <w:szCs w:val="22"/>
        </w:rPr>
        <w:t>40</w:t>
      </w:r>
      <w:r>
        <w:rPr>
          <w:color w:val="000000"/>
          <w:sz w:val="22"/>
          <w:szCs w:val="22"/>
        </w:rPr>
        <w:t>(5), pp. 679-686.  [Accessed: 27 November 2019] Available from: doi: 10.1177/0309132515596880.</w:t>
      </w:r>
    </w:p>
    <w:p w14:paraId="040E0F30" w14:textId="77777777" w:rsidR="00FC2BD1" w:rsidRDefault="00FC2BD1" w:rsidP="00FC2BD1">
      <w:pPr>
        <w:pStyle w:val="NormalWeb"/>
        <w:spacing w:before="0" w:beforeAutospacing="0" w:after="160" w:afterAutospacing="0"/>
        <w:rPr>
          <w:color w:val="000000"/>
        </w:rPr>
      </w:pPr>
      <w:r>
        <w:rPr>
          <w:color w:val="000000"/>
          <w:sz w:val="22"/>
          <w:szCs w:val="22"/>
        </w:rPr>
        <w:t xml:space="preserve">Du Plessis, G. (2018) ‘When pathogens determine the territory: Toward a concept of non-human borders’, </w:t>
      </w:r>
      <w:r>
        <w:rPr>
          <w:i/>
          <w:iCs/>
          <w:color w:val="000000"/>
          <w:sz w:val="22"/>
          <w:szCs w:val="22"/>
        </w:rPr>
        <w:t>European Journal of International Relations</w:t>
      </w:r>
      <w:r>
        <w:rPr>
          <w:color w:val="000000"/>
          <w:sz w:val="22"/>
          <w:szCs w:val="22"/>
        </w:rPr>
        <w:t xml:space="preserve">, [Online] </w:t>
      </w:r>
      <w:r>
        <w:rPr>
          <w:b/>
          <w:bCs/>
          <w:color w:val="000000"/>
          <w:sz w:val="22"/>
          <w:szCs w:val="22"/>
        </w:rPr>
        <w:t>24</w:t>
      </w:r>
      <w:r>
        <w:rPr>
          <w:color w:val="000000"/>
          <w:sz w:val="22"/>
          <w:szCs w:val="22"/>
        </w:rPr>
        <w:t>(2), pp. 391–413. [Accessed: 06 March 2020] Available from: doi: 10.1177/1354066117710998.</w:t>
      </w:r>
    </w:p>
    <w:p w14:paraId="2A694C00" w14:textId="721CF2E9" w:rsidR="00FC2BD1" w:rsidRDefault="00FC2BD1" w:rsidP="00FC2BD1">
      <w:pPr>
        <w:pStyle w:val="NormalWeb"/>
        <w:spacing w:before="0" w:beforeAutospacing="0" w:after="160" w:afterAutospacing="0"/>
        <w:rPr>
          <w:color w:val="000000"/>
        </w:rPr>
      </w:pPr>
      <w:r>
        <w:rPr>
          <w:color w:val="000000"/>
          <w:sz w:val="22"/>
          <w:szCs w:val="22"/>
        </w:rPr>
        <w:t xml:space="preserve">Duffy, R. (2014) ‘Waging a war to save biodiversity: the rise of militarized conservation’, </w:t>
      </w:r>
      <w:r>
        <w:rPr>
          <w:i/>
          <w:iCs/>
          <w:color w:val="000000"/>
          <w:sz w:val="22"/>
          <w:szCs w:val="22"/>
        </w:rPr>
        <w:t>International Affairs</w:t>
      </w:r>
      <w:r>
        <w:rPr>
          <w:color w:val="000000"/>
          <w:sz w:val="22"/>
          <w:szCs w:val="22"/>
        </w:rPr>
        <w:t xml:space="preserve">. [Online] </w:t>
      </w:r>
      <w:r>
        <w:rPr>
          <w:b/>
          <w:bCs/>
          <w:color w:val="000000"/>
          <w:sz w:val="22"/>
          <w:szCs w:val="22"/>
        </w:rPr>
        <w:t>90</w:t>
      </w:r>
      <w:r>
        <w:rPr>
          <w:color w:val="000000"/>
          <w:sz w:val="22"/>
          <w:szCs w:val="22"/>
        </w:rPr>
        <w:t xml:space="preserve"> (4), pp. 819-834 [Accessed: 15 January 2019]  Available from: </w:t>
      </w:r>
      <w:r w:rsidRPr="00F84E6F">
        <w:rPr>
          <w:sz w:val="22"/>
          <w:szCs w:val="22"/>
        </w:rPr>
        <w:t>https://doi.org/10.1111/1468-2346.12142</w:t>
      </w:r>
    </w:p>
    <w:p w14:paraId="2495723F" w14:textId="77777777" w:rsidR="00FC2BD1" w:rsidRDefault="00FC2BD1" w:rsidP="00FC2BD1">
      <w:pPr>
        <w:pStyle w:val="NormalWeb"/>
        <w:spacing w:before="0" w:beforeAutospacing="0" w:after="160" w:afterAutospacing="0"/>
        <w:rPr>
          <w:color w:val="000000"/>
        </w:rPr>
      </w:pPr>
      <w:r>
        <w:rPr>
          <w:color w:val="000000"/>
          <w:sz w:val="22"/>
          <w:szCs w:val="22"/>
        </w:rPr>
        <w:t xml:space="preserve">Duffy, R. (2016) ‘War, by Conservation’, </w:t>
      </w:r>
      <w:r>
        <w:rPr>
          <w:i/>
          <w:iCs/>
          <w:color w:val="000000"/>
          <w:sz w:val="22"/>
          <w:szCs w:val="22"/>
        </w:rPr>
        <w:t>Geoforum</w:t>
      </w:r>
      <w:r>
        <w:rPr>
          <w:color w:val="000000"/>
          <w:sz w:val="22"/>
          <w:szCs w:val="22"/>
        </w:rPr>
        <w:t xml:space="preserve">, [Online] </w:t>
      </w:r>
      <w:r>
        <w:rPr>
          <w:b/>
          <w:bCs/>
          <w:color w:val="000000"/>
          <w:sz w:val="22"/>
          <w:szCs w:val="22"/>
        </w:rPr>
        <w:t>69</w:t>
      </w:r>
      <w:r>
        <w:rPr>
          <w:color w:val="000000"/>
          <w:sz w:val="22"/>
          <w:szCs w:val="22"/>
        </w:rPr>
        <w:t>, pp. 238–248. [Accessed: 30 May 2020] Available from: doi: 10.1016/j.geoforum.2015.09.014.</w:t>
      </w:r>
    </w:p>
    <w:p w14:paraId="144C90FD" w14:textId="77777777" w:rsidR="00FC2BD1" w:rsidRDefault="00FC2BD1" w:rsidP="00FC2BD1">
      <w:pPr>
        <w:pStyle w:val="NormalWeb"/>
        <w:spacing w:before="0" w:beforeAutospacing="0" w:after="160" w:afterAutospacing="0"/>
        <w:rPr>
          <w:color w:val="000000"/>
        </w:rPr>
      </w:pPr>
      <w:r>
        <w:rPr>
          <w:color w:val="000000"/>
          <w:sz w:val="22"/>
          <w:szCs w:val="22"/>
        </w:rPr>
        <w:t xml:space="preserve">Duffy, R. </w:t>
      </w:r>
      <w:r>
        <w:rPr>
          <w:i/>
          <w:iCs/>
          <w:color w:val="000000"/>
          <w:sz w:val="22"/>
          <w:szCs w:val="22"/>
        </w:rPr>
        <w:t>et al.</w:t>
      </w:r>
      <w:r>
        <w:rPr>
          <w:color w:val="000000"/>
          <w:sz w:val="22"/>
          <w:szCs w:val="22"/>
        </w:rPr>
        <w:t xml:space="preserve"> (2019) ‘Why we must question the militarisation of conservation’, </w:t>
      </w:r>
      <w:r>
        <w:rPr>
          <w:i/>
          <w:iCs/>
          <w:color w:val="000000"/>
          <w:sz w:val="22"/>
          <w:szCs w:val="22"/>
        </w:rPr>
        <w:t>Biological Conservation</w:t>
      </w:r>
      <w:r>
        <w:rPr>
          <w:color w:val="000000"/>
          <w:sz w:val="22"/>
          <w:szCs w:val="22"/>
        </w:rPr>
        <w:t xml:space="preserve">, [Online] </w:t>
      </w:r>
      <w:r>
        <w:rPr>
          <w:b/>
          <w:bCs/>
          <w:color w:val="000000"/>
          <w:sz w:val="22"/>
          <w:szCs w:val="22"/>
        </w:rPr>
        <w:t>232</w:t>
      </w:r>
      <w:r>
        <w:rPr>
          <w:color w:val="000000"/>
          <w:sz w:val="22"/>
          <w:szCs w:val="22"/>
        </w:rPr>
        <w:t>, pp. 66–73. [Accessed: 05 February 2019] Available from: doi: 10.1016/j.biocon.2019.01.013.</w:t>
      </w:r>
    </w:p>
    <w:p w14:paraId="5862F2EE" w14:textId="77777777" w:rsidR="00FC2BD1" w:rsidRDefault="00FC2BD1" w:rsidP="00FC2BD1">
      <w:pPr>
        <w:pStyle w:val="NormalWeb"/>
        <w:spacing w:before="0" w:beforeAutospacing="0" w:after="160" w:afterAutospacing="0"/>
        <w:rPr>
          <w:color w:val="000000"/>
        </w:rPr>
      </w:pPr>
      <w:r>
        <w:rPr>
          <w:color w:val="000000"/>
          <w:sz w:val="22"/>
          <w:szCs w:val="22"/>
        </w:rPr>
        <w:t xml:space="preserve">Dutton, A. J., Hepburn, C. and Macdonald, D. W. (2011) ‘A stated preference investigation into the chinese demand for farmed vs. Wild bear bile’, </w:t>
      </w:r>
      <w:r>
        <w:rPr>
          <w:i/>
          <w:iCs/>
          <w:color w:val="000000"/>
          <w:sz w:val="22"/>
          <w:szCs w:val="22"/>
        </w:rPr>
        <w:t>PLoS ONE</w:t>
      </w:r>
      <w:r>
        <w:rPr>
          <w:color w:val="000000"/>
          <w:sz w:val="22"/>
          <w:szCs w:val="22"/>
        </w:rPr>
        <w:t xml:space="preserve">, [Online]  </w:t>
      </w:r>
      <w:r>
        <w:rPr>
          <w:b/>
          <w:bCs/>
          <w:color w:val="000000"/>
          <w:sz w:val="22"/>
          <w:szCs w:val="22"/>
        </w:rPr>
        <w:t>6</w:t>
      </w:r>
      <w:r>
        <w:rPr>
          <w:color w:val="000000"/>
          <w:sz w:val="22"/>
          <w:szCs w:val="22"/>
        </w:rPr>
        <w:t>(7), pp. 1- 10. [Accessed: 8 April 2020] Available from: doi: 10.1371/journal.pone.0021243.</w:t>
      </w:r>
    </w:p>
    <w:p w14:paraId="670E7711" w14:textId="77777777" w:rsidR="00FC2BD1" w:rsidRDefault="00FC2BD1" w:rsidP="00FC2BD1">
      <w:pPr>
        <w:pStyle w:val="NormalWeb"/>
        <w:spacing w:before="0" w:beforeAutospacing="0" w:after="160" w:afterAutospacing="0"/>
        <w:rPr>
          <w:color w:val="000000"/>
        </w:rPr>
      </w:pPr>
      <w:r>
        <w:rPr>
          <w:color w:val="000000"/>
          <w:sz w:val="22"/>
          <w:szCs w:val="22"/>
        </w:rPr>
        <w:t xml:space="preserve">Elliott, L. (2016) ‘The securitization of transnational environmental crime and the militarization of conservation’ in Elliott, L., and Schaedla, W. H. (eds). </w:t>
      </w:r>
      <w:r>
        <w:rPr>
          <w:i/>
          <w:iCs/>
          <w:color w:val="000000"/>
          <w:sz w:val="22"/>
          <w:szCs w:val="22"/>
        </w:rPr>
        <w:t>Handbook of Transnational Environmental Crime</w:t>
      </w:r>
      <w:r>
        <w:rPr>
          <w:color w:val="000000"/>
          <w:sz w:val="22"/>
          <w:szCs w:val="22"/>
        </w:rPr>
        <w:t>, Cheltenham, UK: Edward Elgar Publishing, pp. 68 - 87. </w:t>
      </w:r>
    </w:p>
    <w:p w14:paraId="30FAA284" w14:textId="77777777" w:rsidR="00FC2BD1" w:rsidRDefault="00FC2BD1" w:rsidP="00FC2BD1">
      <w:pPr>
        <w:pStyle w:val="NormalWeb"/>
        <w:spacing w:before="0" w:beforeAutospacing="0" w:after="160" w:afterAutospacing="0"/>
        <w:rPr>
          <w:color w:val="000000"/>
        </w:rPr>
      </w:pPr>
      <w:r>
        <w:rPr>
          <w:color w:val="000000"/>
          <w:sz w:val="22"/>
          <w:szCs w:val="22"/>
        </w:rPr>
        <w:lastRenderedPageBreak/>
        <w:t xml:space="preserve">Elliott, L., and Schaedla, W. H. (eds) (2016). </w:t>
      </w:r>
      <w:r>
        <w:rPr>
          <w:i/>
          <w:iCs/>
          <w:color w:val="000000"/>
          <w:sz w:val="22"/>
          <w:szCs w:val="22"/>
        </w:rPr>
        <w:t>Handbook of Transnational Environmental Crime</w:t>
      </w:r>
      <w:r>
        <w:rPr>
          <w:color w:val="000000"/>
          <w:sz w:val="22"/>
          <w:szCs w:val="22"/>
        </w:rPr>
        <w:t>, Cheltenham, UK: Edward Elgar Publishing</w:t>
      </w:r>
    </w:p>
    <w:p w14:paraId="1A39658B" w14:textId="77777777" w:rsidR="00FC2BD1" w:rsidRDefault="00FC2BD1" w:rsidP="00FC2BD1">
      <w:pPr>
        <w:pStyle w:val="NormalWeb"/>
        <w:spacing w:before="0" w:beforeAutospacing="0" w:after="160" w:afterAutospacing="0"/>
        <w:rPr>
          <w:color w:val="000000"/>
        </w:rPr>
      </w:pPr>
      <w:r>
        <w:rPr>
          <w:color w:val="000000"/>
          <w:sz w:val="22"/>
          <w:szCs w:val="22"/>
        </w:rPr>
        <w:t xml:space="preserve">Engler, M. and Knapp, A. (2008) </w:t>
      </w:r>
      <w:r>
        <w:rPr>
          <w:i/>
          <w:iCs/>
          <w:color w:val="000000"/>
          <w:sz w:val="22"/>
          <w:szCs w:val="22"/>
        </w:rPr>
        <w:t xml:space="preserve">Briefing on the Evolution of the Caviar Trade and Range State Implementation of Resolution Conf. 12.7 (Rev. Cop 14). </w:t>
      </w:r>
      <w:r>
        <w:rPr>
          <w:color w:val="000000"/>
          <w:sz w:val="22"/>
          <w:szCs w:val="22"/>
        </w:rPr>
        <w:t>A TRAFFIC Europe Report for the European Commission. Brussels, Belgium  [Accessed: 22 January 2019] Available from: http://ec.europa.eu/environment/cites/pdf/reports/caviar.pdf </w:t>
      </w:r>
    </w:p>
    <w:p w14:paraId="26F932D4" w14:textId="77777777" w:rsidR="00FC2BD1" w:rsidRDefault="00FC2BD1" w:rsidP="00FC2BD1">
      <w:pPr>
        <w:pStyle w:val="NormalWeb"/>
        <w:spacing w:before="0" w:beforeAutospacing="0" w:after="160" w:afterAutospacing="0"/>
        <w:rPr>
          <w:color w:val="000000"/>
        </w:rPr>
      </w:pPr>
      <w:r>
        <w:rPr>
          <w:color w:val="000000"/>
          <w:sz w:val="22"/>
          <w:szCs w:val="22"/>
        </w:rPr>
        <w:t xml:space="preserve">Ermolin, I. and Svolkinas, L. (2016) ‘Who owns sturgeon in the Caspian? New theoretical model of social responses towards state conservation policy’, </w:t>
      </w:r>
      <w:r>
        <w:rPr>
          <w:i/>
          <w:iCs/>
          <w:color w:val="000000"/>
          <w:sz w:val="22"/>
          <w:szCs w:val="22"/>
        </w:rPr>
        <w:t>Biodiversity Conservation</w:t>
      </w:r>
      <w:r>
        <w:rPr>
          <w:color w:val="000000"/>
          <w:sz w:val="22"/>
          <w:szCs w:val="22"/>
        </w:rPr>
        <w:t xml:space="preserve">, [Online] </w:t>
      </w:r>
      <w:r>
        <w:rPr>
          <w:b/>
          <w:bCs/>
          <w:color w:val="000000"/>
          <w:sz w:val="22"/>
          <w:szCs w:val="22"/>
        </w:rPr>
        <w:t>25</w:t>
      </w:r>
      <w:r>
        <w:rPr>
          <w:color w:val="000000"/>
          <w:sz w:val="22"/>
          <w:szCs w:val="22"/>
        </w:rPr>
        <w:t>, pp. 2929–2945. [Accessed: 15 January 2019] Available from: doi: 10.1007/s10531-016-1211-x.</w:t>
      </w:r>
    </w:p>
    <w:p w14:paraId="411FC4BC" w14:textId="77777777" w:rsidR="00FC2BD1" w:rsidRDefault="00FC2BD1" w:rsidP="00FC2BD1">
      <w:pPr>
        <w:pStyle w:val="NormalWeb"/>
        <w:spacing w:before="0" w:beforeAutospacing="0" w:after="160" w:afterAutospacing="0"/>
        <w:rPr>
          <w:color w:val="000000"/>
        </w:rPr>
      </w:pPr>
      <w:r>
        <w:rPr>
          <w:color w:val="000000"/>
          <w:sz w:val="22"/>
          <w:szCs w:val="22"/>
        </w:rPr>
        <w:t xml:space="preserve">Eroukhmanoff, C. &amp; Harker, M. (Eds.)(2017) </w:t>
      </w:r>
      <w:r>
        <w:rPr>
          <w:i/>
          <w:iCs/>
          <w:color w:val="000000"/>
          <w:sz w:val="22"/>
          <w:szCs w:val="22"/>
        </w:rPr>
        <w:t>Reflections on the Posthuman in International Relations.</w:t>
      </w:r>
      <w:r>
        <w:rPr>
          <w:color w:val="000000"/>
          <w:sz w:val="22"/>
          <w:szCs w:val="22"/>
        </w:rPr>
        <w:t xml:space="preserve"> Bristol, UK: E-International Relations Publishing </w:t>
      </w:r>
    </w:p>
    <w:p w14:paraId="7ACB3257" w14:textId="77777777" w:rsidR="00FC2BD1" w:rsidRDefault="00FC2BD1" w:rsidP="00FC2BD1">
      <w:pPr>
        <w:pStyle w:val="NormalWeb"/>
        <w:spacing w:before="0" w:beforeAutospacing="0" w:after="160" w:afterAutospacing="0"/>
        <w:rPr>
          <w:color w:val="000000"/>
        </w:rPr>
      </w:pPr>
      <w:r>
        <w:rPr>
          <w:color w:val="000000"/>
          <w:sz w:val="22"/>
          <w:szCs w:val="22"/>
        </w:rPr>
        <w:t xml:space="preserve">European Commission (2010) </w:t>
      </w:r>
      <w:r>
        <w:rPr>
          <w:i/>
          <w:iCs/>
          <w:color w:val="000000"/>
          <w:sz w:val="22"/>
          <w:szCs w:val="22"/>
        </w:rPr>
        <w:t>Wildlife trade regulations in the European Union:</w:t>
      </w:r>
      <w:r>
        <w:rPr>
          <w:color w:val="000000"/>
          <w:sz w:val="22"/>
          <w:szCs w:val="22"/>
        </w:rPr>
        <w:t xml:space="preserve"> </w:t>
      </w:r>
      <w:r>
        <w:rPr>
          <w:i/>
          <w:iCs/>
          <w:color w:val="000000"/>
          <w:sz w:val="22"/>
          <w:szCs w:val="22"/>
        </w:rPr>
        <w:t>An Introduction to CITES and its Implementation in the European Union</w:t>
      </w:r>
      <w:r>
        <w:rPr>
          <w:color w:val="000000"/>
          <w:sz w:val="22"/>
          <w:szCs w:val="22"/>
        </w:rPr>
        <w:t>. [Online] Luxembourg: Publications Office of the European Union [Accessed: 28 May 2020] Available from: doi: 10.2779/21758.</w:t>
      </w:r>
    </w:p>
    <w:p w14:paraId="60572FD6" w14:textId="77777777" w:rsidR="00FC2BD1" w:rsidRDefault="00FC2BD1" w:rsidP="00FC2BD1">
      <w:pPr>
        <w:pStyle w:val="NormalWeb"/>
        <w:spacing w:before="0" w:beforeAutospacing="0" w:after="160" w:afterAutospacing="0"/>
        <w:rPr>
          <w:color w:val="000000"/>
        </w:rPr>
      </w:pPr>
      <w:r>
        <w:rPr>
          <w:color w:val="000000"/>
          <w:sz w:val="22"/>
          <w:szCs w:val="22"/>
        </w:rPr>
        <w:t xml:space="preserve">European Commission (2016) </w:t>
      </w:r>
      <w:r>
        <w:rPr>
          <w:i/>
          <w:iCs/>
          <w:color w:val="000000"/>
          <w:sz w:val="22"/>
          <w:szCs w:val="22"/>
        </w:rPr>
        <w:t xml:space="preserve">EU Action Plan against Wildlife Trafficking (COM (2016) 87 final) </w:t>
      </w:r>
      <w:r>
        <w:rPr>
          <w:color w:val="000000"/>
          <w:sz w:val="22"/>
          <w:szCs w:val="22"/>
        </w:rPr>
        <w:t>[Online] Luxembourg: Publications Office of the European Union. [Accessed: 26 January 2020] Available from: doi: 10.2779/016138.</w:t>
      </w:r>
    </w:p>
    <w:p w14:paraId="0BD304E1" w14:textId="77777777" w:rsidR="00FC2BD1" w:rsidRDefault="00FC2BD1" w:rsidP="00FC2BD1">
      <w:pPr>
        <w:pStyle w:val="NormalWeb"/>
        <w:spacing w:before="0" w:beforeAutospacing="0" w:after="160" w:afterAutospacing="0"/>
        <w:rPr>
          <w:color w:val="000000"/>
        </w:rPr>
      </w:pPr>
      <w:r>
        <w:rPr>
          <w:color w:val="000000"/>
          <w:sz w:val="22"/>
          <w:szCs w:val="22"/>
        </w:rPr>
        <w:t xml:space="preserve">Evans, L. A. and Adams, W. M. (2018) ‘Elephants as actors in the political ecology of human-elephant conflict’, </w:t>
      </w:r>
      <w:r>
        <w:rPr>
          <w:i/>
          <w:iCs/>
          <w:color w:val="000000"/>
          <w:sz w:val="22"/>
          <w:szCs w:val="22"/>
        </w:rPr>
        <w:t>Transactions of the Institute of British Geographers</w:t>
      </w:r>
      <w:r>
        <w:rPr>
          <w:color w:val="000000"/>
          <w:sz w:val="22"/>
          <w:szCs w:val="22"/>
        </w:rPr>
        <w:t xml:space="preserve">, [Online] </w:t>
      </w:r>
      <w:r>
        <w:rPr>
          <w:b/>
          <w:bCs/>
          <w:color w:val="000000"/>
          <w:sz w:val="22"/>
          <w:szCs w:val="22"/>
        </w:rPr>
        <w:t>43</w:t>
      </w:r>
      <w:r>
        <w:rPr>
          <w:color w:val="000000"/>
          <w:sz w:val="22"/>
          <w:szCs w:val="22"/>
        </w:rPr>
        <w:t>(4), pp. 630–645. [Accessed: 29 November 2018] Available from: doi: 10.1111/tran.12242.</w:t>
      </w:r>
    </w:p>
    <w:p w14:paraId="396EE0F0" w14:textId="77777777" w:rsidR="00FC2BD1" w:rsidRDefault="00FC2BD1" w:rsidP="00FC2BD1">
      <w:pPr>
        <w:pStyle w:val="NormalWeb"/>
        <w:spacing w:before="0" w:beforeAutospacing="0" w:after="160" w:afterAutospacing="0"/>
        <w:rPr>
          <w:color w:val="000000"/>
        </w:rPr>
      </w:pPr>
      <w:r>
        <w:rPr>
          <w:color w:val="000000"/>
          <w:sz w:val="22"/>
          <w:szCs w:val="22"/>
        </w:rPr>
        <w:t xml:space="preserve">Fairclough, N. (1989) </w:t>
      </w:r>
      <w:r>
        <w:rPr>
          <w:i/>
          <w:iCs/>
          <w:color w:val="000000"/>
          <w:sz w:val="22"/>
          <w:szCs w:val="22"/>
        </w:rPr>
        <w:t>Language and power</w:t>
      </w:r>
      <w:r>
        <w:rPr>
          <w:color w:val="000000"/>
          <w:sz w:val="22"/>
          <w:szCs w:val="22"/>
        </w:rPr>
        <w:t>. London: Longman.</w:t>
      </w:r>
    </w:p>
    <w:p w14:paraId="6DB82FAD" w14:textId="77777777" w:rsidR="00FC2BD1" w:rsidRDefault="00FC2BD1" w:rsidP="00FC2BD1">
      <w:pPr>
        <w:pStyle w:val="NormalWeb"/>
        <w:spacing w:before="0" w:beforeAutospacing="0" w:after="160" w:afterAutospacing="0"/>
        <w:rPr>
          <w:color w:val="000000"/>
        </w:rPr>
      </w:pPr>
      <w:r>
        <w:rPr>
          <w:color w:val="000000"/>
          <w:sz w:val="22"/>
          <w:szCs w:val="22"/>
        </w:rPr>
        <w:t xml:space="preserve">Fairclough, N. (2013) </w:t>
      </w:r>
      <w:r>
        <w:rPr>
          <w:i/>
          <w:iCs/>
          <w:color w:val="000000"/>
          <w:sz w:val="22"/>
          <w:szCs w:val="22"/>
        </w:rPr>
        <w:t>Critical discourse analysis: the critical study of language, (second edition)</w:t>
      </w:r>
      <w:r>
        <w:rPr>
          <w:color w:val="000000"/>
          <w:sz w:val="22"/>
          <w:szCs w:val="22"/>
        </w:rPr>
        <w:t>. London: Routledge </w:t>
      </w:r>
    </w:p>
    <w:p w14:paraId="4E09ED8B" w14:textId="77777777" w:rsidR="00FC2BD1" w:rsidRDefault="00FC2BD1" w:rsidP="00FC2BD1">
      <w:pPr>
        <w:pStyle w:val="NormalWeb"/>
        <w:spacing w:before="0" w:beforeAutospacing="0" w:after="160" w:afterAutospacing="0"/>
        <w:rPr>
          <w:color w:val="000000"/>
        </w:rPr>
      </w:pPr>
      <w:r>
        <w:rPr>
          <w:color w:val="000000"/>
          <w:sz w:val="22"/>
          <w:szCs w:val="22"/>
        </w:rPr>
        <w:t>Fairclough, N. (2014) ‘What is CDA? Language and Power 25 years on.’ [Online] [Accessed: 28 May 2020] Available from: https://www.academia.edu/8429277/What_is_CDA_Language_and_Power_twenty-five_years_on</w:t>
      </w:r>
    </w:p>
    <w:p w14:paraId="6DEAC456" w14:textId="77777777" w:rsidR="00FC2BD1" w:rsidRDefault="00FC2BD1" w:rsidP="00FC2BD1">
      <w:pPr>
        <w:pStyle w:val="NormalWeb"/>
        <w:spacing w:before="0" w:beforeAutospacing="0" w:after="160" w:afterAutospacing="0"/>
        <w:rPr>
          <w:color w:val="000000"/>
        </w:rPr>
      </w:pPr>
      <w:r>
        <w:rPr>
          <w:color w:val="000000"/>
          <w:sz w:val="22"/>
          <w:szCs w:val="22"/>
        </w:rPr>
        <w:t xml:space="preserve">Felgenhauer, P. (2009) ‘Obama Praised in Moscow for Moderation’, </w:t>
      </w:r>
      <w:r>
        <w:rPr>
          <w:i/>
          <w:iCs/>
          <w:color w:val="000000"/>
          <w:sz w:val="22"/>
          <w:szCs w:val="22"/>
        </w:rPr>
        <w:t>The Jamestown Foundation: Eurasia Daily Monitor</w:t>
      </w:r>
      <w:r>
        <w:rPr>
          <w:color w:val="000000"/>
          <w:sz w:val="22"/>
          <w:szCs w:val="22"/>
        </w:rPr>
        <w:t>, [Online] 9 July 2009. [Accessed: 31 May 2020] Available from: https://jamestown.org/program/obama-praised-in-moscow-for-moderation/.</w:t>
      </w:r>
    </w:p>
    <w:p w14:paraId="627B0516" w14:textId="77777777" w:rsidR="00FC2BD1" w:rsidRDefault="00FC2BD1" w:rsidP="00FC2BD1">
      <w:pPr>
        <w:pStyle w:val="NormalWeb"/>
        <w:spacing w:before="0" w:beforeAutospacing="0" w:after="160" w:afterAutospacing="0"/>
        <w:rPr>
          <w:color w:val="000000"/>
        </w:rPr>
      </w:pPr>
      <w:r>
        <w:rPr>
          <w:color w:val="000000"/>
          <w:sz w:val="22"/>
          <w:szCs w:val="22"/>
        </w:rPr>
        <w:t xml:space="preserve">Forsyth, I. (2017) ‘A bear’s biography: Hybrid warfare and the more-than-human battlespace’, </w:t>
      </w:r>
      <w:r>
        <w:rPr>
          <w:i/>
          <w:iCs/>
          <w:color w:val="000000"/>
          <w:sz w:val="22"/>
          <w:szCs w:val="22"/>
        </w:rPr>
        <w:t>Environment and Planning D: Society and Space</w:t>
      </w:r>
      <w:r>
        <w:rPr>
          <w:color w:val="000000"/>
          <w:sz w:val="22"/>
          <w:szCs w:val="22"/>
        </w:rPr>
        <w:t xml:space="preserve">, [Online] </w:t>
      </w:r>
      <w:r>
        <w:rPr>
          <w:b/>
          <w:bCs/>
          <w:color w:val="000000"/>
          <w:sz w:val="22"/>
          <w:szCs w:val="22"/>
        </w:rPr>
        <w:t>35</w:t>
      </w:r>
      <w:r>
        <w:rPr>
          <w:color w:val="000000"/>
          <w:sz w:val="22"/>
          <w:szCs w:val="22"/>
        </w:rPr>
        <w:t>(3), pp. 495–512. [Accessed: 13 March 2020] Available from: doi: 10.1177/0263775816664098.</w:t>
      </w:r>
    </w:p>
    <w:p w14:paraId="247F01EC" w14:textId="77777777" w:rsidR="00FC2BD1" w:rsidRDefault="00FC2BD1" w:rsidP="00FC2BD1">
      <w:pPr>
        <w:pStyle w:val="NormalWeb"/>
        <w:spacing w:before="0" w:beforeAutospacing="0" w:after="160" w:afterAutospacing="0"/>
        <w:jc w:val="both"/>
        <w:rPr>
          <w:color w:val="000000"/>
        </w:rPr>
      </w:pPr>
      <w:r>
        <w:rPr>
          <w:color w:val="000000"/>
          <w:sz w:val="22"/>
          <w:szCs w:val="22"/>
        </w:rPr>
        <w:t>Friedrich, T. (2018) ‘Danube Sturgeons: Past and Future’, in</w:t>
      </w:r>
      <w:r>
        <w:rPr>
          <w:color w:val="000000"/>
          <w:sz w:val="22"/>
          <w:szCs w:val="22"/>
          <w:shd w:val="clear" w:color="auto" w:fill="FFFFFF"/>
        </w:rPr>
        <w:t xml:space="preserve"> Schmutz S., Sendzimir J. (eds) </w:t>
      </w:r>
      <w:r>
        <w:rPr>
          <w:i/>
          <w:iCs/>
          <w:color w:val="000000"/>
          <w:sz w:val="22"/>
          <w:szCs w:val="22"/>
          <w:shd w:val="clear" w:color="auto" w:fill="FFFFFF"/>
        </w:rPr>
        <w:t>Riverine Ecosystem Management. Aquatic Ecology Series, Vol 8</w:t>
      </w:r>
      <w:r>
        <w:rPr>
          <w:color w:val="000000"/>
          <w:sz w:val="22"/>
          <w:szCs w:val="22"/>
          <w:shd w:val="clear" w:color="auto" w:fill="FFFFFF"/>
        </w:rPr>
        <w:t>. Cham, Switzerland: Springer, </w:t>
      </w:r>
    </w:p>
    <w:p w14:paraId="377987E9" w14:textId="77777777" w:rsidR="00FC2BD1" w:rsidRDefault="00FC2BD1" w:rsidP="00FC2BD1">
      <w:pPr>
        <w:pStyle w:val="NormalWeb"/>
        <w:spacing w:before="0" w:beforeAutospacing="0" w:after="160" w:afterAutospacing="0"/>
        <w:jc w:val="both"/>
        <w:rPr>
          <w:color w:val="000000"/>
        </w:rPr>
      </w:pPr>
      <w:r>
        <w:rPr>
          <w:color w:val="000000"/>
          <w:sz w:val="22"/>
          <w:szCs w:val="22"/>
        </w:rPr>
        <w:t>Friedrich, T., Gessner, J., Reinartz, R., Stribel-Greiter, B</w:t>
      </w:r>
      <w:r>
        <w:rPr>
          <w:i/>
          <w:iCs/>
          <w:color w:val="000000"/>
          <w:sz w:val="22"/>
          <w:szCs w:val="22"/>
        </w:rPr>
        <w:t>.</w:t>
      </w:r>
      <w:r>
        <w:rPr>
          <w:color w:val="000000"/>
          <w:sz w:val="22"/>
          <w:szCs w:val="22"/>
        </w:rPr>
        <w:t xml:space="preserve"> (2018) </w:t>
      </w:r>
      <w:r>
        <w:rPr>
          <w:i/>
          <w:iCs/>
          <w:color w:val="000000"/>
          <w:sz w:val="22"/>
          <w:szCs w:val="22"/>
        </w:rPr>
        <w:t>Pan-European Action Plan for Sturgeons</w:t>
      </w:r>
      <w:r>
        <w:rPr>
          <w:color w:val="000000"/>
          <w:sz w:val="22"/>
          <w:szCs w:val="22"/>
        </w:rPr>
        <w:t>. [Online]  Strasbourg: WSCS and WWF for Council of Europe [Accessed: 7 January 2020] Available from: https://rm.coe.int/pan-european-action-plan-for-sturgeons/16808e84f3 </w:t>
      </w:r>
    </w:p>
    <w:p w14:paraId="4C5FD2EE" w14:textId="77777777" w:rsidR="00FC2BD1" w:rsidRDefault="00FC2BD1" w:rsidP="00FC2BD1">
      <w:pPr>
        <w:pStyle w:val="NormalWeb"/>
        <w:spacing w:before="0" w:beforeAutospacing="0" w:after="160" w:afterAutospacing="0"/>
        <w:rPr>
          <w:color w:val="000000"/>
        </w:rPr>
      </w:pPr>
      <w:r>
        <w:rPr>
          <w:color w:val="000000"/>
          <w:sz w:val="22"/>
          <w:szCs w:val="22"/>
        </w:rPr>
        <w:t xml:space="preserve">Gentry, R. R., Gaines, S.D., Gabe, J.S, &amp; Lester, S.E. (2019) ‘Looking to aquatic species for conservation farming success’, </w:t>
      </w:r>
      <w:r>
        <w:rPr>
          <w:i/>
          <w:iCs/>
          <w:color w:val="000000"/>
          <w:sz w:val="22"/>
          <w:szCs w:val="22"/>
        </w:rPr>
        <w:t>Conservation Letters</w:t>
      </w:r>
      <w:r>
        <w:rPr>
          <w:color w:val="000000"/>
          <w:sz w:val="22"/>
          <w:szCs w:val="22"/>
        </w:rPr>
        <w:t xml:space="preserve">, [Online] </w:t>
      </w:r>
      <w:r>
        <w:rPr>
          <w:b/>
          <w:bCs/>
          <w:color w:val="000000"/>
          <w:sz w:val="22"/>
          <w:szCs w:val="22"/>
        </w:rPr>
        <w:t>12</w:t>
      </w:r>
      <w:r>
        <w:rPr>
          <w:color w:val="000000"/>
          <w:sz w:val="22"/>
          <w:szCs w:val="22"/>
        </w:rPr>
        <w:t>(6), pp. 1–7. [Accessed: 08 April 2020] Available from: doi: 10.1111/conl.12681.</w:t>
      </w:r>
    </w:p>
    <w:p w14:paraId="132BD3C6" w14:textId="77777777" w:rsidR="00FC2BD1" w:rsidRDefault="00FC2BD1" w:rsidP="00FC2BD1">
      <w:pPr>
        <w:pStyle w:val="NormalWeb"/>
        <w:spacing w:before="0" w:beforeAutospacing="0" w:after="160" w:afterAutospacing="0"/>
        <w:rPr>
          <w:color w:val="000000"/>
        </w:rPr>
      </w:pPr>
      <w:r>
        <w:rPr>
          <w:color w:val="000000"/>
          <w:sz w:val="22"/>
          <w:szCs w:val="22"/>
        </w:rPr>
        <w:t xml:space="preserve">Gold, L. (2002) ‘A Personal Account of a Research Journey’, </w:t>
      </w:r>
      <w:r>
        <w:rPr>
          <w:i/>
          <w:iCs/>
          <w:color w:val="000000"/>
          <w:sz w:val="22"/>
          <w:szCs w:val="22"/>
        </w:rPr>
        <w:t>Ethics, Place and Environment</w:t>
      </w:r>
      <w:r>
        <w:rPr>
          <w:color w:val="000000"/>
          <w:sz w:val="22"/>
          <w:szCs w:val="22"/>
        </w:rPr>
        <w:t xml:space="preserve">, [Online] </w:t>
      </w:r>
      <w:r>
        <w:rPr>
          <w:b/>
          <w:bCs/>
          <w:color w:val="000000"/>
          <w:sz w:val="22"/>
          <w:szCs w:val="22"/>
        </w:rPr>
        <w:t>5</w:t>
      </w:r>
      <w:r>
        <w:rPr>
          <w:color w:val="000000"/>
          <w:sz w:val="22"/>
          <w:szCs w:val="22"/>
        </w:rPr>
        <w:t>(3), pp. 223–237. [Accessed: 12 January 2020] Available from: doi: 10.1080/1366879022000041588.</w:t>
      </w:r>
    </w:p>
    <w:p w14:paraId="13680835" w14:textId="77777777" w:rsidR="00FC2BD1" w:rsidRDefault="00FC2BD1" w:rsidP="00FC2BD1">
      <w:pPr>
        <w:pStyle w:val="NormalWeb"/>
        <w:spacing w:before="0" w:beforeAutospacing="0" w:after="160" w:afterAutospacing="0"/>
        <w:rPr>
          <w:color w:val="000000"/>
        </w:rPr>
      </w:pPr>
      <w:r>
        <w:rPr>
          <w:color w:val="000000"/>
          <w:sz w:val="22"/>
          <w:szCs w:val="22"/>
        </w:rPr>
        <w:lastRenderedPageBreak/>
        <w:t xml:space="preserve">Goldfarb, M. (2009) ‘How’d Obama Like the Caviar?’, </w:t>
      </w:r>
      <w:r>
        <w:rPr>
          <w:i/>
          <w:iCs/>
          <w:color w:val="000000"/>
          <w:sz w:val="22"/>
          <w:szCs w:val="22"/>
        </w:rPr>
        <w:t>Washington Examiner</w:t>
      </w:r>
      <w:r>
        <w:rPr>
          <w:color w:val="000000"/>
          <w:sz w:val="22"/>
          <w:szCs w:val="22"/>
        </w:rPr>
        <w:t xml:space="preserve"> [Online] 13 July 2009. [Accessed: 31 May 2020] Available from: https://www.washingtonexaminer.com/weekly-standard/howd-obama-like-the-caviar.</w:t>
      </w:r>
    </w:p>
    <w:p w14:paraId="190F925A" w14:textId="77777777" w:rsidR="00FC2BD1" w:rsidRDefault="00FC2BD1" w:rsidP="00FC2BD1">
      <w:pPr>
        <w:pStyle w:val="NormalWeb"/>
        <w:spacing w:before="0" w:beforeAutospacing="0" w:after="160" w:afterAutospacing="0"/>
        <w:rPr>
          <w:color w:val="000000"/>
        </w:rPr>
      </w:pPr>
      <w:r>
        <w:rPr>
          <w:color w:val="000000"/>
          <w:sz w:val="22"/>
          <w:szCs w:val="22"/>
        </w:rPr>
        <w:t xml:space="preserve">Goodman, S. (2001) ‘Battle to save beleaguered beluga’, </w:t>
      </w:r>
      <w:r>
        <w:rPr>
          <w:i/>
          <w:iCs/>
          <w:color w:val="000000"/>
          <w:sz w:val="22"/>
          <w:szCs w:val="22"/>
        </w:rPr>
        <w:t>Nature</w:t>
      </w:r>
      <w:r>
        <w:rPr>
          <w:color w:val="000000"/>
          <w:sz w:val="22"/>
          <w:szCs w:val="22"/>
        </w:rPr>
        <w:t xml:space="preserve">, </w:t>
      </w:r>
      <w:r>
        <w:rPr>
          <w:b/>
          <w:bCs/>
          <w:color w:val="000000"/>
          <w:sz w:val="22"/>
          <w:szCs w:val="22"/>
        </w:rPr>
        <w:t>412</w:t>
      </w:r>
      <w:r>
        <w:rPr>
          <w:color w:val="000000"/>
          <w:sz w:val="22"/>
          <w:szCs w:val="22"/>
        </w:rPr>
        <w:t>(6843), pp. 108–108. [Accessed: 28 May 2020] Available from: doi: 10.1038/35084355.</w:t>
      </w:r>
    </w:p>
    <w:p w14:paraId="056E49E9" w14:textId="77777777" w:rsidR="00FC2BD1" w:rsidRDefault="00FC2BD1" w:rsidP="00FC2BD1">
      <w:pPr>
        <w:pStyle w:val="NormalWeb"/>
        <w:spacing w:before="0" w:beforeAutospacing="0" w:after="160" w:afterAutospacing="0"/>
        <w:rPr>
          <w:color w:val="000000"/>
        </w:rPr>
      </w:pPr>
      <w:r>
        <w:rPr>
          <w:color w:val="000000"/>
          <w:sz w:val="22"/>
          <w:szCs w:val="22"/>
        </w:rPr>
        <w:t xml:space="preserve">Gray, N. J., Acton, L. and Campbell, L. M. (2020) ‘Science, territory, and the geopolitics of high seas conservation’, in In. O’Lear, ed.  </w:t>
      </w:r>
      <w:r>
        <w:rPr>
          <w:i/>
          <w:iCs/>
          <w:color w:val="000000"/>
          <w:sz w:val="22"/>
          <w:szCs w:val="22"/>
        </w:rPr>
        <w:t>A Research Agenda for Environmental Geopolitics</w:t>
      </w:r>
      <w:r>
        <w:rPr>
          <w:color w:val="000000"/>
          <w:sz w:val="22"/>
          <w:szCs w:val="22"/>
        </w:rPr>
        <w:t>. Cheltenham: Edward Elgar Publishing. Pp. 30-43. </w:t>
      </w:r>
    </w:p>
    <w:p w14:paraId="7316207F" w14:textId="77777777" w:rsidR="00FC2BD1" w:rsidRDefault="00FC2BD1" w:rsidP="00FC2BD1">
      <w:pPr>
        <w:pStyle w:val="NormalWeb"/>
        <w:spacing w:before="0" w:beforeAutospacing="0" w:after="160" w:afterAutospacing="0"/>
        <w:jc w:val="both"/>
        <w:rPr>
          <w:color w:val="000000"/>
        </w:rPr>
      </w:pPr>
      <w:r>
        <w:rPr>
          <w:color w:val="000000"/>
          <w:sz w:val="22"/>
          <w:szCs w:val="22"/>
        </w:rPr>
        <w:t xml:space="preserve">Greenhough, B. (2016) ‘Vitalist geographies: Life and the more-than-human’, in Anderson. B. and Harrison, P. (Eds.) </w:t>
      </w:r>
      <w:r>
        <w:rPr>
          <w:i/>
          <w:iCs/>
          <w:color w:val="000000"/>
          <w:sz w:val="22"/>
          <w:szCs w:val="22"/>
        </w:rPr>
        <w:t>Taking-Place: Non-Representational Theories and Geography</w:t>
      </w:r>
      <w:r>
        <w:rPr>
          <w:color w:val="000000"/>
          <w:sz w:val="22"/>
          <w:szCs w:val="22"/>
        </w:rPr>
        <w:t>. London: Routledge.  pp. 37–54.</w:t>
      </w:r>
    </w:p>
    <w:p w14:paraId="32E99276" w14:textId="77777777" w:rsidR="00FC2BD1" w:rsidRDefault="00FC2BD1" w:rsidP="00FC2BD1">
      <w:pPr>
        <w:pStyle w:val="NormalWeb"/>
        <w:spacing w:before="0" w:beforeAutospacing="0" w:after="160" w:afterAutospacing="0"/>
        <w:rPr>
          <w:color w:val="000000"/>
        </w:rPr>
      </w:pPr>
      <w:r>
        <w:rPr>
          <w:color w:val="000000"/>
          <w:sz w:val="22"/>
          <w:szCs w:val="22"/>
        </w:rPr>
        <w:t xml:space="preserve">Grove, K. J. (2010) ‘Insuring “our common future?” Dangerous climate change and the biopolitics of environmental security’, </w:t>
      </w:r>
      <w:r>
        <w:rPr>
          <w:i/>
          <w:iCs/>
          <w:color w:val="000000"/>
          <w:sz w:val="22"/>
          <w:szCs w:val="22"/>
        </w:rPr>
        <w:t>Geopolitics</w:t>
      </w:r>
      <w:r>
        <w:rPr>
          <w:color w:val="000000"/>
          <w:sz w:val="22"/>
          <w:szCs w:val="22"/>
        </w:rPr>
        <w:t xml:space="preserve">, [Online] </w:t>
      </w:r>
      <w:r>
        <w:rPr>
          <w:b/>
          <w:bCs/>
          <w:color w:val="000000"/>
          <w:sz w:val="22"/>
          <w:szCs w:val="22"/>
        </w:rPr>
        <w:t>15</w:t>
      </w:r>
      <w:r>
        <w:rPr>
          <w:color w:val="000000"/>
          <w:sz w:val="22"/>
          <w:szCs w:val="22"/>
        </w:rPr>
        <w:t>(3), pp. 536–563. [Accessed: 06 March 2020] Available from: doi: 10.1080/14650040903501070.</w:t>
      </w:r>
    </w:p>
    <w:p w14:paraId="45A4891E" w14:textId="77777777" w:rsidR="00FC2BD1" w:rsidRDefault="00FC2BD1" w:rsidP="00FC2BD1">
      <w:pPr>
        <w:pStyle w:val="NormalWeb"/>
        <w:spacing w:before="0" w:beforeAutospacing="0" w:after="160" w:afterAutospacing="0"/>
        <w:rPr>
          <w:color w:val="000000"/>
        </w:rPr>
      </w:pPr>
      <w:r>
        <w:rPr>
          <w:color w:val="000000"/>
          <w:sz w:val="22"/>
          <w:szCs w:val="22"/>
        </w:rPr>
        <w:t xml:space="preserve">Harris, L. M. (2017) ‘Political ecologies of the state: Recent interventions and questions going forward’, </w:t>
      </w:r>
      <w:r>
        <w:rPr>
          <w:i/>
          <w:iCs/>
          <w:color w:val="000000"/>
          <w:sz w:val="22"/>
          <w:szCs w:val="22"/>
        </w:rPr>
        <w:t>Political Geography</w:t>
      </w:r>
      <w:r>
        <w:rPr>
          <w:color w:val="000000"/>
          <w:sz w:val="22"/>
          <w:szCs w:val="22"/>
        </w:rPr>
        <w:t xml:space="preserve">. [Online] </w:t>
      </w:r>
      <w:r>
        <w:rPr>
          <w:b/>
          <w:bCs/>
          <w:color w:val="000000"/>
          <w:sz w:val="22"/>
          <w:szCs w:val="22"/>
        </w:rPr>
        <w:t>58</w:t>
      </w:r>
      <w:r>
        <w:rPr>
          <w:color w:val="000000"/>
          <w:sz w:val="22"/>
          <w:szCs w:val="22"/>
        </w:rPr>
        <w:t>, pp. 90–92. [Accessed: 07 November 2018] Available from: doi: 10.1016/J.POLGEO.2017.03.006.</w:t>
      </w:r>
    </w:p>
    <w:p w14:paraId="542D0BFB" w14:textId="77777777" w:rsidR="00FC2BD1" w:rsidRDefault="00FC2BD1" w:rsidP="00FC2BD1">
      <w:pPr>
        <w:pStyle w:val="NormalWeb"/>
        <w:spacing w:before="0" w:beforeAutospacing="0" w:after="160" w:afterAutospacing="0"/>
        <w:rPr>
          <w:color w:val="000000"/>
        </w:rPr>
      </w:pPr>
      <w:r>
        <w:rPr>
          <w:color w:val="000000"/>
          <w:sz w:val="22"/>
          <w:szCs w:val="22"/>
        </w:rPr>
        <w:t xml:space="preserve">Harris, L. and Shiraishi, H. (2018) </w:t>
      </w:r>
      <w:r>
        <w:rPr>
          <w:i/>
          <w:iCs/>
          <w:color w:val="000000"/>
          <w:sz w:val="22"/>
          <w:szCs w:val="22"/>
        </w:rPr>
        <w:t>Understanding the Global Caviar Market: Results of a rapid assessment on trade in sturgeon caviar</w:t>
      </w:r>
      <w:r>
        <w:rPr>
          <w:color w:val="000000"/>
          <w:sz w:val="22"/>
          <w:szCs w:val="22"/>
        </w:rPr>
        <w:t>. TRAFFIC and WWF joint report. Cambridge, UK: TRAFFIC</w:t>
      </w:r>
    </w:p>
    <w:p w14:paraId="5F316BFB" w14:textId="77777777" w:rsidR="00FC2BD1" w:rsidRDefault="00FC2BD1" w:rsidP="00FC2BD1">
      <w:pPr>
        <w:pStyle w:val="NormalWeb"/>
        <w:spacing w:before="0" w:beforeAutospacing="0" w:after="160" w:afterAutospacing="0"/>
        <w:rPr>
          <w:color w:val="000000"/>
        </w:rPr>
      </w:pPr>
      <w:r>
        <w:rPr>
          <w:color w:val="000000"/>
          <w:sz w:val="22"/>
          <w:szCs w:val="22"/>
        </w:rPr>
        <w:t xml:space="preserve">Harvey, D. (1990) ‘Between Space and Time: Reflections on the Geographical Imagination’, </w:t>
      </w:r>
      <w:r>
        <w:rPr>
          <w:i/>
          <w:iCs/>
          <w:color w:val="000000"/>
          <w:sz w:val="22"/>
          <w:szCs w:val="22"/>
        </w:rPr>
        <w:t>Annals of the Association of American Geographers</w:t>
      </w:r>
      <w:r>
        <w:rPr>
          <w:color w:val="000000"/>
          <w:sz w:val="22"/>
          <w:szCs w:val="22"/>
        </w:rPr>
        <w:t xml:space="preserve">, </w:t>
      </w:r>
      <w:r>
        <w:rPr>
          <w:b/>
          <w:bCs/>
          <w:color w:val="000000"/>
          <w:sz w:val="22"/>
          <w:szCs w:val="22"/>
        </w:rPr>
        <w:t>80</w:t>
      </w:r>
      <w:r>
        <w:rPr>
          <w:color w:val="000000"/>
          <w:sz w:val="22"/>
          <w:szCs w:val="22"/>
        </w:rPr>
        <w:t xml:space="preserve"> (3), pp. 418-434</w:t>
      </w:r>
    </w:p>
    <w:p w14:paraId="0608672F" w14:textId="77777777" w:rsidR="00FC2BD1" w:rsidRDefault="00FC2BD1" w:rsidP="00FC2BD1">
      <w:pPr>
        <w:pStyle w:val="NormalWeb"/>
        <w:spacing w:before="0" w:beforeAutospacing="0" w:after="160" w:afterAutospacing="0"/>
        <w:rPr>
          <w:color w:val="000000"/>
        </w:rPr>
      </w:pPr>
      <w:r>
        <w:rPr>
          <w:color w:val="000000"/>
          <w:sz w:val="22"/>
          <w:szCs w:val="22"/>
        </w:rPr>
        <w:t xml:space="preserve">Havice, E. (2018) ‘Unsettled Sovereignty and the Sea: Mobilities and More-Than-Territorial Configurations of State Power’, </w:t>
      </w:r>
      <w:r>
        <w:rPr>
          <w:i/>
          <w:iCs/>
          <w:color w:val="000000"/>
          <w:sz w:val="22"/>
          <w:szCs w:val="22"/>
        </w:rPr>
        <w:t>Annals of the American Association of Geographers</w:t>
      </w:r>
      <w:r>
        <w:rPr>
          <w:color w:val="000000"/>
          <w:sz w:val="22"/>
          <w:szCs w:val="22"/>
        </w:rPr>
        <w:t xml:space="preserve">, [Online] </w:t>
      </w:r>
      <w:r>
        <w:rPr>
          <w:b/>
          <w:bCs/>
          <w:color w:val="000000"/>
          <w:sz w:val="22"/>
          <w:szCs w:val="22"/>
        </w:rPr>
        <w:t>108</w:t>
      </w:r>
      <w:r>
        <w:rPr>
          <w:color w:val="000000"/>
          <w:sz w:val="22"/>
          <w:szCs w:val="22"/>
        </w:rPr>
        <w:t>(5), pp. 1280–1297. [Accessed: 06 November 2018]  Available from: doi: 10.1080/24694452.2018.1446820.</w:t>
      </w:r>
    </w:p>
    <w:p w14:paraId="0B6B383D" w14:textId="77777777" w:rsidR="00FC2BD1" w:rsidRDefault="00FC2BD1" w:rsidP="00FC2BD1">
      <w:pPr>
        <w:pStyle w:val="NormalWeb"/>
        <w:spacing w:before="0" w:beforeAutospacing="0" w:after="160" w:afterAutospacing="0"/>
        <w:rPr>
          <w:color w:val="000000"/>
        </w:rPr>
      </w:pPr>
      <w:r>
        <w:rPr>
          <w:color w:val="000000"/>
          <w:sz w:val="22"/>
          <w:szCs w:val="22"/>
        </w:rPr>
        <w:t xml:space="preserve">Head, L., Atchison, J. and Phillips, C. (2015) ‘The distinctive capacities of plants: re-thinking difference via invasive species’, </w:t>
      </w:r>
      <w:r>
        <w:rPr>
          <w:i/>
          <w:iCs/>
          <w:color w:val="000000"/>
          <w:sz w:val="22"/>
          <w:szCs w:val="22"/>
        </w:rPr>
        <w:t>Transactions of the Institute of British Geographers</w:t>
      </w:r>
      <w:r>
        <w:rPr>
          <w:color w:val="000000"/>
          <w:sz w:val="22"/>
          <w:szCs w:val="22"/>
        </w:rPr>
        <w:t xml:space="preserve">. [Online] </w:t>
      </w:r>
      <w:r>
        <w:rPr>
          <w:b/>
          <w:bCs/>
          <w:color w:val="000000"/>
          <w:sz w:val="22"/>
          <w:szCs w:val="22"/>
        </w:rPr>
        <w:t>40</w:t>
      </w:r>
      <w:r>
        <w:rPr>
          <w:color w:val="000000"/>
          <w:sz w:val="22"/>
          <w:szCs w:val="22"/>
        </w:rPr>
        <w:t>(3), pp. 399–413. [Accessed: 30 November 2018] Available from: doi: 10.1111/tran.12077.</w:t>
      </w:r>
    </w:p>
    <w:p w14:paraId="2B593E8C" w14:textId="77777777" w:rsidR="00FC2BD1" w:rsidRDefault="00FC2BD1" w:rsidP="00FC2BD1">
      <w:pPr>
        <w:pStyle w:val="NormalWeb"/>
        <w:spacing w:before="0" w:beforeAutospacing="0" w:after="160" w:afterAutospacing="0"/>
        <w:rPr>
          <w:color w:val="000000"/>
        </w:rPr>
      </w:pPr>
      <w:r>
        <w:rPr>
          <w:color w:val="000000"/>
          <w:sz w:val="22"/>
          <w:szCs w:val="22"/>
        </w:rPr>
        <w:t xml:space="preserve">Hobson, K. (2007) ‘Political animals? On animals as subjects in an enlarged political geography’, </w:t>
      </w:r>
      <w:r>
        <w:rPr>
          <w:i/>
          <w:iCs/>
          <w:color w:val="000000"/>
          <w:sz w:val="22"/>
          <w:szCs w:val="22"/>
        </w:rPr>
        <w:t>Political Geography</w:t>
      </w:r>
      <w:r>
        <w:rPr>
          <w:color w:val="000000"/>
          <w:sz w:val="22"/>
          <w:szCs w:val="22"/>
        </w:rPr>
        <w:t xml:space="preserve">. [Online] </w:t>
      </w:r>
      <w:r>
        <w:rPr>
          <w:b/>
          <w:bCs/>
          <w:color w:val="000000"/>
          <w:sz w:val="22"/>
          <w:szCs w:val="22"/>
        </w:rPr>
        <w:t>26</w:t>
      </w:r>
      <w:r>
        <w:rPr>
          <w:color w:val="000000"/>
          <w:sz w:val="22"/>
          <w:szCs w:val="22"/>
        </w:rPr>
        <w:t>(3), pp. 250–267. [Accessed: 07 November 2018] Available from: doi: 10.1016/J.POLGEO.2006.10.010.</w:t>
      </w:r>
    </w:p>
    <w:p w14:paraId="19C15827" w14:textId="77777777" w:rsidR="00FC2BD1" w:rsidRDefault="00FC2BD1" w:rsidP="00FC2BD1">
      <w:pPr>
        <w:pStyle w:val="NormalWeb"/>
        <w:spacing w:before="0" w:beforeAutospacing="0" w:after="160" w:afterAutospacing="0"/>
        <w:rPr>
          <w:color w:val="000000"/>
        </w:rPr>
      </w:pPr>
      <w:r>
        <w:rPr>
          <w:color w:val="000000"/>
          <w:sz w:val="22"/>
          <w:szCs w:val="22"/>
        </w:rPr>
        <w:t xml:space="preserve">Hodgetts, T., Burnham, D., Dickman, A., Macdonald, E.A., &amp; Macdonald, D.W. (2018) ‘Conservation geopolitics’, </w:t>
      </w:r>
      <w:r>
        <w:rPr>
          <w:i/>
          <w:iCs/>
          <w:color w:val="000000"/>
          <w:sz w:val="22"/>
          <w:szCs w:val="22"/>
        </w:rPr>
        <w:t>Conservation Biology</w:t>
      </w:r>
      <w:r>
        <w:rPr>
          <w:color w:val="000000"/>
          <w:sz w:val="22"/>
          <w:szCs w:val="22"/>
        </w:rPr>
        <w:t xml:space="preserve">. [Online] </w:t>
      </w:r>
      <w:r>
        <w:rPr>
          <w:b/>
          <w:bCs/>
          <w:color w:val="000000"/>
          <w:sz w:val="22"/>
          <w:szCs w:val="22"/>
        </w:rPr>
        <w:t>0</w:t>
      </w:r>
      <w:r>
        <w:rPr>
          <w:color w:val="000000"/>
          <w:sz w:val="22"/>
          <w:szCs w:val="22"/>
        </w:rPr>
        <w:t>(0) pp.1-10 [Accessed: 4 January 2019] Available from: doi: 10.1111/cobi.13238.</w:t>
      </w:r>
    </w:p>
    <w:p w14:paraId="295F9B19" w14:textId="77777777" w:rsidR="00FC2BD1" w:rsidRDefault="00FC2BD1" w:rsidP="00FC2BD1">
      <w:pPr>
        <w:pStyle w:val="NormalWeb"/>
        <w:spacing w:before="0" w:beforeAutospacing="0" w:after="160" w:afterAutospacing="0"/>
        <w:rPr>
          <w:color w:val="000000"/>
        </w:rPr>
      </w:pPr>
      <w:r>
        <w:rPr>
          <w:color w:val="000000"/>
          <w:sz w:val="22"/>
          <w:szCs w:val="22"/>
        </w:rPr>
        <w:t xml:space="preserve">Hruby, D. (2020) ‘Craving for caviar is driving the Danube River’s sturgeon to extinction’, </w:t>
      </w:r>
      <w:r>
        <w:rPr>
          <w:i/>
          <w:iCs/>
          <w:color w:val="000000"/>
          <w:sz w:val="22"/>
          <w:szCs w:val="22"/>
        </w:rPr>
        <w:t>Los Angeles Times</w:t>
      </w:r>
      <w:r>
        <w:rPr>
          <w:color w:val="000000"/>
          <w:sz w:val="22"/>
          <w:szCs w:val="22"/>
        </w:rPr>
        <w:t>. 22 August 2019. [Accessed: 1 June 2020]  Available from: https://www.latimes.com/world-nation/story/2019-08-21/craving-for-caviar-is-driving-the-danube-rivers-sturgeon-to-extinction.</w:t>
      </w:r>
    </w:p>
    <w:p w14:paraId="53CDDA22" w14:textId="77777777" w:rsidR="00FC2BD1" w:rsidRDefault="00FC2BD1" w:rsidP="00FC2BD1">
      <w:pPr>
        <w:pStyle w:val="NormalWeb"/>
        <w:spacing w:before="0" w:beforeAutospacing="0" w:after="160" w:afterAutospacing="0"/>
        <w:rPr>
          <w:color w:val="000000"/>
        </w:rPr>
      </w:pPr>
      <w:r>
        <w:rPr>
          <w:color w:val="000000"/>
          <w:sz w:val="22"/>
          <w:szCs w:val="22"/>
        </w:rPr>
        <w:t xml:space="preserve">Hulme, A. (2015) </w:t>
      </w:r>
      <w:r>
        <w:rPr>
          <w:i/>
          <w:iCs/>
          <w:color w:val="000000"/>
          <w:sz w:val="22"/>
          <w:szCs w:val="22"/>
        </w:rPr>
        <w:t>On the Commodity Trail: the journey of a Bargain Store product from East to West</w:t>
      </w:r>
      <w:r>
        <w:rPr>
          <w:color w:val="000000"/>
          <w:sz w:val="22"/>
          <w:szCs w:val="22"/>
        </w:rPr>
        <w:t>. London: Bloomsbury Academic. </w:t>
      </w:r>
    </w:p>
    <w:p w14:paraId="1B363234" w14:textId="77777777" w:rsidR="00FC2BD1" w:rsidRDefault="00FC2BD1" w:rsidP="00FC2BD1">
      <w:pPr>
        <w:pStyle w:val="NormalWeb"/>
        <w:spacing w:before="0" w:beforeAutospacing="0" w:after="160" w:afterAutospacing="0"/>
        <w:rPr>
          <w:color w:val="000000"/>
        </w:rPr>
      </w:pPr>
      <w:r>
        <w:rPr>
          <w:color w:val="000000"/>
          <w:sz w:val="22"/>
          <w:szCs w:val="22"/>
        </w:rPr>
        <w:t xml:space="preserve">Jahrl, J. (2013) </w:t>
      </w:r>
      <w:r>
        <w:rPr>
          <w:i/>
          <w:iCs/>
          <w:color w:val="000000"/>
          <w:sz w:val="22"/>
          <w:szCs w:val="22"/>
        </w:rPr>
        <w:t>Illegal Caviar Trade in Bulgaria and Romania: Results of a market survey on trade in caviar from sturgeons (Acipenseridae).</w:t>
      </w:r>
      <w:r>
        <w:rPr>
          <w:color w:val="000000"/>
          <w:sz w:val="22"/>
          <w:szCs w:val="22"/>
        </w:rPr>
        <w:t xml:space="preserve"> [Online] Vienna, Austria: WWF Austria &amp; TRAFFIC [Accessed: 26 January 2020] Available from:https://www.traffic.org/site/assets/files/2593/illegal_caviar_trade_bulgaria_romania_report.pdf</w:t>
      </w:r>
    </w:p>
    <w:p w14:paraId="0930C54B" w14:textId="77777777" w:rsidR="00FC2BD1" w:rsidRDefault="00FC2BD1" w:rsidP="00FC2BD1">
      <w:pPr>
        <w:pStyle w:val="NormalWeb"/>
        <w:spacing w:before="0" w:beforeAutospacing="0" w:after="160" w:afterAutospacing="0"/>
        <w:rPr>
          <w:color w:val="000000"/>
        </w:rPr>
      </w:pPr>
      <w:r>
        <w:rPr>
          <w:color w:val="000000"/>
          <w:sz w:val="22"/>
          <w:szCs w:val="22"/>
        </w:rPr>
        <w:lastRenderedPageBreak/>
        <w:t xml:space="preserve">Johnson, E. R. (2015) ‘Governing Jellyfish: Eco-Security and Planetary “Life” in the Anthropocene’, in Braverman, I. (ed.) </w:t>
      </w:r>
      <w:r>
        <w:rPr>
          <w:i/>
          <w:iCs/>
          <w:color w:val="000000"/>
          <w:sz w:val="22"/>
          <w:szCs w:val="22"/>
        </w:rPr>
        <w:t xml:space="preserve">Animals, Biopolitics, Law: Lively Legalities. </w:t>
      </w:r>
      <w:r>
        <w:rPr>
          <w:color w:val="000000"/>
          <w:sz w:val="22"/>
          <w:szCs w:val="22"/>
        </w:rPr>
        <w:t>London: Routledge. pp. 79–98.</w:t>
      </w:r>
    </w:p>
    <w:p w14:paraId="2F0D7DE7" w14:textId="77777777" w:rsidR="00FC2BD1" w:rsidRDefault="00FC2BD1" w:rsidP="00FC2BD1">
      <w:pPr>
        <w:pStyle w:val="NormalWeb"/>
        <w:spacing w:before="0" w:beforeAutospacing="0" w:after="160" w:afterAutospacing="0"/>
        <w:rPr>
          <w:color w:val="000000"/>
        </w:rPr>
      </w:pPr>
      <w:r>
        <w:rPr>
          <w:color w:val="000000"/>
          <w:sz w:val="22"/>
          <w:szCs w:val="22"/>
        </w:rPr>
        <w:t xml:space="preserve">Johnson, E. R. (2015) ‘Of lobsters, laboratories, and war: animal studies and the temporality of more-than-human encounters’, </w:t>
      </w:r>
      <w:r>
        <w:rPr>
          <w:i/>
          <w:iCs/>
          <w:color w:val="000000"/>
          <w:sz w:val="22"/>
          <w:szCs w:val="22"/>
        </w:rPr>
        <w:t>Society and Space</w:t>
      </w:r>
      <w:r>
        <w:rPr>
          <w:color w:val="000000"/>
          <w:sz w:val="22"/>
          <w:szCs w:val="22"/>
        </w:rPr>
        <w:t xml:space="preserve">, [Online] </w:t>
      </w:r>
      <w:r>
        <w:rPr>
          <w:b/>
          <w:bCs/>
          <w:color w:val="000000"/>
          <w:sz w:val="22"/>
          <w:szCs w:val="22"/>
        </w:rPr>
        <w:t>33</w:t>
      </w:r>
      <w:r>
        <w:rPr>
          <w:color w:val="000000"/>
          <w:sz w:val="22"/>
          <w:szCs w:val="22"/>
        </w:rPr>
        <w:t>, pp. 296–313. [Accessed: 06 January 2020] Available from: doi: 10.1068/d23512.</w:t>
      </w:r>
    </w:p>
    <w:p w14:paraId="33A3CE7A" w14:textId="77777777" w:rsidR="00FC2BD1" w:rsidRDefault="00FC2BD1" w:rsidP="00FC2BD1">
      <w:pPr>
        <w:pStyle w:val="NormalWeb"/>
        <w:spacing w:before="0" w:beforeAutospacing="0" w:after="160" w:afterAutospacing="0"/>
        <w:jc w:val="both"/>
        <w:rPr>
          <w:color w:val="000000"/>
        </w:rPr>
      </w:pPr>
      <w:r>
        <w:rPr>
          <w:color w:val="000000"/>
          <w:sz w:val="22"/>
          <w:szCs w:val="22"/>
        </w:rPr>
        <w:t xml:space="preserve">Ju, R. T. </w:t>
      </w:r>
      <w:r>
        <w:rPr>
          <w:i/>
          <w:iCs/>
          <w:color w:val="000000"/>
          <w:sz w:val="22"/>
          <w:szCs w:val="22"/>
        </w:rPr>
        <w:t>et al.</w:t>
      </w:r>
      <w:r>
        <w:rPr>
          <w:color w:val="000000"/>
          <w:sz w:val="22"/>
          <w:szCs w:val="22"/>
        </w:rPr>
        <w:t xml:space="preserve"> (2020) ‘Emerging risks of non-native species escapes from aquaculture: Call for policy improvements in China and other developing countries’, </w:t>
      </w:r>
      <w:r>
        <w:rPr>
          <w:i/>
          <w:iCs/>
          <w:color w:val="000000"/>
          <w:sz w:val="22"/>
          <w:szCs w:val="22"/>
        </w:rPr>
        <w:t>Journal of Applied Ecology</w:t>
      </w:r>
      <w:r>
        <w:rPr>
          <w:color w:val="000000"/>
          <w:sz w:val="22"/>
          <w:szCs w:val="22"/>
        </w:rPr>
        <w:t xml:space="preserve">, [Online] </w:t>
      </w:r>
      <w:r>
        <w:rPr>
          <w:b/>
          <w:bCs/>
          <w:color w:val="000000"/>
          <w:sz w:val="22"/>
          <w:szCs w:val="22"/>
        </w:rPr>
        <w:t>57</w:t>
      </w:r>
      <w:r>
        <w:rPr>
          <w:color w:val="000000"/>
          <w:sz w:val="22"/>
          <w:szCs w:val="22"/>
        </w:rPr>
        <w:t>(1), pp. 85–90. [Accessed: 03 June 2020] Available from: doi: 10.1111/1365-2664.13521.</w:t>
      </w:r>
    </w:p>
    <w:p w14:paraId="2E34E3B5" w14:textId="77777777" w:rsidR="00FC2BD1" w:rsidRDefault="00FC2BD1" w:rsidP="00FC2BD1">
      <w:pPr>
        <w:pStyle w:val="NormalWeb"/>
        <w:spacing w:before="0" w:beforeAutospacing="0" w:after="160" w:afterAutospacing="0"/>
        <w:rPr>
          <w:color w:val="000000"/>
        </w:rPr>
      </w:pPr>
      <w:r>
        <w:rPr>
          <w:color w:val="000000"/>
          <w:sz w:val="22"/>
          <w:szCs w:val="22"/>
        </w:rPr>
        <w:t xml:space="preserve">Kecse-Nagy, K. (2011) </w:t>
      </w:r>
      <w:r>
        <w:rPr>
          <w:i/>
          <w:iCs/>
          <w:color w:val="000000"/>
          <w:sz w:val="22"/>
          <w:szCs w:val="22"/>
        </w:rPr>
        <w:t>Trade in Sturgeon Caviar in Bulgaria and Romania-overview of reported trade in caviar, 1998-2008</w:t>
      </w:r>
      <w:r>
        <w:rPr>
          <w:color w:val="000000"/>
          <w:sz w:val="22"/>
          <w:szCs w:val="22"/>
        </w:rPr>
        <w:t>. A TRAFFIC Report for WWF Austria. [Online]  Budapest, Hungary: TRAFFIC  [Accessed: 26 January 2020] Available from: https://www.traffic.org/site/assets/files/7004/sturgeon-caviar-in-bulgaria-and-romania.pdf </w:t>
      </w:r>
    </w:p>
    <w:p w14:paraId="3E1051DF" w14:textId="77777777" w:rsidR="00FC2BD1" w:rsidRDefault="00FC2BD1" w:rsidP="00FC2BD1">
      <w:pPr>
        <w:pStyle w:val="NormalWeb"/>
        <w:spacing w:before="0" w:beforeAutospacing="0" w:after="160" w:afterAutospacing="0"/>
        <w:rPr>
          <w:color w:val="000000"/>
        </w:rPr>
      </w:pPr>
      <w:r>
        <w:rPr>
          <w:color w:val="000000"/>
          <w:sz w:val="22"/>
          <w:szCs w:val="22"/>
        </w:rPr>
        <w:t xml:space="preserve">Kelly, A. B. and Ybarra, M. (2016) ‘Introduction to themed issue: “Green security in protected areas”’, </w:t>
      </w:r>
      <w:r>
        <w:rPr>
          <w:i/>
          <w:iCs/>
          <w:color w:val="000000"/>
          <w:sz w:val="22"/>
          <w:szCs w:val="22"/>
        </w:rPr>
        <w:t>Geoforum</w:t>
      </w:r>
      <w:r>
        <w:rPr>
          <w:color w:val="000000"/>
          <w:sz w:val="22"/>
          <w:szCs w:val="22"/>
        </w:rPr>
        <w:t xml:space="preserve">, [Online] </w:t>
      </w:r>
      <w:r>
        <w:rPr>
          <w:b/>
          <w:bCs/>
          <w:color w:val="000000"/>
          <w:sz w:val="22"/>
          <w:szCs w:val="22"/>
        </w:rPr>
        <w:t>69</w:t>
      </w:r>
      <w:r>
        <w:rPr>
          <w:color w:val="000000"/>
          <w:sz w:val="22"/>
          <w:szCs w:val="22"/>
        </w:rPr>
        <w:t>, pp. 171–175. [Accessed: 27 May 2020] Available from: doi: 10.1016/j.geoforum.2015.09.013.</w:t>
      </w:r>
    </w:p>
    <w:p w14:paraId="1321BDEB" w14:textId="77777777" w:rsidR="00FC2BD1" w:rsidRDefault="00FC2BD1" w:rsidP="00FC2BD1">
      <w:pPr>
        <w:pStyle w:val="NormalWeb"/>
        <w:spacing w:before="0" w:beforeAutospacing="0" w:after="160" w:afterAutospacing="0"/>
        <w:rPr>
          <w:color w:val="000000"/>
        </w:rPr>
      </w:pPr>
      <w:r>
        <w:rPr>
          <w:color w:val="000000"/>
          <w:sz w:val="22"/>
          <w:szCs w:val="22"/>
        </w:rPr>
        <w:t xml:space="preserve">Kirkpatrick, R. C. and Emerton, L. (2010) ‘Killing Tigers to Save Them: Fallacies of the Farming Argument’, </w:t>
      </w:r>
      <w:r>
        <w:rPr>
          <w:i/>
          <w:iCs/>
          <w:color w:val="000000"/>
          <w:sz w:val="22"/>
          <w:szCs w:val="22"/>
        </w:rPr>
        <w:t>Conservation Biology</w:t>
      </w:r>
      <w:r>
        <w:rPr>
          <w:color w:val="000000"/>
          <w:sz w:val="22"/>
          <w:szCs w:val="22"/>
        </w:rPr>
        <w:t xml:space="preserve">, [Online] </w:t>
      </w:r>
      <w:r>
        <w:rPr>
          <w:b/>
          <w:bCs/>
          <w:color w:val="000000"/>
          <w:sz w:val="22"/>
          <w:szCs w:val="22"/>
        </w:rPr>
        <w:t>24</w:t>
      </w:r>
      <w:r>
        <w:rPr>
          <w:color w:val="000000"/>
          <w:sz w:val="22"/>
          <w:szCs w:val="22"/>
        </w:rPr>
        <w:t>(3), pp. 655–659. [Accessed: 15 April 2020] Available from: doi: 10.1111/j.1523-1739.2010.01468.x.</w:t>
      </w:r>
    </w:p>
    <w:p w14:paraId="107F950D" w14:textId="77777777" w:rsidR="00FC2BD1" w:rsidRDefault="00FC2BD1" w:rsidP="00FC2BD1">
      <w:pPr>
        <w:pStyle w:val="NormalWeb"/>
        <w:spacing w:before="0" w:beforeAutospacing="0" w:after="160" w:afterAutospacing="0"/>
        <w:rPr>
          <w:color w:val="000000"/>
        </w:rPr>
      </w:pPr>
      <w:r>
        <w:rPr>
          <w:color w:val="000000"/>
          <w:sz w:val="22"/>
          <w:szCs w:val="22"/>
        </w:rPr>
        <w:t xml:space="preserve">Knapp, A., Kitschke, C., and von Meibom, S. (eds.) (2006) </w:t>
      </w:r>
      <w:r>
        <w:rPr>
          <w:i/>
          <w:iCs/>
          <w:color w:val="000000"/>
          <w:sz w:val="22"/>
          <w:szCs w:val="22"/>
        </w:rPr>
        <w:t>Proceedings of the international sturgeon enforcement workshop to combat illegal trade in caviar</w:t>
      </w:r>
      <w:r>
        <w:rPr>
          <w:color w:val="000000"/>
          <w:sz w:val="22"/>
          <w:szCs w:val="22"/>
        </w:rPr>
        <w:t>,</w:t>
      </w:r>
      <w:r>
        <w:rPr>
          <w:i/>
          <w:iCs/>
          <w:color w:val="000000"/>
          <w:sz w:val="22"/>
          <w:szCs w:val="22"/>
        </w:rPr>
        <w:t xml:space="preserve"> 27-29 June, 2006, Brussels, Belgium. </w:t>
      </w:r>
      <w:r>
        <w:rPr>
          <w:color w:val="000000"/>
          <w:sz w:val="22"/>
          <w:szCs w:val="22"/>
        </w:rPr>
        <w:t>[Online] Brussels, Belgium: TRAFFIC for the European Commission. [Accessed: 11 December 2019] Available from: http://www.traffic.org/species-reports/traffic_species_fish14.pdf</w:t>
      </w:r>
    </w:p>
    <w:p w14:paraId="0985BB70" w14:textId="77777777" w:rsidR="00FC2BD1" w:rsidRDefault="00FC2BD1" w:rsidP="00FC2BD1">
      <w:pPr>
        <w:pStyle w:val="NormalWeb"/>
        <w:spacing w:before="0" w:beforeAutospacing="0" w:after="160" w:afterAutospacing="0"/>
        <w:rPr>
          <w:color w:val="000000"/>
        </w:rPr>
      </w:pPr>
      <w:r>
        <w:rPr>
          <w:color w:val="000000"/>
          <w:sz w:val="22"/>
          <w:szCs w:val="22"/>
        </w:rPr>
        <w:t xml:space="preserve">Koopman, S. (2016) ‘Beware: Your research may be weaponized’, </w:t>
      </w:r>
      <w:r>
        <w:rPr>
          <w:i/>
          <w:iCs/>
          <w:color w:val="000000"/>
          <w:sz w:val="22"/>
          <w:szCs w:val="22"/>
        </w:rPr>
        <w:t>Annals of the American Association of Geographers</w:t>
      </w:r>
      <w:r>
        <w:rPr>
          <w:color w:val="000000"/>
          <w:sz w:val="22"/>
          <w:szCs w:val="22"/>
        </w:rPr>
        <w:t xml:space="preserve">, [Online] </w:t>
      </w:r>
      <w:r>
        <w:rPr>
          <w:b/>
          <w:bCs/>
          <w:color w:val="000000"/>
          <w:sz w:val="22"/>
          <w:szCs w:val="22"/>
        </w:rPr>
        <w:t>106</w:t>
      </w:r>
      <w:r>
        <w:rPr>
          <w:color w:val="000000"/>
          <w:sz w:val="22"/>
          <w:szCs w:val="22"/>
        </w:rPr>
        <w:t>(3), pp. 530–535. [Acccessed: 6 March 2020] Available from: doi: 10.1080/24694452.2016.1145511.</w:t>
      </w:r>
    </w:p>
    <w:p w14:paraId="6A747580" w14:textId="77777777" w:rsidR="00FC2BD1" w:rsidRDefault="00FC2BD1" w:rsidP="00FC2BD1">
      <w:pPr>
        <w:pStyle w:val="NormalWeb"/>
        <w:spacing w:before="0" w:beforeAutospacing="0" w:after="160" w:afterAutospacing="0"/>
        <w:rPr>
          <w:color w:val="000000"/>
        </w:rPr>
      </w:pPr>
      <w:r>
        <w:rPr>
          <w:color w:val="000000"/>
          <w:sz w:val="22"/>
          <w:szCs w:val="22"/>
        </w:rPr>
        <w:t xml:space="preserve">Kosek, J. (2010) ‘Ecologies of empire: On the new uses of the Honeybee’, </w:t>
      </w:r>
      <w:r>
        <w:rPr>
          <w:i/>
          <w:iCs/>
          <w:color w:val="000000"/>
          <w:sz w:val="22"/>
          <w:szCs w:val="22"/>
        </w:rPr>
        <w:t>Cultural Anthropology</w:t>
      </w:r>
      <w:r>
        <w:rPr>
          <w:color w:val="000000"/>
          <w:sz w:val="22"/>
          <w:szCs w:val="22"/>
        </w:rPr>
        <w:t xml:space="preserve">, [Online] </w:t>
      </w:r>
      <w:r>
        <w:rPr>
          <w:b/>
          <w:bCs/>
          <w:color w:val="000000"/>
          <w:sz w:val="22"/>
          <w:szCs w:val="22"/>
        </w:rPr>
        <w:t>25</w:t>
      </w:r>
      <w:r>
        <w:rPr>
          <w:color w:val="000000"/>
          <w:sz w:val="22"/>
          <w:szCs w:val="22"/>
        </w:rPr>
        <w:t>(4), pp. 650–678. [Accessed: 7 November 2018] Available from: doi: 10.1111/j.1548-1360.2010.01073.x.</w:t>
      </w:r>
    </w:p>
    <w:p w14:paraId="10CCAA16" w14:textId="77777777" w:rsidR="00FC2BD1" w:rsidRDefault="00FC2BD1" w:rsidP="00FC2BD1">
      <w:pPr>
        <w:pStyle w:val="NormalWeb"/>
        <w:spacing w:before="0" w:beforeAutospacing="0" w:after="160" w:afterAutospacing="0"/>
        <w:jc w:val="both"/>
        <w:rPr>
          <w:color w:val="000000"/>
        </w:rPr>
      </w:pPr>
      <w:r>
        <w:rPr>
          <w:color w:val="000000"/>
          <w:sz w:val="22"/>
          <w:szCs w:val="22"/>
        </w:rPr>
        <w:t xml:space="preserve">Kubryakov, A. A. and Stanichny, S. V. (2015) ‘Seasonal and interannual variability of the Black Sea eddies and its dependence on characteristics of the large-scale circulation’, </w:t>
      </w:r>
      <w:r>
        <w:rPr>
          <w:i/>
          <w:iCs/>
          <w:color w:val="000000"/>
          <w:sz w:val="22"/>
          <w:szCs w:val="22"/>
        </w:rPr>
        <w:t>Deep-Sea Research Part I: Oceanographic Research Papers</w:t>
      </w:r>
      <w:r>
        <w:rPr>
          <w:color w:val="000000"/>
          <w:sz w:val="22"/>
          <w:szCs w:val="22"/>
        </w:rPr>
        <w:t xml:space="preserve">. [Online] </w:t>
      </w:r>
      <w:r>
        <w:rPr>
          <w:b/>
          <w:bCs/>
          <w:color w:val="000000"/>
          <w:sz w:val="22"/>
          <w:szCs w:val="22"/>
        </w:rPr>
        <w:t>97</w:t>
      </w:r>
      <w:r>
        <w:rPr>
          <w:color w:val="000000"/>
          <w:sz w:val="22"/>
          <w:szCs w:val="22"/>
        </w:rPr>
        <w:t>, pp. 80–91. [Accessed: 02 June 2020]  Available from: doi: 10.1016/j.dsr.2014.12.002.</w:t>
      </w:r>
    </w:p>
    <w:p w14:paraId="16A5C7C4" w14:textId="77777777" w:rsidR="00FC2BD1" w:rsidRDefault="00FC2BD1" w:rsidP="00FC2BD1">
      <w:pPr>
        <w:pStyle w:val="NormalWeb"/>
        <w:spacing w:before="0" w:beforeAutospacing="0" w:after="160" w:afterAutospacing="0"/>
        <w:rPr>
          <w:color w:val="000000"/>
        </w:rPr>
      </w:pPr>
      <w:r>
        <w:rPr>
          <w:color w:val="000000"/>
          <w:sz w:val="22"/>
          <w:szCs w:val="22"/>
        </w:rPr>
        <w:t>Lappe-Osthege, T. (forthcoming) ‘Questioning framing of illegal wildlife trade in Europe: an examination of the illegal bird trade in the Western Balkans’. Sheffield: University of Sheffield [Unpublished Item]</w:t>
      </w:r>
    </w:p>
    <w:p w14:paraId="70ED5F66" w14:textId="77777777" w:rsidR="00FC2BD1" w:rsidRDefault="00FC2BD1" w:rsidP="00FC2BD1">
      <w:pPr>
        <w:pStyle w:val="NormalWeb"/>
        <w:spacing w:before="0" w:beforeAutospacing="0" w:after="160" w:afterAutospacing="0"/>
        <w:rPr>
          <w:color w:val="000000"/>
        </w:rPr>
      </w:pPr>
      <w:r>
        <w:rPr>
          <w:color w:val="000000"/>
          <w:sz w:val="22"/>
          <w:szCs w:val="22"/>
        </w:rPr>
        <w:t xml:space="preserve">Law, J. (2004) </w:t>
      </w:r>
      <w:r>
        <w:rPr>
          <w:i/>
          <w:iCs/>
          <w:color w:val="000000"/>
          <w:sz w:val="22"/>
          <w:szCs w:val="22"/>
        </w:rPr>
        <w:t>After Method : mess in social science research</w:t>
      </w:r>
      <w:r>
        <w:rPr>
          <w:color w:val="000000"/>
          <w:sz w:val="22"/>
          <w:szCs w:val="22"/>
        </w:rPr>
        <w:t>. London: Routledge</w:t>
      </w:r>
    </w:p>
    <w:p w14:paraId="5D71CAE8" w14:textId="77777777" w:rsidR="00FC2BD1" w:rsidRDefault="00FC2BD1" w:rsidP="00FC2BD1">
      <w:pPr>
        <w:pStyle w:val="NormalWeb"/>
        <w:spacing w:before="0" w:beforeAutospacing="0" w:after="160" w:afterAutospacing="0"/>
        <w:rPr>
          <w:color w:val="000000"/>
        </w:rPr>
      </w:pPr>
      <w:r>
        <w:rPr>
          <w:color w:val="000000"/>
          <w:sz w:val="22"/>
          <w:szCs w:val="22"/>
        </w:rPr>
        <w:t xml:space="preserve">Le Billon, P. (2001) ‘The Political Ecology of War: Natural Resources and Armed Conflicts’, </w:t>
      </w:r>
      <w:r>
        <w:rPr>
          <w:i/>
          <w:iCs/>
          <w:color w:val="000000"/>
          <w:sz w:val="22"/>
          <w:szCs w:val="22"/>
        </w:rPr>
        <w:t>Political Geography</w:t>
      </w:r>
      <w:r>
        <w:rPr>
          <w:color w:val="000000"/>
          <w:sz w:val="22"/>
          <w:szCs w:val="22"/>
        </w:rPr>
        <w:t xml:space="preserve">, </w:t>
      </w:r>
      <w:r>
        <w:rPr>
          <w:b/>
          <w:bCs/>
          <w:color w:val="000000"/>
          <w:sz w:val="22"/>
          <w:szCs w:val="22"/>
        </w:rPr>
        <w:t>20</w:t>
      </w:r>
      <w:r>
        <w:rPr>
          <w:color w:val="000000"/>
          <w:sz w:val="22"/>
          <w:szCs w:val="22"/>
        </w:rPr>
        <w:t>(5), pp. 561–584.</w:t>
      </w:r>
    </w:p>
    <w:p w14:paraId="7182140C" w14:textId="77777777" w:rsidR="00FC2BD1" w:rsidRDefault="00FC2BD1" w:rsidP="00FC2BD1">
      <w:pPr>
        <w:pStyle w:val="NormalWeb"/>
        <w:spacing w:before="0" w:beforeAutospacing="0" w:after="160" w:afterAutospacing="0"/>
        <w:rPr>
          <w:color w:val="000000"/>
        </w:rPr>
      </w:pPr>
      <w:r>
        <w:rPr>
          <w:color w:val="000000"/>
          <w:sz w:val="22"/>
          <w:szCs w:val="22"/>
        </w:rPr>
        <w:t xml:space="preserve">Le Billon, P. (2004) ‘The geopolitical economy of “resource wars”’, </w:t>
      </w:r>
      <w:r>
        <w:rPr>
          <w:i/>
          <w:iCs/>
          <w:color w:val="000000"/>
          <w:sz w:val="22"/>
          <w:szCs w:val="22"/>
        </w:rPr>
        <w:t>Geopolitics</w:t>
      </w:r>
      <w:r>
        <w:rPr>
          <w:color w:val="000000"/>
          <w:sz w:val="22"/>
          <w:szCs w:val="22"/>
        </w:rPr>
        <w:t xml:space="preserve">. [Online] </w:t>
      </w:r>
      <w:r>
        <w:rPr>
          <w:b/>
          <w:bCs/>
          <w:color w:val="000000"/>
          <w:sz w:val="22"/>
          <w:szCs w:val="22"/>
        </w:rPr>
        <w:t>9</w:t>
      </w:r>
      <w:r>
        <w:rPr>
          <w:color w:val="000000"/>
          <w:sz w:val="22"/>
          <w:szCs w:val="22"/>
        </w:rPr>
        <w:t>(1), pp. 1–28. [Accessed: 26 May 2020] Available from: doi: 10.1080/14650040412331307812.</w:t>
      </w:r>
    </w:p>
    <w:p w14:paraId="26481489" w14:textId="77777777" w:rsidR="00FC2BD1" w:rsidRDefault="00FC2BD1" w:rsidP="00FC2BD1">
      <w:pPr>
        <w:pStyle w:val="NormalWeb"/>
        <w:spacing w:before="0" w:beforeAutospacing="0" w:after="160" w:afterAutospacing="0"/>
        <w:rPr>
          <w:color w:val="000000"/>
        </w:rPr>
      </w:pPr>
      <w:r>
        <w:rPr>
          <w:color w:val="000000"/>
          <w:sz w:val="22"/>
          <w:szCs w:val="22"/>
        </w:rPr>
        <w:t xml:space="preserve">Le Billon, P. (2008) ‘Diamond wars? Conflict diamonds and geographies of resource wars’, </w:t>
      </w:r>
      <w:r>
        <w:rPr>
          <w:i/>
          <w:iCs/>
          <w:color w:val="000000"/>
          <w:sz w:val="22"/>
          <w:szCs w:val="22"/>
        </w:rPr>
        <w:t>Annals of the Association of American Geographers</w:t>
      </w:r>
      <w:r>
        <w:rPr>
          <w:color w:val="000000"/>
          <w:sz w:val="22"/>
          <w:szCs w:val="22"/>
        </w:rPr>
        <w:t xml:space="preserve">. [Accessed: 26 May 2020] </w:t>
      </w:r>
      <w:r>
        <w:rPr>
          <w:b/>
          <w:bCs/>
          <w:color w:val="000000"/>
          <w:sz w:val="22"/>
          <w:szCs w:val="22"/>
        </w:rPr>
        <w:t>98</w:t>
      </w:r>
      <w:r>
        <w:rPr>
          <w:color w:val="000000"/>
          <w:sz w:val="22"/>
          <w:szCs w:val="22"/>
        </w:rPr>
        <w:t>(2), pp. 345–372. Available from: doi: 10.1080/00045600801922422.</w:t>
      </w:r>
    </w:p>
    <w:p w14:paraId="36488F22" w14:textId="77777777" w:rsidR="00FC2BD1" w:rsidRDefault="00FC2BD1" w:rsidP="00FC2BD1">
      <w:pPr>
        <w:pStyle w:val="NormalWeb"/>
        <w:spacing w:before="0" w:beforeAutospacing="0" w:after="160" w:afterAutospacing="0"/>
        <w:rPr>
          <w:color w:val="000000"/>
        </w:rPr>
      </w:pPr>
      <w:r>
        <w:rPr>
          <w:color w:val="000000"/>
          <w:sz w:val="22"/>
          <w:szCs w:val="22"/>
        </w:rPr>
        <w:t xml:space="preserve">Le Billon, P. (2014) </w:t>
      </w:r>
      <w:r>
        <w:rPr>
          <w:i/>
          <w:iCs/>
          <w:color w:val="000000"/>
          <w:sz w:val="22"/>
          <w:szCs w:val="22"/>
        </w:rPr>
        <w:t>Wars of Plunder: Conflicts, Profits and the Politics of Resources</w:t>
      </w:r>
      <w:r>
        <w:rPr>
          <w:color w:val="000000"/>
          <w:sz w:val="22"/>
          <w:szCs w:val="22"/>
        </w:rPr>
        <w:t>. New York: Columbia University Press.</w:t>
      </w:r>
    </w:p>
    <w:p w14:paraId="18A7CA25" w14:textId="77777777" w:rsidR="00FC2BD1" w:rsidRDefault="00FC2BD1" w:rsidP="00FC2BD1">
      <w:pPr>
        <w:pStyle w:val="NormalWeb"/>
        <w:spacing w:before="0" w:beforeAutospacing="0" w:after="160" w:afterAutospacing="0"/>
        <w:rPr>
          <w:color w:val="000000"/>
        </w:rPr>
      </w:pPr>
      <w:r>
        <w:rPr>
          <w:color w:val="000000"/>
          <w:sz w:val="22"/>
          <w:szCs w:val="22"/>
        </w:rPr>
        <w:lastRenderedPageBreak/>
        <w:t xml:space="preserve">Le Billon, P. and Shykora, L. (2020) ‘Conflicts, commodities and the environmental geopolitics of supply chains’. In. O’Lear, (ed.)  </w:t>
      </w:r>
      <w:r>
        <w:rPr>
          <w:i/>
          <w:iCs/>
          <w:color w:val="000000"/>
          <w:sz w:val="22"/>
          <w:szCs w:val="22"/>
        </w:rPr>
        <w:t>A Research Agenda for Environmental Geopolitics</w:t>
      </w:r>
      <w:r>
        <w:rPr>
          <w:color w:val="000000"/>
          <w:sz w:val="22"/>
          <w:szCs w:val="22"/>
        </w:rPr>
        <w:t>. Cheltenham: Edward Elgar Publishing.  pp. 59–73.</w:t>
      </w:r>
    </w:p>
    <w:p w14:paraId="7802A928" w14:textId="77777777" w:rsidR="00FC2BD1" w:rsidRDefault="00FC2BD1" w:rsidP="00FC2BD1">
      <w:pPr>
        <w:pStyle w:val="NormalWeb"/>
        <w:spacing w:before="0" w:beforeAutospacing="0" w:after="160" w:afterAutospacing="0"/>
        <w:rPr>
          <w:color w:val="000000"/>
        </w:rPr>
      </w:pPr>
      <w:r>
        <w:rPr>
          <w:color w:val="000000"/>
          <w:sz w:val="22"/>
          <w:szCs w:val="22"/>
        </w:rPr>
        <w:t xml:space="preserve">Lepawsky, J. and Mather, C. (2011) ‘From beginnings and endings to boundaries and edges: Rethinking circulation and exchange through electronic waste’, </w:t>
      </w:r>
      <w:r>
        <w:rPr>
          <w:i/>
          <w:iCs/>
          <w:color w:val="000000"/>
          <w:sz w:val="22"/>
          <w:szCs w:val="22"/>
        </w:rPr>
        <w:t>Area</w:t>
      </w:r>
      <w:r>
        <w:rPr>
          <w:color w:val="000000"/>
          <w:sz w:val="22"/>
          <w:szCs w:val="22"/>
        </w:rPr>
        <w:t xml:space="preserve">, [Online] </w:t>
      </w:r>
      <w:r>
        <w:rPr>
          <w:b/>
          <w:bCs/>
          <w:color w:val="000000"/>
          <w:sz w:val="22"/>
          <w:szCs w:val="22"/>
        </w:rPr>
        <w:t>43</w:t>
      </w:r>
      <w:r>
        <w:rPr>
          <w:color w:val="000000"/>
          <w:sz w:val="22"/>
          <w:szCs w:val="22"/>
        </w:rPr>
        <w:t>(3), pp. 242–249. [Accessed: 20 December 2019] Available from: doi: 10.1111/j.1475-4762.2011.01018.x.</w:t>
      </w:r>
    </w:p>
    <w:p w14:paraId="19205AD2" w14:textId="77777777" w:rsidR="00FC2BD1" w:rsidRDefault="00FC2BD1" w:rsidP="00FC2BD1">
      <w:pPr>
        <w:pStyle w:val="NormalWeb"/>
        <w:spacing w:before="0" w:beforeAutospacing="0" w:after="160" w:afterAutospacing="0"/>
        <w:rPr>
          <w:color w:val="000000"/>
        </w:rPr>
      </w:pPr>
      <w:r>
        <w:rPr>
          <w:color w:val="000000"/>
          <w:sz w:val="22"/>
          <w:szCs w:val="22"/>
        </w:rPr>
        <w:t>Li, W., Zhu, B. and Li, C. C. (2019) ‘Diet of farm</w:t>
      </w:r>
      <w:r>
        <w:rPr>
          <w:rFonts w:ascii="American Typewriter" w:hAnsi="American Typewriter" w:cs="American Typewriter"/>
          <w:color w:val="000000"/>
          <w:sz w:val="22"/>
          <w:szCs w:val="22"/>
        </w:rPr>
        <w:t>‐</w:t>
      </w:r>
      <w:r>
        <w:rPr>
          <w:color w:val="000000"/>
          <w:sz w:val="22"/>
          <w:szCs w:val="22"/>
        </w:rPr>
        <w:t xml:space="preserve">escaped sturgeon in the Yangtze River’, </w:t>
      </w:r>
      <w:r>
        <w:rPr>
          <w:i/>
          <w:iCs/>
          <w:color w:val="000000"/>
          <w:sz w:val="22"/>
          <w:szCs w:val="22"/>
        </w:rPr>
        <w:t>Journal of Applied Ichthyology</w:t>
      </w:r>
      <w:r>
        <w:rPr>
          <w:color w:val="000000"/>
          <w:sz w:val="22"/>
          <w:szCs w:val="22"/>
        </w:rPr>
        <w:t xml:space="preserve">. [Online] </w:t>
      </w:r>
      <w:r>
        <w:rPr>
          <w:b/>
          <w:bCs/>
          <w:color w:val="000000"/>
          <w:sz w:val="22"/>
          <w:szCs w:val="22"/>
        </w:rPr>
        <w:t>35</w:t>
      </w:r>
      <w:r>
        <w:rPr>
          <w:color w:val="000000"/>
          <w:sz w:val="22"/>
          <w:szCs w:val="22"/>
        </w:rPr>
        <w:t xml:space="preserve"> (4), pp.831-834  [Accessed: 11 June 2019] Available from: doi: 10.1111/jai.13924.</w:t>
      </w:r>
    </w:p>
    <w:p w14:paraId="0948E45D" w14:textId="77777777" w:rsidR="00FC2BD1" w:rsidRDefault="00FC2BD1" w:rsidP="00FC2BD1">
      <w:pPr>
        <w:pStyle w:val="NormalWeb"/>
        <w:spacing w:before="0" w:beforeAutospacing="0" w:after="160" w:afterAutospacing="0"/>
        <w:jc w:val="both"/>
        <w:rPr>
          <w:color w:val="000000"/>
        </w:rPr>
      </w:pPr>
      <w:r>
        <w:rPr>
          <w:color w:val="000000"/>
          <w:sz w:val="22"/>
          <w:szCs w:val="22"/>
        </w:rPr>
        <w:t xml:space="preserve">Longhurst, R. (2010) ‘Semi-structured Interviews and Focus Groups’,  in Clifford, N., French, S., &amp; Valentine, G. (eds.) </w:t>
      </w:r>
      <w:r>
        <w:rPr>
          <w:i/>
          <w:iCs/>
          <w:color w:val="000000"/>
          <w:sz w:val="22"/>
          <w:szCs w:val="22"/>
        </w:rPr>
        <w:t>Key Methods in Geography</w:t>
      </w:r>
      <w:r>
        <w:rPr>
          <w:color w:val="000000"/>
          <w:sz w:val="22"/>
          <w:szCs w:val="22"/>
        </w:rPr>
        <w:t>.  2nd edition. London:SAGE Publications Ltd. pp. 103-115. </w:t>
      </w:r>
    </w:p>
    <w:p w14:paraId="4C6D6E7E" w14:textId="0F9548DA" w:rsidR="00FC2BD1" w:rsidRDefault="00FC2BD1" w:rsidP="00FC2BD1">
      <w:pPr>
        <w:pStyle w:val="NormalWeb"/>
        <w:spacing w:before="0" w:beforeAutospacing="0" w:after="160" w:afterAutospacing="0"/>
        <w:rPr>
          <w:color w:val="000000"/>
        </w:rPr>
      </w:pPr>
      <w:r>
        <w:rPr>
          <w:color w:val="000000"/>
          <w:sz w:val="22"/>
          <w:szCs w:val="22"/>
        </w:rPr>
        <w:t xml:space="preserve">Lorimer, J. (2016) ‘Gut buddies: Multispecies studies and the microbiome’, </w:t>
      </w:r>
      <w:r>
        <w:rPr>
          <w:i/>
          <w:iCs/>
          <w:color w:val="000000"/>
          <w:sz w:val="22"/>
          <w:szCs w:val="22"/>
        </w:rPr>
        <w:t>Environmental Humanities,</w:t>
      </w:r>
      <w:r>
        <w:rPr>
          <w:color w:val="000000"/>
          <w:sz w:val="22"/>
          <w:szCs w:val="22"/>
        </w:rPr>
        <w:t xml:space="preserve"> [Online]  </w:t>
      </w:r>
      <w:r>
        <w:rPr>
          <w:b/>
          <w:bCs/>
          <w:color w:val="000000"/>
          <w:sz w:val="22"/>
          <w:szCs w:val="22"/>
        </w:rPr>
        <w:t>8</w:t>
      </w:r>
      <w:r>
        <w:rPr>
          <w:color w:val="000000"/>
          <w:sz w:val="22"/>
          <w:szCs w:val="22"/>
        </w:rPr>
        <w:t xml:space="preserve">(1), pp. 57-76 [Accessed: 29 November 2018], Available from: doi: </w:t>
      </w:r>
      <w:r w:rsidRPr="000D36A4">
        <w:rPr>
          <w:sz w:val="22"/>
          <w:szCs w:val="22"/>
        </w:rPr>
        <w:t>10.1215/22011919-3527722</w:t>
      </w:r>
      <w:r>
        <w:rPr>
          <w:color w:val="000000"/>
          <w:sz w:val="22"/>
          <w:szCs w:val="22"/>
        </w:rPr>
        <w:t> </w:t>
      </w:r>
    </w:p>
    <w:p w14:paraId="1D34C625" w14:textId="77777777" w:rsidR="00FC2BD1" w:rsidRDefault="00FC2BD1" w:rsidP="00FC2BD1">
      <w:pPr>
        <w:pStyle w:val="NormalWeb"/>
        <w:spacing w:before="0" w:beforeAutospacing="0" w:after="160" w:afterAutospacing="0"/>
        <w:rPr>
          <w:color w:val="000000"/>
        </w:rPr>
      </w:pPr>
      <w:r>
        <w:rPr>
          <w:color w:val="000000"/>
          <w:sz w:val="22"/>
          <w:szCs w:val="22"/>
        </w:rPr>
        <w:t xml:space="preserve">Luca, A. M., Holdis, D., Balan, M. &amp; </w:t>
      </w:r>
      <w:hyperlink r:id="rId40" w:history="1">
        <w:r>
          <w:rPr>
            <w:rStyle w:val="Hyperlink"/>
            <w:color w:val="000000"/>
            <w:sz w:val="21"/>
            <w:szCs w:val="21"/>
          </w:rPr>
          <w:t>Gascón Barberá</w:t>
        </w:r>
      </w:hyperlink>
      <w:r>
        <w:rPr>
          <w:color w:val="000000"/>
          <w:sz w:val="22"/>
          <w:szCs w:val="22"/>
        </w:rPr>
        <w:t xml:space="preserve">, M.  (2020) ‘Decimated Danube: Sturgeon Revival Efforts Neglect Roots of Poaching’, </w:t>
      </w:r>
      <w:r>
        <w:rPr>
          <w:i/>
          <w:iCs/>
          <w:color w:val="000000"/>
          <w:sz w:val="22"/>
          <w:szCs w:val="22"/>
        </w:rPr>
        <w:t>Balkan Insight</w:t>
      </w:r>
      <w:r>
        <w:rPr>
          <w:color w:val="000000"/>
          <w:sz w:val="22"/>
          <w:szCs w:val="22"/>
        </w:rPr>
        <w:t>. [Online] 20 May 2020. [Accessed: 28 May 2020] Available at: https://balkaninsight.com/2020/05/20/decimated-danube-sturgeon-revival-efforts-neglect-roots-of-poaching/.</w:t>
      </w:r>
    </w:p>
    <w:p w14:paraId="0CA24246" w14:textId="77777777" w:rsidR="00FC2BD1" w:rsidRDefault="00FC2BD1" w:rsidP="00FC2BD1">
      <w:pPr>
        <w:pStyle w:val="NormalWeb"/>
        <w:spacing w:before="0" w:beforeAutospacing="0" w:after="160" w:afterAutospacing="0"/>
        <w:rPr>
          <w:color w:val="000000"/>
        </w:rPr>
      </w:pPr>
      <w:r>
        <w:rPr>
          <w:color w:val="000000"/>
          <w:sz w:val="22"/>
          <w:szCs w:val="22"/>
        </w:rPr>
        <w:t xml:space="preserve">Ludwig, A., Lippold, S., Debus, L., &amp; Reinartz, R. (2009) ‘First evidence of hybridization between endangered sterlets (Acipenser ruthenus) and exotic Siberian sturgeons (Acipenser baerii) in the Danube River’, </w:t>
      </w:r>
      <w:r>
        <w:rPr>
          <w:i/>
          <w:iCs/>
          <w:color w:val="000000"/>
          <w:sz w:val="22"/>
          <w:szCs w:val="22"/>
        </w:rPr>
        <w:t>Biological Invasions</w:t>
      </w:r>
      <w:r>
        <w:rPr>
          <w:color w:val="000000"/>
          <w:sz w:val="22"/>
          <w:szCs w:val="22"/>
        </w:rPr>
        <w:t xml:space="preserve">, [Online] </w:t>
      </w:r>
      <w:r>
        <w:rPr>
          <w:b/>
          <w:bCs/>
          <w:color w:val="000000"/>
          <w:sz w:val="22"/>
          <w:szCs w:val="22"/>
        </w:rPr>
        <w:t>11</w:t>
      </w:r>
      <w:r>
        <w:rPr>
          <w:color w:val="000000"/>
          <w:sz w:val="22"/>
          <w:szCs w:val="22"/>
        </w:rPr>
        <w:t>(3), pp. 753–760. [Accessed: 05 June 2019]  Available from: doi: 10.1007/s10530-008-9289-z.</w:t>
      </w:r>
    </w:p>
    <w:p w14:paraId="47D5402F" w14:textId="77777777" w:rsidR="00FC2BD1" w:rsidRDefault="00FC2BD1" w:rsidP="00FC2BD1">
      <w:pPr>
        <w:pStyle w:val="NormalWeb"/>
        <w:spacing w:before="0" w:beforeAutospacing="0" w:after="160" w:afterAutospacing="0"/>
        <w:rPr>
          <w:color w:val="000000"/>
        </w:rPr>
      </w:pPr>
      <w:r>
        <w:rPr>
          <w:color w:val="000000"/>
          <w:sz w:val="22"/>
          <w:szCs w:val="22"/>
        </w:rPr>
        <w:t xml:space="preserve">Lunstrum, E. (2014) ‘Green Militarization: Anti-Poaching Efforts and the Spatial Contours of Kruger National Park’, </w:t>
      </w:r>
      <w:r>
        <w:rPr>
          <w:i/>
          <w:iCs/>
          <w:color w:val="000000"/>
          <w:sz w:val="22"/>
          <w:szCs w:val="22"/>
        </w:rPr>
        <w:t>Annals of the Association of American Geographers</w:t>
      </w:r>
      <w:r>
        <w:rPr>
          <w:color w:val="000000"/>
          <w:sz w:val="22"/>
          <w:szCs w:val="22"/>
        </w:rPr>
        <w:t xml:space="preserve">, [Online] </w:t>
      </w:r>
      <w:r>
        <w:rPr>
          <w:b/>
          <w:bCs/>
          <w:color w:val="000000"/>
          <w:sz w:val="22"/>
          <w:szCs w:val="22"/>
        </w:rPr>
        <w:t>104</w:t>
      </w:r>
      <w:r>
        <w:rPr>
          <w:color w:val="000000"/>
          <w:sz w:val="22"/>
          <w:szCs w:val="22"/>
        </w:rPr>
        <w:t>(4), pp. 816–832. [Accessed: 27 May 2020] Available from: doi: 10.1080/00045608.2014.912545.</w:t>
      </w:r>
    </w:p>
    <w:p w14:paraId="5B0C3339" w14:textId="77777777" w:rsidR="00FC2BD1" w:rsidRDefault="00FC2BD1" w:rsidP="00FC2BD1">
      <w:pPr>
        <w:pStyle w:val="NormalWeb"/>
        <w:spacing w:before="0" w:beforeAutospacing="0" w:after="160" w:afterAutospacing="0"/>
        <w:rPr>
          <w:color w:val="000000"/>
        </w:rPr>
      </w:pPr>
      <w:r>
        <w:rPr>
          <w:color w:val="000000"/>
          <w:sz w:val="22"/>
          <w:szCs w:val="22"/>
        </w:rPr>
        <w:t xml:space="preserve">Lunstrum, E. (2015) ‘Conservation Meets Militarisation in Kruger National Park: Historical Encounters and Complex Legacies’, </w:t>
      </w:r>
      <w:r>
        <w:rPr>
          <w:i/>
          <w:iCs/>
          <w:color w:val="000000"/>
          <w:sz w:val="22"/>
          <w:szCs w:val="22"/>
        </w:rPr>
        <w:t>Conservation and Society</w:t>
      </w:r>
      <w:r>
        <w:rPr>
          <w:color w:val="000000"/>
          <w:sz w:val="22"/>
          <w:szCs w:val="22"/>
        </w:rPr>
        <w:t xml:space="preserve">,  [Online] </w:t>
      </w:r>
      <w:r>
        <w:rPr>
          <w:b/>
          <w:bCs/>
          <w:color w:val="000000"/>
          <w:sz w:val="22"/>
          <w:szCs w:val="22"/>
        </w:rPr>
        <w:t>13</w:t>
      </w:r>
      <w:r>
        <w:rPr>
          <w:color w:val="000000"/>
          <w:sz w:val="22"/>
          <w:szCs w:val="22"/>
        </w:rPr>
        <w:t>(4), pp. 356–369. [Accessed: 27 May 2020] Available from: doi: 10.4103/0972-4923.179885.</w:t>
      </w:r>
    </w:p>
    <w:p w14:paraId="7E15FDFA" w14:textId="77777777" w:rsidR="00FC2BD1" w:rsidRDefault="00FC2BD1" w:rsidP="00FC2BD1">
      <w:pPr>
        <w:pStyle w:val="NormalWeb"/>
        <w:spacing w:before="0" w:beforeAutospacing="0" w:after="160" w:afterAutospacing="0"/>
        <w:rPr>
          <w:color w:val="000000"/>
        </w:rPr>
      </w:pPr>
      <w:r>
        <w:rPr>
          <w:color w:val="000000"/>
          <w:sz w:val="22"/>
          <w:szCs w:val="22"/>
        </w:rPr>
        <w:t xml:space="preserve">Lunstrum, E. (2018) ‘Capitalism, Wealth, and Conservation in the Age of Security: The Vitalization of the State’, </w:t>
      </w:r>
      <w:r>
        <w:rPr>
          <w:i/>
          <w:iCs/>
          <w:color w:val="000000"/>
          <w:sz w:val="22"/>
          <w:szCs w:val="22"/>
        </w:rPr>
        <w:t>Annals of the American Association of Geographers</w:t>
      </w:r>
      <w:r>
        <w:rPr>
          <w:color w:val="000000"/>
          <w:sz w:val="22"/>
          <w:szCs w:val="22"/>
        </w:rPr>
        <w:t xml:space="preserve">, [Online] </w:t>
      </w:r>
      <w:r>
        <w:rPr>
          <w:b/>
          <w:bCs/>
          <w:color w:val="000000"/>
          <w:sz w:val="22"/>
          <w:szCs w:val="22"/>
        </w:rPr>
        <w:t>108</w:t>
      </w:r>
      <w:r>
        <w:rPr>
          <w:color w:val="000000"/>
          <w:sz w:val="22"/>
          <w:szCs w:val="22"/>
        </w:rPr>
        <w:t>(4), pp. 1022–1037. [Accessed: 24 January 2019] Available from: doi: 10.1080/24694452.2017.1407629.</w:t>
      </w:r>
    </w:p>
    <w:p w14:paraId="2CBD4BB8" w14:textId="77777777" w:rsidR="00FC2BD1" w:rsidRDefault="00FC2BD1" w:rsidP="00FC2BD1">
      <w:pPr>
        <w:pStyle w:val="NormalWeb"/>
        <w:spacing w:before="0" w:beforeAutospacing="0" w:after="160" w:afterAutospacing="0"/>
        <w:rPr>
          <w:color w:val="000000"/>
        </w:rPr>
      </w:pPr>
      <w:r>
        <w:rPr>
          <w:color w:val="000000"/>
          <w:sz w:val="22"/>
          <w:szCs w:val="22"/>
        </w:rPr>
        <w:t xml:space="preserve">Mackenzie, S. and Davis, T. (2014) ‘Temple Looting in Cambodia’, </w:t>
      </w:r>
      <w:r>
        <w:rPr>
          <w:i/>
          <w:iCs/>
          <w:color w:val="000000"/>
          <w:sz w:val="22"/>
          <w:szCs w:val="22"/>
        </w:rPr>
        <w:t>British Journal of Criminology</w:t>
      </w:r>
      <w:r>
        <w:rPr>
          <w:color w:val="000000"/>
          <w:sz w:val="22"/>
          <w:szCs w:val="22"/>
        </w:rPr>
        <w:t xml:space="preserve">. [Online] </w:t>
      </w:r>
      <w:r>
        <w:rPr>
          <w:b/>
          <w:bCs/>
          <w:color w:val="000000"/>
          <w:sz w:val="22"/>
          <w:szCs w:val="22"/>
        </w:rPr>
        <w:t>54</w:t>
      </w:r>
      <w:r>
        <w:rPr>
          <w:color w:val="000000"/>
          <w:sz w:val="22"/>
          <w:szCs w:val="22"/>
        </w:rPr>
        <w:t>(5), pp. 722–740. [Accessed: 29 July 2019] Available from: doi: 10.1093/bjc/azu038.</w:t>
      </w:r>
    </w:p>
    <w:p w14:paraId="750E9AE5" w14:textId="77777777" w:rsidR="00FC2BD1" w:rsidRDefault="00FC2BD1" w:rsidP="00FC2BD1">
      <w:pPr>
        <w:pStyle w:val="NormalWeb"/>
        <w:spacing w:before="0" w:beforeAutospacing="0" w:after="160" w:afterAutospacing="0"/>
        <w:rPr>
          <w:color w:val="000000"/>
        </w:rPr>
      </w:pPr>
      <w:r>
        <w:rPr>
          <w:color w:val="000000"/>
          <w:sz w:val="22"/>
          <w:szCs w:val="22"/>
        </w:rPr>
        <w:t xml:space="preserve">Mackenzie, S. and Yates, D. (2017) ‘What Is Grey about the “Grey Market” in Antiquities?’, in Beckert, J. &amp; Dewey, M. (Eds.) </w:t>
      </w:r>
      <w:r>
        <w:rPr>
          <w:i/>
          <w:iCs/>
          <w:color w:val="000000"/>
          <w:sz w:val="22"/>
          <w:szCs w:val="22"/>
        </w:rPr>
        <w:t>The Architecture of Illegal Markets: Towards an Economic Sociology of Illegality in the Economy</w:t>
      </w:r>
      <w:r>
        <w:rPr>
          <w:color w:val="000000"/>
          <w:sz w:val="22"/>
          <w:szCs w:val="22"/>
        </w:rPr>
        <w:t>. Oxford: Oxford University Press Online. Available from: doi: 10.1093/oso/9780198794974.001.0001.  </w:t>
      </w:r>
    </w:p>
    <w:p w14:paraId="4C594737" w14:textId="77777777" w:rsidR="00FC2BD1" w:rsidRDefault="00FC2BD1" w:rsidP="00FC2BD1">
      <w:pPr>
        <w:pStyle w:val="NormalWeb"/>
        <w:spacing w:before="0" w:beforeAutospacing="0" w:after="160" w:afterAutospacing="0"/>
        <w:rPr>
          <w:color w:val="000000"/>
        </w:rPr>
      </w:pPr>
      <w:r>
        <w:rPr>
          <w:color w:val="000000"/>
          <w:sz w:val="22"/>
          <w:szCs w:val="22"/>
        </w:rPr>
        <w:t xml:space="preserve">Marcus, G. E. (1995) ‘Ethnography in/of the World System: The Emergence of Multi-Sited Ethnography’. </w:t>
      </w:r>
      <w:r>
        <w:rPr>
          <w:i/>
          <w:iCs/>
          <w:color w:val="000000"/>
          <w:sz w:val="22"/>
          <w:szCs w:val="22"/>
        </w:rPr>
        <w:t>Annual Review of Anthropology</w:t>
      </w:r>
      <w:r>
        <w:rPr>
          <w:color w:val="000000"/>
          <w:sz w:val="22"/>
          <w:szCs w:val="22"/>
        </w:rPr>
        <w:t>.</w:t>
      </w:r>
      <w:r>
        <w:rPr>
          <w:b/>
          <w:bCs/>
          <w:color w:val="000000"/>
          <w:sz w:val="22"/>
          <w:szCs w:val="22"/>
        </w:rPr>
        <w:t xml:space="preserve"> 24</w:t>
      </w:r>
      <w:r>
        <w:rPr>
          <w:color w:val="000000"/>
          <w:sz w:val="22"/>
          <w:szCs w:val="22"/>
        </w:rPr>
        <w:t>, pp. 95-117. </w:t>
      </w:r>
    </w:p>
    <w:p w14:paraId="180DE4EC" w14:textId="77777777" w:rsidR="00FC2BD1" w:rsidRDefault="00FC2BD1" w:rsidP="00FC2BD1">
      <w:pPr>
        <w:pStyle w:val="NormalWeb"/>
        <w:spacing w:before="0" w:beforeAutospacing="0" w:after="160" w:afterAutospacing="0"/>
        <w:rPr>
          <w:color w:val="000000"/>
        </w:rPr>
      </w:pPr>
      <w:r>
        <w:rPr>
          <w:color w:val="000000"/>
          <w:sz w:val="22"/>
          <w:szCs w:val="22"/>
        </w:rPr>
        <w:t xml:space="preserve">Margulies, J. D. and Bersaglio, B. (2018) ‘Furthering post-human political ecologies’, </w:t>
      </w:r>
      <w:r>
        <w:rPr>
          <w:i/>
          <w:iCs/>
          <w:color w:val="000000"/>
          <w:sz w:val="22"/>
          <w:szCs w:val="22"/>
        </w:rPr>
        <w:t>Geoforum</w:t>
      </w:r>
      <w:r>
        <w:rPr>
          <w:color w:val="000000"/>
          <w:sz w:val="22"/>
          <w:szCs w:val="22"/>
        </w:rPr>
        <w:t xml:space="preserve">. [Online] </w:t>
      </w:r>
      <w:r>
        <w:rPr>
          <w:b/>
          <w:bCs/>
          <w:color w:val="000000"/>
          <w:sz w:val="22"/>
          <w:szCs w:val="22"/>
        </w:rPr>
        <w:t>94</w:t>
      </w:r>
      <w:r>
        <w:rPr>
          <w:color w:val="000000"/>
          <w:sz w:val="22"/>
          <w:szCs w:val="22"/>
        </w:rPr>
        <w:t>, pp. 103–106. [Accessed: 6 November 2018] Available from:doi: 10.1016/j.geoforum.2018.03.017.</w:t>
      </w:r>
    </w:p>
    <w:p w14:paraId="6813E056" w14:textId="77777777" w:rsidR="00FC2BD1" w:rsidRDefault="00FC2BD1" w:rsidP="00FC2BD1">
      <w:pPr>
        <w:pStyle w:val="NormalWeb"/>
        <w:spacing w:before="0" w:beforeAutospacing="0" w:after="160" w:afterAutospacing="0"/>
        <w:rPr>
          <w:color w:val="000000"/>
        </w:rPr>
      </w:pPr>
      <w:r>
        <w:rPr>
          <w:color w:val="000000"/>
          <w:sz w:val="22"/>
          <w:szCs w:val="22"/>
        </w:rPr>
        <w:t xml:space="preserve">Margulies, J. D. and Karanth, K. K. (2018) ‘The production of human-wildlife conflict: A political animal geography of encounter’, </w:t>
      </w:r>
      <w:r>
        <w:rPr>
          <w:i/>
          <w:iCs/>
          <w:color w:val="000000"/>
          <w:sz w:val="22"/>
          <w:szCs w:val="22"/>
        </w:rPr>
        <w:t>Geoforum</w:t>
      </w:r>
      <w:r>
        <w:rPr>
          <w:color w:val="000000"/>
          <w:sz w:val="22"/>
          <w:szCs w:val="22"/>
        </w:rPr>
        <w:t xml:space="preserve">. [Online] </w:t>
      </w:r>
      <w:r>
        <w:rPr>
          <w:b/>
          <w:bCs/>
          <w:color w:val="000000"/>
          <w:sz w:val="22"/>
          <w:szCs w:val="22"/>
        </w:rPr>
        <w:t>95</w:t>
      </w:r>
      <w:r>
        <w:rPr>
          <w:color w:val="000000"/>
          <w:sz w:val="22"/>
          <w:szCs w:val="22"/>
        </w:rPr>
        <w:t>, pp. 153–164. [Accessed: 06 January 2020] Available from: doi: 10.1016/J.GEOFORUM.2018.06.011.</w:t>
      </w:r>
    </w:p>
    <w:p w14:paraId="5D9242B2" w14:textId="77777777" w:rsidR="00FC2BD1" w:rsidRDefault="00FC2BD1" w:rsidP="00FC2BD1">
      <w:pPr>
        <w:pStyle w:val="NormalWeb"/>
        <w:spacing w:before="0" w:beforeAutospacing="0" w:after="160" w:afterAutospacing="0"/>
        <w:rPr>
          <w:color w:val="000000"/>
        </w:rPr>
      </w:pPr>
      <w:r>
        <w:rPr>
          <w:color w:val="000000"/>
          <w:sz w:val="22"/>
          <w:szCs w:val="22"/>
        </w:rPr>
        <w:lastRenderedPageBreak/>
        <w:t xml:space="preserve">Marijnen, E. and Verweijen, J. (2016) ‘Selling green militarization: The discursive (re)production of militarized conservation in the Virunga National Park, Democratic Republic of the Congo’, </w:t>
      </w:r>
      <w:r>
        <w:rPr>
          <w:i/>
          <w:iCs/>
          <w:color w:val="000000"/>
          <w:sz w:val="22"/>
          <w:szCs w:val="22"/>
        </w:rPr>
        <w:t>Geoforum</w:t>
      </w:r>
      <w:r>
        <w:rPr>
          <w:color w:val="000000"/>
          <w:sz w:val="22"/>
          <w:szCs w:val="22"/>
        </w:rPr>
        <w:t xml:space="preserve">. [Online] </w:t>
      </w:r>
      <w:r>
        <w:rPr>
          <w:b/>
          <w:bCs/>
          <w:color w:val="000000"/>
          <w:sz w:val="22"/>
          <w:szCs w:val="22"/>
        </w:rPr>
        <w:t>75</w:t>
      </w:r>
      <w:r>
        <w:rPr>
          <w:color w:val="000000"/>
          <w:sz w:val="22"/>
          <w:szCs w:val="22"/>
        </w:rPr>
        <w:t>, pp. 274–285. [Accessed: 30 May 2020] Available from: doi: 10.1016/j.geoforum.2016.08.003.</w:t>
      </w:r>
    </w:p>
    <w:p w14:paraId="4F157F61" w14:textId="77777777" w:rsidR="00FC2BD1" w:rsidRDefault="00FC2BD1" w:rsidP="00FC2BD1">
      <w:pPr>
        <w:pStyle w:val="NormalWeb"/>
        <w:spacing w:before="0" w:beforeAutospacing="0" w:after="160" w:afterAutospacing="0"/>
        <w:rPr>
          <w:color w:val="000000"/>
        </w:rPr>
      </w:pPr>
      <w:r>
        <w:rPr>
          <w:color w:val="000000"/>
          <w:sz w:val="22"/>
          <w:szCs w:val="22"/>
        </w:rPr>
        <w:t xml:space="preserve">Massaro, V. A. and Williams, J. (2013) ‘Feminist geopolitics’, </w:t>
      </w:r>
      <w:r>
        <w:rPr>
          <w:i/>
          <w:iCs/>
          <w:color w:val="000000"/>
          <w:sz w:val="22"/>
          <w:szCs w:val="22"/>
        </w:rPr>
        <w:t>Geography Compass</w:t>
      </w:r>
      <w:r>
        <w:rPr>
          <w:color w:val="000000"/>
          <w:sz w:val="22"/>
          <w:szCs w:val="22"/>
        </w:rPr>
        <w:t xml:space="preserve">, [Online] </w:t>
      </w:r>
      <w:r>
        <w:rPr>
          <w:b/>
          <w:bCs/>
          <w:color w:val="000000"/>
          <w:sz w:val="22"/>
          <w:szCs w:val="22"/>
        </w:rPr>
        <w:t>7</w:t>
      </w:r>
      <w:r>
        <w:rPr>
          <w:color w:val="000000"/>
          <w:sz w:val="22"/>
          <w:szCs w:val="22"/>
        </w:rPr>
        <w:t>(8), pp. 567–577. [Accessed: 6 April 2020] Available from:doi: 10.1111/gec3.12054.</w:t>
      </w:r>
    </w:p>
    <w:p w14:paraId="06C4887B" w14:textId="77777777" w:rsidR="00FC2BD1" w:rsidRDefault="00FC2BD1" w:rsidP="00FC2BD1">
      <w:pPr>
        <w:pStyle w:val="NormalWeb"/>
        <w:spacing w:before="0" w:beforeAutospacing="0" w:after="160" w:afterAutospacing="0"/>
        <w:rPr>
          <w:color w:val="000000"/>
        </w:rPr>
      </w:pPr>
      <w:r>
        <w:rPr>
          <w:color w:val="000000"/>
          <w:sz w:val="22"/>
          <w:szCs w:val="22"/>
        </w:rPr>
        <w:t xml:space="preserve">Massé, F., Dickinson, H., Margulies, J., Joanny, L., Lappe-Osthege, T., &amp; Duffy, R. (2020) ‘Conservation and crime convergence? Situating the 2018 London Illegal Wildlife Trade Conference’, </w:t>
      </w:r>
      <w:r>
        <w:rPr>
          <w:i/>
          <w:iCs/>
          <w:color w:val="000000"/>
          <w:sz w:val="22"/>
          <w:szCs w:val="22"/>
        </w:rPr>
        <w:t>Journal of Political Ecology</w:t>
      </w:r>
      <w:r>
        <w:rPr>
          <w:color w:val="000000"/>
          <w:sz w:val="22"/>
          <w:szCs w:val="22"/>
        </w:rPr>
        <w:t xml:space="preserve">, [Online] </w:t>
      </w:r>
      <w:r>
        <w:rPr>
          <w:b/>
          <w:bCs/>
          <w:color w:val="000000"/>
          <w:sz w:val="22"/>
          <w:szCs w:val="22"/>
        </w:rPr>
        <w:t>27</w:t>
      </w:r>
      <w:r>
        <w:rPr>
          <w:color w:val="000000"/>
          <w:sz w:val="22"/>
          <w:szCs w:val="22"/>
        </w:rPr>
        <w:t>(1), pp. 23–42. [Accessed: 22 February 2020] Available from: doi: 10.2458/v27i1.23543.</w:t>
      </w:r>
    </w:p>
    <w:p w14:paraId="3CB47ACD" w14:textId="77777777" w:rsidR="00FC2BD1" w:rsidRDefault="00FC2BD1" w:rsidP="00FC2BD1">
      <w:pPr>
        <w:pStyle w:val="NormalWeb"/>
        <w:spacing w:before="0" w:beforeAutospacing="0" w:after="160" w:afterAutospacing="0"/>
        <w:rPr>
          <w:color w:val="000000"/>
        </w:rPr>
      </w:pPr>
      <w:r>
        <w:rPr>
          <w:color w:val="000000"/>
          <w:sz w:val="22"/>
          <w:szCs w:val="22"/>
        </w:rPr>
        <w:t xml:space="preserve">Massé, F. and Lunstrum, E. (2016) ‘Accumulation by securitization: Commercial poaching, neoliberal conservation, and the creation of new wildlife frontiers’, </w:t>
      </w:r>
      <w:r>
        <w:rPr>
          <w:i/>
          <w:iCs/>
          <w:color w:val="000000"/>
          <w:sz w:val="22"/>
          <w:szCs w:val="22"/>
        </w:rPr>
        <w:t>Geoforum</w:t>
      </w:r>
      <w:r>
        <w:rPr>
          <w:color w:val="000000"/>
          <w:sz w:val="22"/>
          <w:szCs w:val="22"/>
        </w:rPr>
        <w:t xml:space="preserve">, </w:t>
      </w:r>
      <w:r>
        <w:rPr>
          <w:b/>
          <w:bCs/>
          <w:color w:val="000000"/>
          <w:sz w:val="22"/>
          <w:szCs w:val="22"/>
        </w:rPr>
        <w:t>69</w:t>
      </w:r>
      <w:r>
        <w:rPr>
          <w:color w:val="000000"/>
          <w:sz w:val="22"/>
          <w:szCs w:val="22"/>
        </w:rPr>
        <w:t>, [Online] pp. 227–237. [Accessed: 27 May 2020] Available from: doi: 10.1016/j.geoforum.2015.03.005.</w:t>
      </w:r>
    </w:p>
    <w:p w14:paraId="72D7D313" w14:textId="77777777" w:rsidR="00FC2BD1" w:rsidRDefault="00FC2BD1" w:rsidP="00FC2BD1">
      <w:pPr>
        <w:pStyle w:val="NormalWeb"/>
        <w:spacing w:before="0" w:beforeAutospacing="0" w:after="160" w:afterAutospacing="0"/>
        <w:rPr>
          <w:color w:val="000000"/>
        </w:rPr>
      </w:pPr>
      <w:r>
        <w:rPr>
          <w:color w:val="000000"/>
          <w:sz w:val="22"/>
          <w:szCs w:val="22"/>
        </w:rPr>
        <w:t xml:space="preserve">Massé, F. and Margulies, J. D. (2020) ‘The geopolitical ecology of conservation: The emergence of illegal wildlife trade as national security interest and the re-shaping of US foreign conservation assistance’, </w:t>
      </w:r>
      <w:r>
        <w:rPr>
          <w:i/>
          <w:iCs/>
          <w:color w:val="000000"/>
          <w:sz w:val="22"/>
          <w:szCs w:val="22"/>
        </w:rPr>
        <w:t>World Development</w:t>
      </w:r>
      <w:r>
        <w:rPr>
          <w:color w:val="000000"/>
          <w:sz w:val="22"/>
          <w:szCs w:val="22"/>
        </w:rPr>
        <w:t xml:space="preserve">. [Online]  </w:t>
      </w:r>
      <w:r>
        <w:rPr>
          <w:b/>
          <w:bCs/>
          <w:color w:val="000000"/>
          <w:sz w:val="22"/>
          <w:szCs w:val="22"/>
        </w:rPr>
        <w:t>132</w:t>
      </w:r>
      <w:r>
        <w:rPr>
          <w:color w:val="000000"/>
          <w:sz w:val="22"/>
          <w:szCs w:val="22"/>
        </w:rPr>
        <w:t>, 104958, pp. 1-15 [Accessed: 27 May 2020] Available from: doi: 10.1016/j.worlddev.2020.104958.</w:t>
      </w:r>
    </w:p>
    <w:p w14:paraId="5CC9807A" w14:textId="77777777" w:rsidR="00FC2BD1" w:rsidRDefault="00FC2BD1" w:rsidP="00FC2BD1">
      <w:pPr>
        <w:pStyle w:val="NormalWeb"/>
        <w:spacing w:before="0" w:beforeAutospacing="0" w:after="160" w:afterAutospacing="0"/>
        <w:rPr>
          <w:color w:val="000000"/>
        </w:rPr>
      </w:pPr>
      <w:r>
        <w:rPr>
          <w:color w:val="000000"/>
          <w:sz w:val="22"/>
          <w:szCs w:val="22"/>
        </w:rPr>
        <w:t xml:space="preserve">Maury-Brachet, R., Rochard, E., Durrieu, G., &amp; Boudou, A.(2008) ‘The “Storm of the Century” (December 1999) and the accidental escape of Siberian sturgeons (Acipenser baerii) into the Gironde estuary (Southwest France): An original approach for metal contamination’, </w:t>
      </w:r>
      <w:r>
        <w:rPr>
          <w:i/>
          <w:iCs/>
          <w:color w:val="000000"/>
          <w:sz w:val="22"/>
          <w:szCs w:val="22"/>
        </w:rPr>
        <w:t>Environmental Science and Pollution Research</w:t>
      </w:r>
      <w:r>
        <w:rPr>
          <w:color w:val="000000"/>
          <w:sz w:val="22"/>
          <w:szCs w:val="22"/>
        </w:rPr>
        <w:t xml:space="preserve">, [Online] </w:t>
      </w:r>
      <w:r>
        <w:rPr>
          <w:b/>
          <w:bCs/>
          <w:color w:val="000000"/>
          <w:sz w:val="22"/>
          <w:szCs w:val="22"/>
        </w:rPr>
        <w:t>15</w:t>
      </w:r>
      <w:r>
        <w:rPr>
          <w:color w:val="000000"/>
          <w:sz w:val="22"/>
          <w:szCs w:val="22"/>
        </w:rPr>
        <w:t>(1), pp. 89–94. [Accessed: 06 November 2019] Available from: doi: 10.1065/espr2007.12.469.</w:t>
      </w:r>
    </w:p>
    <w:p w14:paraId="3952BCD6" w14:textId="77777777" w:rsidR="00FC2BD1" w:rsidRDefault="00FC2BD1" w:rsidP="00FC2BD1">
      <w:pPr>
        <w:pStyle w:val="NormalWeb"/>
        <w:spacing w:before="0" w:beforeAutospacing="0" w:after="160" w:afterAutospacing="0"/>
        <w:rPr>
          <w:color w:val="000000"/>
        </w:rPr>
      </w:pPr>
      <w:r>
        <w:rPr>
          <w:color w:val="000000"/>
          <w:sz w:val="22"/>
          <w:szCs w:val="22"/>
        </w:rPr>
        <w:t xml:space="preserve">McDonald, M. (2017) ‘Ecological Security’, in Eroukhmanoff, C. &amp; Harker, M. (Eds.) </w:t>
      </w:r>
      <w:r>
        <w:rPr>
          <w:i/>
          <w:iCs/>
          <w:color w:val="000000"/>
          <w:sz w:val="22"/>
          <w:szCs w:val="22"/>
        </w:rPr>
        <w:t>Reflections on the Posthuman in International Relations.</w:t>
      </w:r>
      <w:r>
        <w:rPr>
          <w:color w:val="000000"/>
          <w:sz w:val="22"/>
          <w:szCs w:val="22"/>
        </w:rPr>
        <w:t xml:space="preserve"> Bristol, UK: E-International Relations Publishing. pp.62-72. </w:t>
      </w:r>
    </w:p>
    <w:p w14:paraId="36232287" w14:textId="77777777" w:rsidR="00FC2BD1" w:rsidRDefault="00FC2BD1" w:rsidP="00FC2BD1">
      <w:pPr>
        <w:pStyle w:val="NormalWeb"/>
        <w:spacing w:before="0" w:beforeAutospacing="0" w:after="160" w:afterAutospacing="0"/>
        <w:rPr>
          <w:color w:val="000000"/>
        </w:rPr>
      </w:pPr>
      <w:r>
        <w:rPr>
          <w:color w:val="000000"/>
          <w:sz w:val="22"/>
          <w:szCs w:val="22"/>
        </w:rPr>
        <w:t xml:space="preserve">Meehan, K. M. (2014) ‘Tool-power: Water infrastructure as wellsprings of state power’, </w:t>
      </w:r>
      <w:r>
        <w:rPr>
          <w:i/>
          <w:iCs/>
          <w:color w:val="000000"/>
          <w:sz w:val="22"/>
          <w:szCs w:val="22"/>
        </w:rPr>
        <w:t>Geoforum</w:t>
      </w:r>
      <w:r>
        <w:rPr>
          <w:color w:val="000000"/>
          <w:sz w:val="22"/>
          <w:szCs w:val="22"/>
        </w:rPr>
        <w:t>, [Online] 57, pp. 215–224. [Accessed: 29 November 2018] Available from: doi: 10.1016/j.geoforum.2013.08.005.</w:t>
      </w:r>
    </w:p>
    <w:p w14:paraId="7CF06523" w14:textId="77777777" w:rsidR="00FC2BD1" w:rsidRDefault="00FC2BD1" w:rsidP="00FC2BD1">
      <w:pPr>
        <w:pStyle w:val="NormalWeb"/>
        <w:spacing w:before="0" w:beforeAutospacing="0" w:after="160" w:afterAutospacing="0"/>
        <w:rPr>
          <w:color w:val="000000"/>
        </w:rPr>
      </w:pPr>
      <w:r>
        <w:rPr>
          <w:color w:val="000000"/>
          <w:sz w:val="22"/>
          <w:szCs w:val="22"/>
        </w:rPr>
        <w:t xml:space="preserve">Mitchell, A. (2015) ‘Thinking without the “circle”: Marine plastic and global ethics’, </w:t>
      </w:r>
      <w:r>
        <w:rPr>
          <w:i/>
          <w:iCs/>
          <w:color w:val="000000"/>
          <w:sz w:val="22"/>
          <w:szCs w:val="22"/>
        </w:rPr>
        <w:t>Political Geography</w:t>
      </w:r>
      <w:r>
        <w:rPr>
          <w:color w:val="000000"/>
          <w:sz w:val="22"/>
          <w:szCs w:val="22"/>
        </w:rPr>
        <w:t xml:space="preserve">, [Online] </w:t>
      </w:r>
      <w:r>
        <w:rPr>
          <w:b/>
          <w:bCs/>
          <w:color w:val="000000"/>
          <w:sz w:val="22"/>
          <w:szCs w:val="22"/>
        </w:rPr>
        <w:t>47</w:t>
      </w:r>
      <w:r>
        <w:rPr>
          <w:color w:val="000000"/>
          <w:sz w:val="22"/>
          <w:szCs w:val="22"/>
        </w:rPr>
        <w:t>, pp. 77–85. [Accessed: 29 November 2018] Available from: doi: 10.1016/j.polgeo.2015.04.003.</w:t>
      </w:r>
    </w:p>
    <w:p w14:paraId="2D64F696" w14:textId="77777777" w:rsidR="00FC2BD1" w:rsidRDefault="00FC2BD1" w:rsidP="00FC2BD1">
      <w:pPr>
        <w:pStyle w:val="NormalWeb"/>
        <w:spacing w:before="0" w:beforeAutospacing="0" w:after="160" w:afterAutospacing="0"/>
        <w:rPr>
          <w:color w:val="000000"/>
        </w:rPr>
      </w:pPr>
      <w:r>
        <w:rPr>
          <w:color w:val="000000"/>
          <w:sz w:val="22"/>
          <w:szCs w:val="22"/>
        </w:rPr>
        <w:t xml:space="preserve">Mitchell, A. (2017) ‘Posthuman Security: Reflections from an Open-ended Conversation’, in Eroukhmanoff, C. &amp; Harker, M. (Eds.) </w:t>
      </w:r>
      <w:r>
        <w:rPr>
          <w:i/>
          <w:iCs/>
          <w:color w:val="000000"/>
          <w:sz w:val="22"/>
          <w:szCs w:val="22"/>
        </w:rPr>
        <w:t>Reflections on the Posthuman in International Relations.</w:t>
      </w:r>
      <w:r>
        <w:rPr>
          <w:color w:val="000000"/>
          <w:sz w:val="22"/>
          <w:szCs w:val="22"/>
        </w:rPr>
        <w:t xml:space="preserve"> Bristol, UK: E-International Relations Publishing. pp. 10–18.</w:t>
      </w:r>
    </w:p>
    <w:p w14:paraId="1554B089" w14:textId="77777777" w:rsidR="00FC2BD1" w:rsidRDefault="00FC2BD1" w:rsidP="00FC2BD1">
      <w:pPr>
        <w:pStyle w:val="NormalWeb"/>
        <w:spacing w:before="0" w:beforeAutospacing="0" w:after="160" w:afterAutospacing="0"/>
        <w:rPr>
          <w:color w:val="000000"/>
        </w:rPr>
      </w:pPr>
      <w:r>
        <w:rPr>
          <w:color w:val="000000"/>
          <w:sz w:val="22"/>
          <w:szCs w:val="22"/>
        </w:rPr>
        <w:t xml:space="preserve">Mitchell, T. (2013) </w:t>
      </w:r>
      <w:r>
        <w:rPr>
          <w:i/>
          <w:iCs/>
          <w:color w:val="000000"/>
          <w:sz w:val="22"/>
          <w:szCs w:val="22"/>
        </w:rPr>
        <w:t>Carbon democracy : political power in the age of oil</w:t>
      </w:r>
      <w:r>
        <w:rPr>
          <w:color w:val="000000"/>
          <w:sz w:val="22"/>
          <w:szCs w:val="22"/>
        </w:rPr>
        <w:t>. London: Verso</w:t>
      </w:r>
    </w:p>
    <w:p w14:paraId="6D053BA7" w14:textId="77777777" w:rsidR="00FC2BD1" w:rsidRDefault="00FC2BD1" w:rsidP="00FC2BD1">
      <w:pPr>
        <w:pStyle w:val="NormalWeb"/>
        <w:spacing w:before="0" w:beforeAutospacing="0" w:after="160" w:afterAutospacing="0"/>
        <w:rPr>
          <w:color w:val="000000"/>
        </w:rPr>
      </w:pPr>
      <w:r>
        <w:rPr>
          <w:color w:val="000000"/>
          <w:sz w:val="22"/>
          <w:szCs w:val="22"/>
        </w:rPr>
        <w:t xml:space="preserve">Moisio, S. (2015) ‘Geopolitics/Critical Geopolitics’, in Agnew, J., Mamadouh, V., Secor, A.J, &amp; Sharp, J. (Eds) </w:t>
      </w:r>
      <w:r>
        <w:rPr>
          <w:i/>
          <w:iCs/>
          <w:color w:val="000000"/>
          <w:sz w:val="22"/>
          <w:szCs w:val="22"/>
        </w:rPr>
        <w:t>The Wiley Blackwell Companion to Political Geography</w:t>
      </w:r>
      <w:r>
        <w:rPr>
          <w:color w:val="000000"/>
          <w:sz w:val="22"/>
          <w:szCs w:val="22"/>
        </w:rPr>
        <w:t>. Chichester, England: Wiley-Blackwell. Pp. 220-234</w:t>
      </w:r>
    </w:p>
    <w:p w14:paraId="7CCE653C" w14:textId="77777777" w:rsidR="00FC2BD1" w:rsidRDefault="00FC2BD1" w:rsidP="00FC2BD1">
      <w:pPr>
        <w:pStyle w:val="NormalWeb"/>
        <w:spacing w:before="0" w:beforeAutospacing="0" w:after="160" w:afterAutospacing="0"/>
        <w:rPr>
          <w:color w:val="000000"/>
        </w:rPr>
      </w:pPr>
      <w:r>
        <w:rPr>
          <w:color w:val="000000"/>
          <w:sz w:val="22"/>
          <w:szCs w:val="22"/>
        </w:rPr>
        <w:t xml:space="preserve">Mostafanezhad, M. and Evrard, O. (2019) ‘Environmental geopolitics of rumor: the sociality of uncertainty during northern Thailand’s smoky season’, in O’Lear, (ed). </w:t>
      </w:r>
      <w:r>
        <w:rPr>
          <w:i/>
          <w:iCs/>
          <w:color w:val="000000"/>
          <w:sz w:val="22"/>
          <w:szCs w:val="22"/>
        </w:rPr>
        <w:t>A Research Agenda for Environmental Geopolitics</w:t>
      </w:r>
      <w:r>
        <w:rPr>
          <w:color w:val="000000"/>
          <w:sz w:val="22"/>
          <w:szCs w:val="22"/>
        </w:rPr>
        <w:t>. Cheltenham: Edward Elgar Publishing. Pp. 121 - 135.</w:t>
      </w:r>
    </w:p>
    <w:p w14:paraId="150E9A79" w14:textId="77777777" w:rsidR="00FC2BD1" w:rsidRDefault="00FC2BD1" w:rsidP="00FC2BD1">
      <w:pPr>
        <w:pStyle w:val="NormalWeb"/>
        <w:spacing w:before="0" w:beforeAutospacing="0" w:after="160" w:afterAutospacing="0"/>
        <w:rPr>
          <w:color w:val="000000"/>
        </w:rPr>
      </w:pPr>
      <w:r>
        <w:rPr>
          <w:color w:val="000000"/>
          <w:sz w:val="22"/>
          <w:szCs w:val="22"/>
        </w:rPr>
        <w:t xml:space="preserve">Mostafanezhad, M. and Evrard, O. (2018) ‘Geopolitical ecologies of tourism and the transboundary haze disaster in thailand, laos and myanmar’, </w:t>
      </w:r>
      <w:r>
        <w:rPr>
          <w:i/>
          <w:iCs/>
          <w:color w:val="000000"/>
          <w:sz w:val="22"/>
          <w:szCs w:val="22"/>
        </w:rPr>
        <w:t>Community, Environment and Disaster Risk Management</w:t>
      </w:r>
      <w:r>
        <w:rPr>
          <w:color w:val="000000"/>
          <w:sz w:val="22"/>
          <w:szCs w:val="22"/>
        </w:rPr>
        <w:t xml:space="preserve">, [Online] </w:t>
      </w:r>
      <w:r>
        <w:rPr>
          <w:b/>
          <w:bCs/>
          <w:color w:val="000000"/>
          <w:sz w:val="22"/>
          <w:szCs w:val="22"/>
        </w:rPr>
        <w:t>19</w:t>
      </w:r>
      <w:r>
        <w:rPr>
          <w:color w:val="000000"/>
          <w:sz w:val="22"/>
          <w:szCs w:val="22"/>
        </w:rPr>
        <w:t>, pp. 53–66. [Accessed: 26 February 2020] Available from: doi: 10.1108/S2040-726220180000019003.</w:t>
      </w:r>
    </w:p>
    <w:p w14:paraId="6C48C82E" w14:textId="77777777" w:rsidR="00FC2BD1" w:rsidRDefault="00FC2BD1" w:rsidP="00FC2BD1">
      <w:pPr>
        <w:pStyle w:val="NormalWeb"/>
        <w:spacing w:before="0" w:beforeAutospacing="0" w:after="160" w:afterAutospacing="0"/>
        <w:rPr>
          <w:color w:val="000000"/>
        </w:rPr>
      </w:pPr>
      <w:r>
        <w:rPr>
          <w:color w:val="000000"/>
          <w:sz w:val="22"/>
          <w:szCs w:val="22"/>
        </w:rPr>
        <w:lastRenderedPageBreak/>
        <w:t xml:space="preserve">Moyle, B. (2013) ‘Conservation that’s more than skin-deep: Alligator farming’, </w:t>
      </w:r>
      <w:r>
        <w:rPr>
          <w:i/>
          <w:iCs/>
          <w:color w:val="000000"/>
          <w:sz w:val="22"/>
          <w:szCs w:val="22"/>
        </w:rPr>
        <w:t>Biodiversity and Conservation</w:t>
      </w:r>
      <w:r>
        <w:rPr>
          <w:color w:val="000000"/>
          <w:sz w:val="22"/>
          <w:szCs w:val="22"/>
        </w:rPr>
        <w:t xml:space="preserve">, [Online] </w:t>
      </w:r>
      <w:r>
        <w:rPr>
          <w:b/>
          <w:bCs/>
          <w:color w:val="000000"/>
          <w:sz w:val="22"/>
          <w:szCs w:val="22"/>
        </w:rPr>
        <w:t> 22</w:t>
      </w:r>
      <w:r>
        <w:rPr>
          <w:color w:val="000000"/>
          <w:sz w:val="22"/>
          <w:szCs w:val="22"/>
        </w:rPr>
        <w:t>(8), pp. 1663–1677. [Accessed: 08 April 2020] Available from: doi: 10.1007/s10531-013-0501-9.</w:t>
      </w:r>
    </w:p>
    <w:p w14:paraId="3F347DB4" w14:textId="77777777" w:rsidR="00FC2BD1" w:rsidRDefault="00FC2BD1" w:rsidP="00FC2BD1">
      <w:pPr>
        <w:pStyle w:val="NormalWeb"/>
        <w:spacing w:before="0" w:beforeAutospacing="0" w:after="160" w:afterAutospacing="0"/>
        <w:rPr>
          <w:color w:val="000000"/>
        </w:rPr>
      </w:pPr>
      <w:r>
        <w:rPr>
          <w:color w:val="000000"/>
          <w:sz w:val="22"/>
          <w:szCs w:val="22"/>
        </w:rPr>
        <w:t xml:space="preserve">Mullaney, E. G. (2014) ‘Geopolitical Maize: Peasant Seeds, Everyday Practices, and Food Security in Mexico’, </w:t>
      </w:r>
      <w:r>
        <w:rPr>
          <w:i/>
          <w:iCs/>
          <w:color w:val="000000"/>
          <w:sz w:val="22"/>
          <w:szCs w:val="22"/>
        </w:rPr>
        <w:t>Geopolitics</w:t>
      </w:r>
      <w:r>
        <w:rPr>
          <w:color w:val="000000"/>
          <w:sz w:val="22"/>
          <w:szCs w:val="22"/>
        </w:rPr>
        <w:t xml:space="preserve">. [Online] </w:t>
      </w:r>
      <w:r>
        <w:rPr>
          <w:b/>
          <w:bCs/>
          <w:color w:val="000000"/>
          <w:sz w:val="22"/>
          <w:szCs w:val="22"/>
        </w:rPr>
        <w:t>19</w:t>
      </w:r>
      <w:r>
        <w:rPr>
          <w:color w:val="000000"/>
          <w:sz w:val="22"/>
          <w:szCs w:val="22"/>
        </w:rPr>
        <w:t>(2), pp. 406–430. [Accessed: 03 March 2020] Available from: doi: 10.1080/14650045.2014.920232.</w:t>
      </w:r>
    </w:p>
    <w:p w14:paraId="5BC738EE" w14:textId="77777777" w:rsidR="00FC2BD1" w:rsidRDefault="00FC2BD1" w:rsidP="00FC2BD1">
      <w:pPr>
        <w:pStyle w:val="NormalWeb"/>
        <w:spacing w:before="0" w:beforeAutospacing="0" w:after="160" w:afterAutospacing="0"/>
        <w:rPr>
          <w:color w:val="000000"/>
        </w:rPr>
      </w:pPr>
      <w:r>
        <w:rPr>
          <w:color w:val="000000"/>
          <w:sz w:val="22"/>
          <w:szCs w:val="22"/>
        </w:rPr>
        <w:t xml:space="preserve">Musing, L., Harris, L., Williams, A., Parry- Jones, R., van Uhm, D., Wyatt, T. (2019) </w:t>
      </w:r>
      <w:r>
        <w:rPr>
          <w:i/>
          <w:iCs/>
          <w:color w:val="000000"/>
          <w:sz w:val="22"/>
          <w:szCs w:val="22"/>
        </w:rPr>
        <w:t>Corruption and Wildlife crime: A focus on caviar trade</w:t>
      </w:r>
      <w:r>
        <w:rPr>
          <w:color w:val="000000"/>
          <w:sz w:val="22"/>
          <w:szCs w:val="22"/>
        </w:rPr>
        <w:t>. [Online] A TRAFFIC, WWF, U4 ACRC, Utrecht University, and Northumbria University report. Cambridge: TRAFFIC [Accessed: 26 January 2020] Available from: https://www.unodc.org/documents/Wildlife/Corruption_Wildlife_Crime.pdf.</w:t>
      </w:r>
    </w:p>
    <w:p w14:paraId="04DFFACD" w14:textId="77777777" w:rsidR="00FC2BD1" w:rsidRDefault="00FC2BD1" w:rsidP="00FC2BD1">
      <w:pPr>
        <w:pStyle w:val="NormalWeb"/>
        <w:spacing w:before="0" w:beforeAutospacing="0" w:after="160" w:afterAutospacing="0"/>
        <w:rPr>
          <w:color w:val="000000"/>
        </w:rPr>
      </w:pPr>
      <w:r>
        <w:rPr>
          <w:color w:val="000000"/>
          <w:sz w:val="22"/>
          <w:szCs w:val="22"/>
        </w:rPr>
        <w:t xml:space="preserve">Nading, A. (2014) </w:t>
      </w:r>
      <w:r>
        <w:rPr>
          <w:i/>
          <w:iCs/>
          <w:color w:val="000000"/>
          <w:sz w:val="22"/>
          <w:szCs w:val="22"/>
        </w:rPr>
        <w:t>Mosquito Trails Ecology, Health, and the Politics of Entanglement</w:t>
      </w:r>
      <w:r>
        <w:rPr>
          <w:color w:val="000000"/>
          <w:sz w:val="22"/>
          <w:szCs w:val="22"/>
        </w:rPr>
        <w:t>. Oakland, California: University of California Press </w:t>
      </w:r>
    </w:p>
    <w:p w14:paraId="1FA53303" w14:textId="77777777" w:rsidR="00FC2BD1" w:rsidRDefault="00FC2BD1" w:rsidP="00FC2BD1">
      <w:pPr>
        <w:pStyle w:val="NormalWeb"/>
        <w:spacing w:before="0" w:beforeAutospacing="0" w:after="160" w:afterAutospacing="0"/>
        <w:rPr>
          <w:color w:val="000000"/>
        </w:rPr>
      </w:pPr>
      <w:r>
        <w:rPr>
          <w:color w:val="000000"/>
          <w:sz w:val="22"/>
          <w:szCs w:val="22"/>
        </w:rPr>
        <w:t xml:space="preserve">Nally, D. (2011) ‘The biopolitics of food provisioning’, </w:t>
      </w:r>
      <w:r>
        <w:rPr>
          <w:i/>
          <w:iCs/>
          <w:color w:val="000000"/>
          <w:sz w:val="22"/>
          <w:szCs w:val="22"/>
        </w:rPr>
        <w:t>Transactions of the Institute of British Geographers</w:t>
      </w:r>
      <w:r>
        <w:rPr>
          <w:color w:val="000000"/>
          <w:sz w:val="22"/>
          <w:szCs w:val="22"/>
        </w:rPr>
        <w:t xml:space="preserve">, [Online] </w:t>
      </w:r>
      <w:r>
        <w:rPr>
          <w:b/>
          <w:bCs/>
          <w:color w:val="000000"/>
          <w:sz w:val="22"/>
          <w:szCs w:val="22"/>
        </w:rPr>
        <w:t>36</w:t>
      </w:r>
      <w:r>
        <w:rPr>
          <w:color w:val="000000"/>
          <w:sz w:val="22"/>
          <w:szCs w:val="22"/>
        </w:rPr>
        <w:t>(1), pp. 37–53. [Accessed: 27 May 2020] Available from: doi: 10.1111/j.1475-5661.2010.00413.x.</w:t>
      </w:r>
    </w:p>
    <w:p w14:paraId="1FA2B7D5" w14:textId="77777777" w:rsidR="00FC2BD1" w:rsidRDefault="00FC2BD1" w:rsidP="00FC2BD1">
      <w:pPr>
        <w:pStyle w:val="NormalWeb"/>
        <w:spacing w:before="0" w:beforeAutospacing="0" w:after="160" w:afterAutospacing="0"/>
        <w:rPr>
          <w:color w:val="000000"/>
        </w:rPr>
      </w:pPr>
      <w:r>
        <w:rPr>
          <w:color w:val="000000"/>
          <w:sz w:val="22"/>
          <w:szCs w:val="22"/>
        </w:rPr>
        <w:t xml:space="preserve">Nuno, A. and St. John, F. A. V. (2014) ‘How to ask sensitive questions in conservation: A review of specialized questioning techniques’, </w:t>
      </w:r>
      <w:r>
        <w:rPr>
          <w:i/>
          <w:iCs/>
          <w:color w:val="000000"/>
          <w:sz w:val="22"/>
          <w:szCs w:val="22"/>
        </w:rPr>
        <w:t>Biological Conservation</w:t>
      </w:r>
      <w:r>
        <w:rPr>
          <w:color w:val="000000"/>
          <w:sz w:val="22"/>
          <w:szCs w:val="22"/>
        </w:rPr>
        <w:t xml:space="preserve">, [Online] </w:t>
      </w:r>
      <w:r>
        <w:rPr>
          <w:b/>
          <w:bCs/>
          <w:color w:val="000000"/>
          <w:sz w:val="22"/>
          <w:szCs w:val="22"/>
        </w:rPr>
        <w:t>189</w:t>
      </w:r>
      <w:r>
        <w:rPr>
          <w:color w:val="000000"/>
          <w:sz w:val="22"/>
          <w:szCs w:val="22"/>
        </w:rPr>
        <w:t>, pp. 5–15. [Accessed: 02 January 2020] Available from: doi: 10.1016/j.biocon.2014.09.047.</w:t>
      </w:r>
    </w:p>
    <w:p w14:paraId="407333A1" w14:textId="77777777" w:rsidR="00FC2BD1" w:rsidRDefault="00FC2BD1" w:rsidP="00FC2BD1">
      <w:pPr>
        <w:pStyle w:val="NormalWeb"/>
        <w:spacing w:before="0" w:beforeAutospacing="0" w:after="160" w:afterAutospacing="0"/>
        <w:rPr>
          <w:color w:val="000000"/>
        </w:rPr>
      </w:pPr>
      <w:r>
        <w:rPr>
          <w:color w:val="000000"/>
          <w:sz w:val="22"/>
          <w:szCs w:val="22"/>
        </w:rPr>
        <w:t xml:space="preserve">O’Lear, S. (2018) </w:t>
      </w:r>
      <w:r>
        <w:rPr>
          <w:i/>
          <w:iCs/>
          <w:color w:val="000000"/>
          <w:sz w:val="22"/>
          <w:szCs w:val="22"/>
        </w:rPr>
        <w:t>Environmental Geopolitics</w:t>
      </w:r>
      <w:r>
        <w:rPr>
          <w:color w:val="000000"/>
          <w:sz w:val="22"/>
          <w:szCs w:val="22"/>
        </w:rPr>
        <w:t>. Lanham: Rowman &amp; Littlefield. </w:t>
      </w:r>
    </w:p>
    <w:p w14:paraId="2A4DD336" w14:textId="1FC2DB0B" w:rsidR="00FC2BD1" w:rsidRPr="00A2549D" w:rsidRDefault="00FC2BD1" w:rsidP="00A2549D">
      <w:pPr>
        <w:pStyle w:val="NormalWeb"/>
        <w:spacing w:before="0" w:beforeAutospacing="0" w:after="160" w:afterAutospacing="0"/>
        <w:rPr>
          <w:color w:val="000000"/>
        </w:rPr>
      </w:pPr>
      <w:r>
        <w:rPr>
          <w:color w:val="000000"/>
          <w:sz w:val="22"/>
          <w:szCs w:val="22"/>
        </w:rPr>
        <w:t xml:space="preserve">O’Lear, S. (2020) </w:t>
      </w:r>
      <w:r>
        <w:rPr>
          <w:i/>
          <w:iCs/>
          <w:color w:val="000000"/>
          <w:sz w:val="22"/>
          <w:szCs w:val="22"/>
        </w:rPr>
        <w:t>A research agenda for environmental geopolitics</w:t>
      </w:r>
      <w:r>
        <w:rPr>
          <w:color w:val="000000"/>
          <w:sz w:val="22"/>
          <w:szCs w:val="22"/>
        </w:rPr>
        <w:t>. Cheltenham: Edward Elgar Publishing</w:t>
      </w:r>
    </w:p>
    <w:p w14:paraId="06AC9AA2" w14:textId="77777777" w:rsidR="00FC2BD1" w:rsidRDefault="00FC2BD1" w:rsidP="00FC2BD1">
      <w:pPr>
        <w:pStyle w:val="NormalWeb"/>
        <w:spacing w:before="0" w:beforeAutospacing="0" w:after="160" w:afterAutospacing="0"/>
        <w:rPr>
          <w:rFonts w:eastAsiaTheme="minorHAnsi"/>
          <w:color w:val="000000"/>
        </w:rPr>
      </w:pPr>
      <w:r>
        <w:rPr>
          <w:color w:val="000000"/>
          <w:sz w:val="22"/>
          <w:szCs w:val="22"/>
        </w:rPr>
        <w:t xml:space="preserve">Ojeda, D. (2012) ‘Green pretexts: Ecotourism, neoliberal conservation and land grabbing in Tayrona National Natural Park, Colombia’, </w:t>
      </w:r>
      <w:r>
        <w:rPr>
          <w:i/>
          <w:iCs/>
          <w:color w:val="000000"/>
          <w:sz w:val="22"/>
          <w:szCs w:val="22"/>
        </w:rPr>
        <w:t>Journal of Peasant Studies</w:t>
      </w:r>
      <w:r>
        <w:rPr>
          <w:color w:val="000000"/>
          <w:sz w:val="22"/>
          <w:szCs w:val="22"/>
        </w:rPr>
        <w:t xml:space="preserve">, [Online] </w:t>
      </w:r>
      <w:r>
        <w:rPr>
          <w:b/>
          <w:bCs/>
          <w:color w:val="000000"/>
          <w:sz w:val="22"/>
          <w:szCs w:val="22"/>
        </w:rPr>
        <w:t>39</w:t>
      </w:r>
      <w:r>
        <w:rPr>
          <w:color w:val="000000"/>
          <w:sz w:val="22"/>
          <w:szCs w:val="22"/>
        </w:rPr>
        <w:t>(2), pp. 357–375. [Accessed: 23 April 2020] Available from: doi: 10.1080/03066150.2012.658777.</w:t>
      </w:r>
    </w:p>
    <w:p w14:paraId="26B4EE6D" w14:textId="77777777" w:rsidR="00FC2BD1" w:rsidRDefault="00FC2BD1" w:rsidP="00FC2BD1">
      <w:pPr>
        <w:pStyle w:val="NormalWeb"/>
        <w:spacing w:before="0" w:beforeAutospacing="0" w:after="160" w:afterAutospacing="0"/>
        <w:rPr>
          <w:color w:val="000000"/>
        </w:rPr>
      </w:pPr>
      <w:r>
        <w:rPr>
          <w:color w:val="000000"/>
          <w:sz w:val="22"/>
          <w:szCs w:val="22"/>
        </w:rPr>
        <w:t xml:space="preserve">Peck, J. and Theodore, N. (2012) ‘Follow the policy: A distended case approach’, </w:t>
      </w:r>
      <w:r>
        <w:rPr>
          <w:i/>
          <w:iCs/>
          <w:color w:val="000000"/>
          <w:sz w:val="22"/>
          <w:szCs w:val="22"/>
        </w:rPr>
        <w:t>Environment and Planning A</w:t>
      </w:r>
      <w:r>
        <w:rPr>
          <w:color w:val="000000"/>
          <w:sz w:val="22"/>
          <w:szCs w:val="22"/>
        </w:rPr>
        <w:t xml:space="preserve">, [Online] </w:t>
      </w:r>
      <w:r>
        <w:rPr>
          <w:b/>
          <w:bCs/>
          <w:color w:val="000000"/>
          <w:sz w:val="22"/>
          <w:szCs w:val="22"/>
        </w:rPr>
        <w:t>44</w:t>
      </w:r>
      <w:r>
        <w:rPr>
          <w:color w:val="000000"/>
          <w:sz w:val="22"/>
          <w:szCs w:val="22"/>
        </w:rPr>
        <w:t>(1), pp. 21–30. [Accessed: 10 October 2019] Available from: doi: 10.1068/a44179.</w:t>
      </w:r>
    </w:p>
    <w:p w14:paraId="062BA092" w14:textId="77777777" w:rsidR="00FC2BD1" w:rsidRDefault="00FC2BD1" w:rsidP="00FC2BD1">
      <w:pPr>
        <w:pStyle w:val="NormalWeb"/>
        <w:spacing w:before="0" w:beforeAutospacing="0" w:after="160" w:afterAutospacing="0"/>
        <w:rPr>
          <w:color w:val="000000"/>
        </w:rPr>
      </w:pPr>
      <w:r>
        <w:rPr>
          <w:color w:val="000000"/>
          <w:sz w:val="22"/>
          <w:szCs w:val="22"/>
        </w:rPr>
        <w:t xml:space="preserve">Peck, J. and Theodore, N. (2015) </w:t>
      </w:r>
      <w:r>
        <w:rPr>
          <w:i/>
          <w:iCs/>
          <w:color w:val="000000"/>
          <w:sz w:val="22"/>
          <w:szCs w:val="22"/>
        </w:rPr>
        <w:t>Fast policy: Experimental statecraft at the thresholds of neoliberalism</w:t>
      </w:r>
      <w:r>
        <w:rPr>
          <w:color w:val="000000"/>
          <w:sz w:val="22"/>
          <w:szCs w:val="22"/>
        </w:rPr>
        <w:t>. Minneapolis: University of Minnesota Press</w:t>
      </w:r>
    </w:p>
    <w:p w14:paraId="52BBB3C4" w14:textId="77777777" w:rsidR="00FC2BD1" w:rsidRDefault="00FC2BD1" w:rsidP="00FC2BD1">
      <w:pPr>
        <w:pStyle w:val="NormalWeb"/>
        <w:spacing w:before="0" w:beforeAutospacing="0" w:after="160" w:afterAutospacing="0"/>
        <w:rPr>
          <w:color w:val="000000"/>
        </w:rPr>
      </w:pPr>
      <w:r>
        <w:rPr>
          <w:color w:val="000000"/>
          <w:sz w:val="22"/>
          <w:szCs w:val="22"/>
        </w:rPr>
        <w:t xml:space="preserve">Peluso, N. L. and Vandergeest, P. (2011) ‘Political ecologies of war and forests: Counterinsurgencies and the making of national natures’, </w:t>
      </w:r>
      <w:r>
        <w:rPr>
          <w:i/>
          <w:iCs/>
          <w:color w:val="000000"/>
          <w:sz w:val="22"/>
          <w:szCs w:val="22"/>
        </w:rPr>
        <w:t>Annals of the Association of American Geographers</w:t>
      </w:r>
      <w:r>
        <w:rPr>
          <w:color w:val="000000"/>
          <w:sz w:val="22"/>
          <w:szCs w:val="22"/>
        </w:rPr>
        <w:t xml:space="preserve">, [Online] </w:t>
      </w:r>
      <w:r>
        <w:rPr>
          <w:b/>
          <w:bCs/>
          <w:color w:val="000000"/>
          <w:sz w:val="22"/>
          <w:szCs w:val="22"/>
        </w:rPr>
        <w:t>101</w:t>
      </w:r>
      <w:r>
        <w:rPr>
          <w:color w:val="000000"/>
          <w:sz w:val="22"/>
          <w:szCs w:val="22"/>
        </w:rPr>
        <w:t>(3), pp. 587–608. [Accessed: 26 May 2020]  Available from: doi: 10.1080/00045608.2011.560064.</w:t>
      </w:r>
    </w:p>
    <w:p w14:paraId="05EC3EEC" w14:textId="77777777" w:rsidR="00FC2BD1" w:rsidRDefault="00FC2BD1" w:rsidP="00FC2BD1">
      <w:pPr>
        <w:pStyle w:val="NormalWeb"/>
        <w:spacing w:before="0" w:beforeAutospacing="0" w:after="160" w:afterAutospacing="0"/>
        <w:rPr>
          <w:color w:val="000000"/>
        </w:rPr>
      </w:pPr>
      <w:r>
        <w:rPr>
          <w:color w:val="000000"/>
          <w:sz w:val="22"/>
          <w:szCs w:val="22"/>
        </w:rPr>
        <w:t xml:space="preserve">Phelps, J., Carrasco, L. R. and Webb, E. L. (2014) ‘A framework for assessing supply-side wildlife conservation’, </w:t>
      </w:r>
      <w:r>
        <w:rPr>
          <w:i/>
          <w:iCs/>
          <w:color w:val="000000"/>
          <w:sz w:val="22"/>
          <w:szCs w:val="22"/>
        </w:rPr>
        <w:t>Conservation Biology</w:t>
      </w:r>
      <w:r>
        <w:rPr>
          <w:color w:val="000000"/>
          <w:sz w:val="22"/>
          <w:szCs w:val="22"/>
        </w:rPr>
        <w:t xml:space="preserve">, [Online] </w:t>
      </w:r>
      <w:r>
        <w:rPr>
          <w:b/>
          <w:bCs/>
          <w:color w:val="000000"/>
          <w:sz w:val="22"/>
          <w:szCs w:val="22"/>
        </w:rPr>
        <w:t>28</w:t>
      </w:r>
      <w:r>
        <w:rPr>
          <w:color w:val="000000"/>
          <w:sz w:val="22"/>
          <w:szCs w:val="22"/>
        </w:rPr>
        <w:t>(1), pp. 244–257. [Accessed: 15 April 2020] Available from: doi: 10.1111/cobi.12160.</w:t>
      </w:r>
    </w:p>
    <w:p w14:paraId="5336999B" w14:textId="77777777" w:rsidR="00FC2BD1" w:rsidRDefault="00FC2BD1" w:rsidP="00FC2BD1">
      <w:pPr>
        <w:pStyle w:val="NormalWeb"/>
        <w:spacing w:before="0" w:beforeAutospacing="0" w:after="160" w:afterAutospacing="0"/>
        <w:rPr>
          <w:color w:val="000000"/>
        </w:rPr>
      </w:pPr>
      <w:r>
        <w:rPr>
          <w:color w:val="000000"/>
          <w:sz w:val="22"/>
          <w:szCs w:val="22"/>
        </w:rPr>
        <w:t xml:space="preserve">Pitt, H. (2015) ‘On showing and being shown plants: A guide to methods for more-than-human geography’, </w:t>
      </w:r>
      <w:r>
        <w:rPr>
          <w:i/>
          <w:iCs/>
          <w:color w:val="000000"/>
          <w:sz w:val="22"/>
          <w:szCs w:val="22"/>
        </w:rPr>
        <w:t>Area</w:t>
      </w:r>
      <w:r>
        <w:rPr>
          <w:color w:val="000000"/>
          <w:sz w:val="22"/>
          <w:szCs w:val="22"/>
        </w:rPr>
        <w:t xml:space="preserve">, [Online] </w:t>
      </w:r>
      <w:r>
        <w:rPr>
          <w:b/>
          <w:bCs/>
          <w:color w:val="000000"/>
          <w:sz w:val="22"/>
          <w:szCs w:val="22"/>
        </w:rPr>
        <w:t>47</w:t>
      </w:r>
      <w:r>
        <w:rPr>
          <w:color w:val="000000"/>
          <w:sz w:val="22"/>
          <w:szCs w:val="22"/>
        </w:rPr>
        <w:t>(1), pp. 48–55.[Accessed: 06 January 2020] Available from: doi: 10.1111/area.12145.</w:t>
      </w:r>
    </w:p>
    <w:p w14:paraId="70AFC026" w14:textId="77777777" w:rsidR="00FC2BD1" w:rsidRDefault="00FC2BD1" w:rsidP="00FC2BD1">
      <w:pPr>
        <w:pStyle w:val="NormalWeb"/>
        <w:spacing w:before="0" w:beforeAutospacing="0" w:after="160" w:afterAutospacing="0"/>
        <w:rPr>
          <w:color w:val="000000"/>
        </w:rPr>
      </w:pPr>
      <w:r>
        <w:rPr>
          <w:color w:val="000000"/>
          <w:sz w:val="22"/>
          <w:szCs w:val="22"/>
        </w:rPr>
        <w:t xml:space="preserve">Powell, R. . and Dodds, K. (2014) </w:t>
      </w:r>
      <w:r>
        <w:rPr>
          <w:i/>
          <w:iCs/>
          <w:color w:val="000000"/>
          <w:sz w:val="22"/>
          <w:szCs w:val="22"/>
        </w:rPr>
        <w:t>Polar geopolitics : Knowledges, Resources and Legal Regimes</w:t>
      </w:r>
      <w:r>
        <w:rPr>
          <w:color w:val="000000"/>
          <w:sz w:val="22"/>
          <w:szCs w:val="22"/>
        </w:rPr>
        <w:t>. Cheltenham: Edward Elgar</w:t>
      </w:r>
    </w:p>
    <w:p w14:paraId="216B60C7" w14:textId="77777777" w:rsidR="00FC2BD1" w:rsidRDefault="00FC2BD1" w:rsidP="00FC2BD1">
      <w:pPr>
        <w:pStyle w:val="NormalWeb"/>
        <w:spacing w:before="0" w:beforeAutospacing="0" w:after="160" w:afterAutospacing="0"/>
        <w:rPr>
          <w:color w:val="000000"/>
        </w:rPr>
      </w:pPr>
      <w:r>
        <w:rPr>
          <w:color w:val="000000"/>
          <w:sz w:val="22"/>
          <w:szCs w:val="22"/>
        </w:rPr>
        <w:t xml:space="preserve">Raento, P. (2016) ‘A Geopolitics of the Horse in Finland’.Geopolitics [Online] </w:t>
      </w:r>
      <w:r>
        <w:rPr>
          <w:b/>
          <w:bCs/>
          <w:color w:val="000000"/>
          <w:sz w:val="22"/>
          <w:szCs w:val="22"/>
        </w:rPr>
        <w:t>21</w:t>
      </w:r>
      <w:r>
        <w:rPr>
          <w:color w:val="000000"/>
          <w:sz w:val="22"/>
          <w:szCs w:val="22"/>
        </w:rPr>
        <w:t>(4), pp.945-968 [Accessed: 30 November 2018]  Available from: doi: 10.1080/14650045.2016.1192531.</w:t>
      </w:r>
    </w:p>
    <w:p w14:paraId="2F6C6638" w14:textId="77777777" w:rsidR="00FC2BD1" w:rsidRDefault="00FC2BD1" w:rsidP="00FC2BD1">
      <w:pPr>
        <w:pStyle w:val="NormalWeb"/>
        <w:spacing w:before="0" w:beforeAutospacing="0" w:after="160" w:afterAutospacing="0"/>
        <w:rPr>
          <w:color w:val="000000"/>
        </w:rPr>
      </w:pPr>
      <w:r>
        <w:rPr>
          <w:color w:val="000000"/>
          <w:sz w:val="22"/>
          <w:szCs w:val="22"/>
        </w:rPr>
        <w:lastRenderedPageBreak/>
        <w:t xml:space="preserve">Ramutsindela, M. (2017) ‘Greening Africa’s borderlands: The symbiotic politics of land and borders in peace parks’, </w:t>
      </w:r>
      <w:r>
        <w:rPr>
          <w:i/>
          <w:iCs/>
          <w:color w:val="000000"/>
          <w:sz w:val="22"/>
          <w:szCs w:val="22"/>
        </w:rPr>
        <w:t>Political Geography</w:t>
      </w:r>
      <w:r>
        <w:rPr>
          <w:color w:val="000000"/>
          <w:sz w:val="22"/>
          <w:szCs w:val="22"/>
        </w:rPr>
        <w:t xml:space="preserve">.[Online] </w:t>
      </w:r>
      <w:r>
        <w:rPr>
          <w:b/>
          <w:bCs/>
          <w:color w:val="000000"/>
          <w:sz w:val="22"/>
          <w:szCs w:val="22"/>
        </w:rPr>
        <w:t>56</w:t>
      </w:r>
      <w:r>
        <w:rPr>
          <w:color w:val="000000"/>
          <w:sz w:val="22"/>
          <w:szCs w:val="22"/>
        </w:rPr>
        <w:t>, pp. 106–113. [Accessed: 30 May 2020] Available from: doi: 10.1016/j.polgeo.2016.11.012.</w:t>
      </w:r>
    </w:p>
    <w:p w14:paraId="6C9A4776" w14:textId="77777777" w:rsidR="00FC2BD1" w:rsidRDefault="00FC2BD1" w:rsidP="00FC2BD1">
      <w:pPr>
        <w:pStyle w:val="NormalWeb"/>
        <w:spacing w:before="0" w:beforeAutospacing="0" w:after="160" w:afterAutospacing="0"/>
        <w:rPr>
          <w:color w:val="000000"/>
        </w:rPr>
      </w:pPr>
      <w:r>
        <w:rPr>
          <w:color w:val="000000"/>
          <w:sz w:val="22"/>
          <w:szCs w:val="22"/>
        </w:rPr>
        <w:t xml:space="preserve">Ramutsindela, M., Guyot, S., Boillat, S., Giraut, F., &amp; Bottazzi, P. (2020) ‘The Geopolitics of Protected Areas’, </w:t>
      </w:r>
      <w:r>
        <w:rPr>
          <w:i/>
          <w:iCs/>
          <w:color w:val="000000"/>
          <w:sz w:val="22"/>
          <w:szCs w:val="22"/>
        </w:rPr>
        <w:t>Geopolitics</w:t>
      </w:r>
      <w:r>
        <w:rPr>
          <w:color w:val="000000"/>
          <w:sz w:val="22"/>
          <w:szCs w:val="22"/>
        </w:rPr>
        <w:t xml:space="preserve">. [Online] </w:t>
      </w:r>
      <w:r>
        <w:rPr>
          <w:b/>
          <w:bCs/>
          <w:color w:val="000000"/>
          <w:sz w:val="22"/>
          <w:szCs w:val="22"/>
        </w:rPr>
        <w:t>25</w:t>
      </w:r>
      <w:r>
        <w:rPr>
          <w:color w:val="000000"/>
          <w:sz w:val="22"/>
          <w:szCs w:val="22"/>
        </w:rPr>
        <w:t>(1), pp. 240–266. [Accessed: 03 March 2020] Available from: doi: 10.1080/14650045.2019.1690413.</w:t>
      </w:r>
    </w:p>
    <w:p w14:paraId="75B460E4" w14:textId="77777777" w:rsidR="00FC2BD1" w:rsidRDefault="00FC2BD1" w:rsidP="00FC2BD1">
      <w:pPr>
        <w:pStyle w:val="NormalWeb"/>
        <w:spacing w:before="0" w:beforeAutospacing="0" w:after="160" w:afterAutospacing="0"/>
        <w:rPr>
          <w:color w:val="000000"/>
        </w:rPr>
      </w:pPr>
      <w:r>
        <w:rPr>
          <w:color w:val="000000"/>
          <w:sz w:val="22"/>
          <w:szCs w:val="22"/>
        </w:rPr>
        <w:t xml:space="preserve">Ratchford, M., Allgood, B. and Todd, P. (2013) </w:t>
      </w:r>
      <w:r>
        <w:rPr>
          <w:i/>
          <w:iCs/>
          <w:color w:val="000000"/>
          <w:sz w:val="22"/>
          <w:szCs w:val="22"/>
        </w:rPr>
        <w:t>Criminal Nature: The global security implications of the illegal wildlife trade</w:t>
      </w:r>
      <w:r>
        <w:rPr>
          <w:color w:val="000000"/>
          <w:sz w:val="22"/>
          <w:szCs w:val="22"/>
        </w:rPr>
        <w:t>. [Online]. Massachusetts, USA: IFAW [Accessed: 26 May 2020]. Available from: https://globalinitiative.net/wp-content/uploads/2017/12/IFAW-criminal-nature-2013-low-res_0.pdf</w:t>
      </w:r>
    </w:p>
    <w:p w14:paraId="23F601BE" w14:textId="77777777" w:rsidR="00FC2BD1" w:rsidRDefault="00FC2BD1" w:rsidP="00FC2BD1">
      <w:pPr>
        <w:pStyle w:val="NormalWeb"/>
        <w:spacing w:before="0" w:beforeAutospacing="0" w:after="160" w:afterAutospacing="0"/>
        <w:rPr>
          <w:color w:val="000000"/>
        </w:rPr>
      </w:pPr>
      <w:r>
        <w:rPr>
          <w:color w:val="000000"/>
          <w:sz w:val="22"/>
          <w:szCs w:val="22"/>
        </w:rPr>
        <w:t xml:space="preserve">Robbins, P. (2008) ‘The state in political ecology: A postcard to political geography from the field’, In Cox, K. R., Low, M., &amp; Robinson, J. (Eds.) </w:t>
      </w:r>
      <w:r>
        <w:rPr>
          <w:i/>
          <w:iCs/>
          <w:color w:val="000000"/>
          <w:sz w:val="22"/>
          <w:szCs w:val="22"/>
        </w:rPr>
        <w:t>The SAGE Handbook of Political Geography</w:t>
      </w:r>
      <w:r>
        <w:rPr>
          <w:color w:val="000000"/>
          <w:sz w:val="22"/>
          <w:szCs w:val="22"/>
        </w:rPr>
        <w:t>. London: SAGE Publications Ltd.  pp. 205–218. </w:t>
      </w:r>
    </w:p>
    <w:p w14:paraId="2FAD93B1" w14:textId="77777777" w:rsidR="00FC2BD1" w:rsidRDefault="00FC2BD1" w:rsidP="00FC2BD1">
      <w:pPr>
        <w:pStyle w:val="NormalWeb"/>
        <w:spacing w:before="0" w:beforeAutospacing="0" w:after="160" w:afterAutospacing="0"/>
        <w:rPr>
          <w:color w:val="000000"/>
        </w:rPr>
      </w:pPr>
      <w:r>
        <w:rPr>
          <w:color w:val="000000"/>
          <w:sz w:val="22"/>
          <w:szCs w:val="22"/>
        </w:rPr>
        <w:t xml:space="preserve">Rogin, R. E. (2011) </w:t>
      </w:r>
      <w:r>
        <w:rPr>
          <w:i/>
          <w:iCs/>
          <w:color w:val="000000"/>
          <w:sz w:val="22"/>
          <w:szCs w:val="22"/>
        </w:rPr>
        <w:t>Conservation and sustainable use of wild sturgeon populations of the NW Black Sea and Lower Danube River in Romania.</w:t>
      </w:r>
      <w:r>
        <w:rPr>
          <w:color w:val="000000"/>
          <w:sz w:val="22"/>
          <w:szCs w:val="22"/>
        </w:rPr>
        <w:t xml:space="preserve"> Masters Dissertation, Norwegian University of Science and Technology</w:t>
      </w:r>
    </w:p>
    <w:p w14:paraId="3107B396" w14:textId="77777777" w:rsidR="00FC2BD1" w:rsidRDefault="00FC2BD1" w:rsidP="00FC2BD1">
      <w:pPr>
        <w:pStyle w:val="NormalWeb"/>
        <w:spacing w:before="0" w:beforeAutospacing="0" w:after="160" w:afterAutospacing="0"/>
        <w:rPr>
          <w:color w:val="000000"/>
        </w:rPr>
      </w:pPr>
      <w:r>
        <w:rPr>
          <w:color w:val="000000"/>
          <w:sz w:val="22"/>
          <w:szCs w:val="22"/>
        </w:rPr>
        <w:t xml:space="preserve">Rossiter, D. A. (2011) ‘Leave the Lemons at Home: Towards a Political Ecology of Border Space’, </w:t>
      </w:r>
      <w:r>
        <w:rPr>
          <w:i/>
          <w:iCs/>
          <w:color w:val="000000"/>
          <w:sz w:val="22"/>
          <w:szCs w:val="22"/>
        </w:rPr>
        <w:t>Geopolitics</w:t>
      </w:r>
      <w:r>
        <w:rPr>
          <w:color w:val="000000"/>
          <w:sz w:val="22"/>
          <w:szCs w:val="22"/>
        </w:rPr>
        <w:t xml:space="preserve">, [Online] </w:t>
      </w:r>
      <w:r>
        <w:rPr>
          <w:b/>
          <w:bCs/>
          <w:color w:val="000000"/>
          <w:sz w:val="22"/>
          <w:szCs w:val="22"/>
        </w:rPr>
        <w:t>16</w:t>
      </w:r>
      <w:r>
        <w:rPr>
          <w:color w:val="000000"/>
          <w:sz w:val="22"/>
          <w:szCs w:val="22"/>
        </w:rPr>
        <w:t>(1), pp. 107–120. [Accessed: 27 November 2018] Available from: doi: 10.1080/14650045.2010.493777.</w:t>
      </w:r>
    </w:p>
    <w:p w14:paraId="0F814382" w14:textId="77777777" w:rsidR="00FC2BD1" w:rsidRDefault="00FC2BD1" w:rsidP="00FC2BD1">
      <w:pPr>
        <w:pStyle w:val="NormalWeb"/>
        <w:spacing w:before="0" w:beforeAutospacing="0" w:after="160" w:afterAutospacing="0"/>
        <w:rPr>
          <w:color w:val="000000"/>
        </w:rPr>
      </w:pPr>
      <w:r>
        <w:rPr>
          <w:color w:val="000000"/>
          <w:sz w:val="22"/>
          <w:szCs w:val="22"/>
        </w:rPr>
        <w:t xml:space="preserve">Sandbrook, C., Luqe-Lora, R., &amp; Adams, W. M. (2018) ‘Human Bycatch: Conservation Surveillance and the Social Implications of Camera Traps’, </w:t>
      </w:r>
      <w:r>
        <w:rPr>
          <w:i/>
          <w:iCs/>
          <w:color w:val="000000"/>
          <w:sz w:val="22"/>
          <w:szCs w:val="22"/>
        </w:rPr>
        <w:t>Conservation and Society</w:t>
      </w:r>
      <w:r>
        <w:rPr>
          <w:color w:val="000000"/>
          <w:sz w:val="22"/>
          <w:szCs w:val="22"/>
        </w:rPr>
        <w:t xml:space="preserve">, [Online] </w:t>
      </w:r>
      <w:r>
        <w:rPr>
          <w:b/>
          <w:bCs/>
          <w:color w:val="000000"/>
          <w:sz w:val="22"/>
          <w:szCs w:val="22"/>
        </w:rPr>
        <w:t>16</w:t>
      </w:r>
      <w:r>
        <w:rPr>
          <w:color w:val="000000"/>
          <w:sz w:val="22"/>
          <w:szCs w:val="22"/>
        </w:rPr>
        <w:t>(4), pp. 493–504. [Accessed: 22 February 2020] Available from: doi: 10.4103/cs.cs.</w:t>
      </w:r>
    </w:p>
    <w:p w14:paraId="6D0786AD" w14:textId="77777777" w:rsidR="00FC2BD1" w:rsidRDefault="00FC2BD1" w:rsidP="00FC2BD1">
      <w:pPr>
        <w:pStyle w:val="NormalWeb"/>
        <w:spacing w:before="0" w:beforeAutospacing="0" w:after="160" w:afterAutospacing="0"/>
        <w:rPr>
          <w:color w:val="000000"/>
        </w:rPr>
      </w:pPr>
      <w:r>
        <w:rPr>
          <w:color w:val="000000"/>
          <w:sz w:val="22"/>
          <w:szCs w:val="22"/>
        </w:rPr>
        <w:t xml:space="preserve">Schlingeman, L. (Editor in chief), de Bortoli, I., Favilli F., Egerer, H., Musco, E., Lucas T., Lucius, I. (Eds). (2017) </w:t>
      </w:r>
      <w:r>
        <w:rPr>
          <w:i/>
          <w:iCs/>
          <w:color w:val="000000"/>
          <w:sz w:val="22"/>
          <w:szCs w:val="22"/>
        </w:rPr>
        <w:t xml:space="preserve">Combating Wildlife and Forest Crime in the Danube-Carpathian Region. </w:t>
      </w:r>
      <w:r>
        <w:rPr>
          <w:color w:val="000000"/>
          <w:sz w:val="22"/>
          <w:szCs w:val="22"/>
        </w:rPr>
        <w:t>A UN Environment - Eurac Research - WWF Report. Vienna: UN Environment [Accessed: 30 May 2020] Available from: http://wedocs.unep.org/bitstream/handle/20.500.11822/22225/Combating_WildlifeCrime_Danube.pdf?sequence=1&amp;isAllowed=y</w:t>
      </w:r>
    </w:p>
    <w:p w14:paraId="54C67A61" w14:textId="77777777" w:rsidR="00FC2BD1" w:rsidRDefault="00FC2BD1" w:rsidP="00FC2BD1">
      <w:pPr>
        <w:pStyle w:val="NormalWeb"/>
        <w:spacing w:before="0" w:beforeAutospacing="0" w:after="160" w:afterAutospacing="0"/>
        <w:rPr>
          <w:color w:val="000000"/>
        </w:rPr>
      </w:pPr>
      <w:r>
        <w:rPr>
          <w:color w:val="000000"/>
          <w:sz w:val="22"/>
          <w:szCs w:val="22"/>
        </w:rPr>
        <w:t xml:space="preserve">Selby, J. (2019) ‘Climate change and the Syrian civil war, Part II: The Jazira’s agrarian crisis’, </w:t>
      </w:r>
      <w:r>
        <w:rPr>
          <w:i/>
          <w:iCs/>
          <w:color w:val="000000"/>
          <w:sz w:val="22"/>
          <w:szCs w:val="22"/>
        </w:rPr>
        <w:t>Geoforum</w:t>
      </w:r>
      <w:r>
        <w:rPr>
          <w:color w:val="000000"/>
          <w:sz w:val="22"/>
          <w:szCs w:val="22"/>
        </w:rPr>
        <w:t xml:space="preserve">. [Online] </w:t>
      </w:r>
      <w:r>
        <w:rPr>
          <w:b/>
          <w:bCs/>
          <w:color w:val="000000"/>
          <w:sz w:val="22"/>
          <w:szCs w:val="22"/>
        </w:rPr>
        <w:t>101</w:t>
      </w:r>
      <w:r>
        <w:rPr>
          <w:color w:val="000000"/>
          <w:sz w:val="22"/>
          <w:szCs w:val="22"/>
        </w:rPr>
        <w:t>, pp. 260–274. [Accessed: 19 March 2020] Available from: doi: 10.1016/j.geoforum.2018.06.010.</w:t>
      </w:r>
    </w:p>
    <w:p w14:paraId="5D51CBDB" w14:textId="77777777" w:rsidR="00FC2BD1" w:rsidRDefault="00FC2BD1" w:rsidP="00FC2BD1">
      <w:pPr>
        <w:pStyle w:val="NormalWeb"/>
        <w:spacing w:before="0" w:beforeAutospacing="0" w:after="160" w:afterAutospacing="0"/>
        <w:rPr>
          <w:color w:val="000000"/>
        </w:rPr>
      </w:pPr>
      <w:r>
        <w:rPr>
          <w:color w:val="000000"/>
          <w:sz w:val="22"/>
          <w:szCs w:val="22"/>
        </w:rPr>
        <w:t xml:space="preserve">Selby, J., Dahi, O.S., Frohlich, C., &amp; Hulme, M. (2017) ‘Climate change and the Syrian civil war revisited’, </w:t>
      </w:r>
      <w:r>
        <w:rPr>
          <w:i/>
          <w:iCs/>
          <w:color w:val="000000"/>
          <w:sz w:val="22"/>
          <w:szCs w:val="22"/>
        </w:rPr>
        <w:t>Political Geography</w:t>
      </w:r>
      <w:r>
        <w:rPr>
          <w:color w:val="000000"/>
          <w:sz w:val="22"/>
          <w:szCs w:val="22"/>
        </w:rPr>
        <w:t xml:space="preserve">, [Online]  </w:t>
      </w:r>
      <w:r>
        <w:rPr>
          <w:b/>
          <w:bCs/>
          <w:color w:val="000000"/>
          <w:sz w:val="22"/>
          <w:szCs w:val="22"/>
        </w:rPr>
        <w:t>60</w:t>
      </w:r>
      <w:r>
        <w:rPr>
          <w:color w:val="000000"/>
          <w:sz w:val="22"/>
          <w:szCs w:val="22"/>
        </w:rPr>
        <w:t>, pp. 232–244. [Accessed: 19 March 2020] Available from: doi: 10.1016/j.polgeo.2017.05.007.</w:t>
      </w:r>
    </w:p>
    <w:p w14:paraId="26066AA0" w14:textId="77777777" w:rsidR="00FC2BD1" w:rsidRDefault="00FC2BD1" w:rsidP="00FC2BD1">
      <w:pPr>
        <w:pStyle w:val="NormalWeb"/>
        <w:spacing w:before="0" w:beforeAutospacing="0" w:after="160" w:afterAutospacing="0"/>
        <w:rPr>
          <w:color w:val="000000"/>
        </w:rPr>
      </w:pPr>
      <w:r>
        <w:rPr>
          <w:color w:val="000000"/>
          <w:sz w:val="22"/>
          <w:szCs w:val="22"/>
        </w:rPr>
        <w:t xml:space="preserve">Shadrina, E. (2007) ‘The Great Caspian Caviar Game’, </w:t>
      </w:r>
      <w:r>
        <w:rPr>
          <w:i/>
          <w:iCs/>
          <w:color w:val="000000"/>
          <w:sz w:val="22"/>
          <w:szCs w:val="22"/>
        </w:rPr>
        <w:t>Security Index: A Russian Journal on International Security</w:t>
      </w:r>
      <w:r>
        <w:rPr>
          <w:color w:val="000000"/>
          <w:sz w:val="22"/>
          <w:szCs w:val="22"/>
        </w:rPr>
        <w:t xml:space="preserve">, </w:t>
      </w:r>
      <w:r>
        <w:rPr>
          <w:b/>
          <w:bCs/>
          <w:color w:val="000000"/>
          <w:sz w:val="22"/>
          <w:szCs w:val="22"/>
        </w:rPr>
        <w:t>13</w:t>
      </w:r>
      <w:r>
        <w:rPr>
          <w:color w:val="000000"/>
          <w:sz w:val="22"/>
          <w:szCs w:val="22"/>
        </w:rPr>
        <w:t>,1(81) pp. 55–78.</w:t>
      </w:r>
    </w:p>
    <w:p w14:paraId="5F353C56" w14:textId="77777777" w:rsidR="00FC2BD1" w:rsidRDefault="00FC2BD1" w:rsidP="00FC2BD1">
      <w:pPr>
        <w:pStyle w:val="NormalWeb"/>
        <w:spacing w:before="0" w:beforeAutospacing="0" w:after="160" w:afterAutospacing="0"/>
        <w:rPr>
          <w:color w:val="000000"/>
        </w:rPr>
      </w:pPr>
      <w:r>
        <w:rPr>
          <w:color w:val="000000"/>
          <w:sz w:val="22"/>
          <w:szCs w:val="22"/>
        </w:rPr>
        <w:t xml:space="preserve">Sicuro, B. (2018) ‘The future of caviar production on the light of social changes: a new dawn for caviar?’, </w:t>
      </w:r>
      <w:r>
        <w:rPr>
          <w:i/>
          <w:iCs/>
          <w:color w:val="000000"/>
          <w:sz w:val="22"/>
          <w:szCs w:val="22"/>
        </w:rPr>
        <w:t>Reviews in Aquaculture</w:t>
      </w:r>
      <w:r>
        <w:rPr>
          <w:color w:val="000000"/>
          <w:sz w:val="22"/>
          <w:szCs w:val="22"/>
        </w:rPr>
        <w:t xml:space="preserve">, [Online] </w:t>
      </w:r>
      <w:r>
        <w:rPr>
          <w:b/>
          <w:bCs/>
          <w:color w:val="000000"/>
          <w:sz w:val="22"/>
          <w:szCs w:val="22"/>
        </w:rPr>
        <w:t>11</w:t>
      </w:r>
      <w:r>
        <w:rPr>
          <w:color w:val="000000"/>
          <w:sz w:val="22"/>
          <w:szCs w:val="22"/>
        </w:rPr>
        <w:t>(1), pp.204 -219. [Accessed: 6 November 2018] Available from: doi: 10.1111/raq.12235.</w:t>
      </w:r>
    </w:p>
    <w:p w14:paraId="1858A2A2" w14:textId="77777777" w:rsidR="00FC2BD1" w:rsidRDefault="00FC2BD1" w:rsidP="00FC2BD1">
      <w:pPr>
        <w:pStyle w:val="NormalWeb"/>
        <w:spacing w:before="0" w:beforeAutospacing="0" w:after="160" w:afterAutospacing="0"/>
        <w:rPr>
          <w:color w:val="000000"/>
        </w:rPr>
      </w:pPr>
      <w:r>
        <w:rPr>
          <w:color w:val="000000"/>
          <w:sz w:val="22"/>
          <w:szCs w:val="22"/>
        </w:rPr>
        <w:t xml:space="preserve">Skóra, M. E. (2012) ‘First report on the Siberian sturgeon Acipenser baerii Brandt, in the Reda River (Baltic Sea basin)’, </w:t>
      </w:r>
      <w:r>
        <w:rPr>
          <w:i/>
          <w:iCs/>
          <w:color w:val="000000"/>
          <w:sz w:val="22"/>
          <w:szCs w:val="22"/>
        </w:rPr>
        <w:t>Archives of Polish Fisheries</w:t>
      </w:r>
      <w:r>
        <w:rPr>
          <w:color w:val="000000"/>
          <w:sz w:val="22"/>
          <w:szCs w:val="22"/>
        </w:rPr>
        <w:t xml:space="preserve">, [Online] </w:t>
      </w:r>
      <w:r>
        <w:rPr>
          <w:b/>
          <w:bCs/>
          <w:color w:val="000000"/>
          <w:sz w:val="22"/>
          <w:szCs w:val="22"/>
        </w:rPr>
        <w:t>20</w:t>
      </w:r>
      <w:r>
        <w:rPr>
          <w:color w:val="000000"/>
          <w:sz w:val="22"/>
          <w:szCs w:val="22"/>
        </w:rPr>
        <w:t>(4), pp. 307–309. [Accessed: 11 June 2019] Available from: doi: 10.2478/v10086-012-0035-x.</w:t>
      </w:r>
    </w:p>
    <w:p w14:paraId="1B63F034" w14:textId="77777777" w:rsidR="00FC2BD1" w:rsidRDefault="00FC2BD1" w:rsidP="00FC2BD1">
      <w:pPr>
        <w:pStyle w:val="NormalWeb"/>
        <w:spacing w:before="0" w:beforeAutospacing="0" w:after="160" w:afterAutospacing="0"/>
        <w:rPr>
          <w:color w:val="000000"/>
        </w:rPr>
      </w:pPr>
      <w:r>
        <w:rPr>
          <w:color w:val="000000"/>
          <w:sz w:val="22"/>
          <w:szCs w:val="22"/>
        </w:rPr>
        <w:t xml:space="preserve">Skóra, M. E. </w:t>
      </w:r>
      <w:r>
        <w:rPr>
          <w:i/>
          <w:iCs/>
          <w:color w:val="000000"/>
          <w:sz w:val="22"/>
          <w:szCs w:val="22"/>
        </w:rPr>
        <w:t>et al.</w:t>
      </w:r>
      <w:r>
        <w:rPr>
          <w:color w:val="000000"/>
          <w:sz w:val="22"/>
          <w:szCs w:val="22"/>
        </w:rPr>
        <w:t xml:space="preserve"> (2018) ‘Exotic sturgeons in the Vistula Lagoon in 2011, their occurrence, diet and parasites, with notes on the fishery background’, </w:t>
      </w:r>
      <w:r>
        <w:rPr>
          <w:i/>
          <w:iCs/>
          <w:color w:val="000000"/>
          <w:sz w:val="22"/>
          <w:szCs w:val="22"/>
        </w:rPr>
        <w:t>Journal of Applied Ichthyology</w:t>
      </w:r>
      <w:r>
        <w:rPr>
          <w:color w:val="000000"/>
          <w:sz w:val="22"/>
          <w:szCs w:val="22"/>
        </w:rPr>
        <w:t xml:space="preserve">, [Online] </w:t>
      </w:r>
      <w:r>
        <w:rPr>
          <w:b/>
          <w:bCs/>
          <w:color w:val="000000"/>
          <w:sz w:val="22"/>
          <w:szCs w:val="22"/>
        </w:rPr>
        <w:t>34</w:t>
      </w:r>
      <w:r>
        <w:rPr>
          <w:color w:val="000000"/>
          <w:sz w:val="22"/>
          <w:szCs w:val="22"/>
        </w:rPr>
        <w:t>(1), pp. 33–38. [Accessed: 11 June 2019] Available from: doi: 10.1111/jai.13577.</w:t>
      </w:r>
    </w:p>
    <w:p w14:paraId="6402BC14" w14:textId="77777777" w:rsidR="00FC2BD1" w:rsidRDefault="00FC2BD1" w:rsidP="00FC2BD1">
      <w:pPr>
        <w:pStyle w:val="NormalWeb"/>
        <w:spacing w:before="0" w:beforeAutospacing="0" w:after="160" w:afterAutospacing="0"/>
        <w:rPr>
          <w:color w:val="000000"/>
          <w:sz w:val="22"/>
          <w:szCs w:val="22"/>
        </w:rPr>
      </w:pPr>
      <w:r>
        <w:rPr>
          <w:color w:val="000000"/>
          <w:sz w:val="22"/>
          <w:szCs w:val="22"/>
        </w:rPr>
        <w:lastRenderedPageBreak/>
        <w:t xml:space="preserve">Spapens, T., White, R., &amp; Huisman, W. (Eds.) (2016) </w:t>
      </w:r>
      <w:r>
        <w:rPr>
          <w:i/>
          <w:iCs/>
          <w:color w:val="000000"/>
          <w:sz w:val="22"/>
          <w:szCs w:val="22"/>
        </w:rPr>
        <w:t xml:space="preserve">Environmental Crime in Transnational Context: Global Issues in Green Criminology. </w:t>
      </w:r>
      <w:r>
        <w:rPr>
          <w:color w:val="000000"/>
          <w:sz w:val="22"/>
          <w:szCs w:val="22"/>
        </w:rPr>
        <w:t>London: Routledge.</w:t>
      </w:r>
    </w:p>
    <w:p w14:paraId="763D5889" w14:textId="7C8F155A" w:rsidR="0055390F" w:rsidRPr="0055390F" w:rsidRDefault="0055390F" w:rsidP="00FC2BD1">
      <w:pPr>
        <w:pStyle w:val="NormalWeb"/>
        <w:spacing w:before="0" w:beforeAutospacing="0" w:after="160" w:afterAutospacing="0"/>
        <w:rPr>
          <w:color w:val="000000"/>
          <w:sz w:val="22"/>
          <w:szCs w:val="22"/>
        </w:rPr>
      </w:pPr>
      <w:r>
        <w:rPr>
          <w:color w:val="000000"/>
          <w:sz w:val="22"/>
          <w:szCs w:val="22"/>
        </w:rPr>
        <w:t xml:space="preserve">Squire, R. (2020) ‘Companions, zappers, and invaders: The animal geopolitics of Sealab I, II, and III (1964-1969)’, </w:t>
      </w:r>
      <w:r w:rsidRPr="0055390F">
        <w:rPr>
          <w:i/>
          <w:color w:val="000000"/>
          <w:sz w:val="22"/>
          <w:szCs w:val="22"/>
        </w:rPr>
        <w:t>Political Geography</w:t>
      </w:r>
      <w:r>
        <w:rPr>
          <w:color w:val="000000"/>
          <w:sz w:val="22"/>
          <w:szCs w:val="22"/>
        </w:rPr>
        <w:t xml:space="preserve"> [Online] </w:t>
      </w:r>
      <w:r w:rsidRPr="0055390F">
        <w:rPr>
          <w:b/>
          <w:color w:val="000000"/>
          <w:sz w:val="22"/>
          <w:szCs w:val="22"/>
        </w:rPr>
        <w:t>82,</w:t>
      </w:r>
      <w:r>
        <w:rPr>
          <w:color w:val="000000"/>
          <w:sz w:val="22"/>
          <w:szCs w:val="22"/>
        </w:rPr>
        <w:t xml:space="preserve"> 102224, pp.1-11 [Accessed: 06 June 2020] Available from: doi: </w:t>
      </w:r>
      <w:r w:rsidRPr="0055390F">
        <w:rPr>
          <w:rFonts w:eastAsia="Times New Roman"/>
          <w:sz w:val="22"/>
          <w:szCs w:val="22"/>
          <w:bdr w:val="none" w:sz="0" w:space="0" w:color="auto" w:frame="1"/>
        </w:rPr>
        <w:t>10.1016/j.polgeo.2020.102224</w:t>
      </w:r>
    </w:p>
    <w:p w14:paraId="57F62627" w14:textId="77777777" w:rsidR="00FC2BD1" w:rsidRDefault="00FC2BD1" w:rsidP="00FC2BD1">
      <w:pPr>
        <w:pStyle w:val="NormalWeb"/>
        <w:spacing w:before="0" w:beforeAutospacing="0" w:after="160" w:afterAutospacing="0"/>
        <w:rPr>
          <w:color w:val="000000"/>
        </w:rPr>
      </w:pPr>
      <w:r>
        <w:rPr>
          <w:color w:val="000000"/>
          <w:sz w:val="22"/>
          <w:szCs w:val="22"/>
        </w:rPr>
        <w:t xml:space="preserve">Squire, V. (2014) ‘Desert “trash”: Posthumanism, border struggles, and humanitarian politics’, </w:t>
      </w:r>
      <w:r>
        <w:rPr>
          <w:i/>
          <w:iCs/>
          <w:color w:val="000000"/>
          <w:sz w:val="22"/>
          <w:szCs w:val="22"/>
        </w:rPr>
        <w:t>Political Geography</w:t>
      </w:r>
      <w:r>
        <w:rPr>
          <w:color w:val="000000"/>
          <w:sz w:val="22"/>
          <w:szCs w:val="22"/>
        </w:rPr>
        <w:t xml:space="preserve">, [Online] </w:t>
      </w:r>
      <w:r>
        <w:rPr>
          <w:b/>
          <w:bCs/>
          <w:color w:val="000000"/>
          <w:sz w:val="22"/>
          <w:szCs w:val="22"/>
        </w:rPr>
        <w:t>39</w:t>
      </w:r>
      <w:r>
        <w:rPr>
          <w:color w:val="000000"/>
          <w:sz w:val="22"/>
          <w:szCs w:val="22"/>
        </w:rPr>
        <w:t>, pp. 11–21. [Accessed: 06 March 2019] Available from: doi: 10.1016/j.polgeo.2013.12.003.</w:t>
      </w:r>
    </w:p>
    <w:p w14:paraId="19228CAC" w14:textId="77777777" w:rsidR="00FC2BD1" w:rsidRDefault="00FC2BD1" w:rsidP="00FC2BD1">
      <w:pPr>
        <w:pStyle w:val="NormalWeb"/>
        <w:spacing w:before="0" w:beforeAutospacing="0" w:after="160" w:afterAutospacing="0"/>
        <w:rPr>
          <w:color w:val="000000"/>
        </w:rPr>
      </w:pPr>
      <w:r>
        <w:rPr>
          <w:color w:val="000000"/>
          <w:sz w:val="22"/>
          <w:szCs w:val="22"/>
        </w:rPr>
        <w:t xml:space="preserve">Squire, V. (2015) ‘Reshaping critical geopolitics? The materialist challenge’, </w:t>
      </w:r>
      <w:r>
        <w:rPr>
          <w:i/>
          <w:iCs/>
          <w:color w:val="000000"/>
          <w:sz w:val="22"/>
          <w:szCs w:val="22"/>
        </w:rPr>
        <w:t>Review of International Studies</w:t>
      </w:r>
      <w:r>
        <w:rPr>
          <w:color w:val="000000"/>
          <w:sz w:val="22"/>
          <w:szCs w:val="22"/>
        </w:rPr>
        <w:t xml:space="preserve">, [Online] </w:t>
      </w:r>
      <w:r>
        <w:rPr>
          <w:b/>
          <w:bCs/>
          <w:color w:val="000000"/>
          <w:sz w:val="22"/>
          <w:szCs w:val="22"/>
        </w:rPr>
        <w:t>41</w:t>
      </w:r>
      <w:r>
        <w:rPr>
          <w:color w:val="000000"/>
          <w:sz w:val="22"/>
          <w:szCs w:val="22"/>
        </w:rPr>
        <w:t>(1), pp. 139–159. [Accessed: 11 March 2020] Available from: doi: 10.1017/S0260210514000102.</w:t>
      </w:r>
    </w:p>
    <w:p w14:paraId="5D7B688A" w14:textId="77777777" w:rsidR="00FC2BD1" w:rsidRDefault="00FC2BD1" w:rsidP="00FC2BD1">
      <w:pPr>
        <w:pStyle w:val="NormalWeb"/>
        <w:spacing w:before="0" w:beforeAutospacing="0" w:after="160" w:afterAutospacing="0"/>
        <w:rPr>
          <w:color w:val="000000"/>
        </w:rPr>
      </w:pPr>
      <w:r>
        <w:rPr>
          <w:color w:val="000000"/>
          <w:sz w:val="22"/>
          <w:szCs w:val="22"/>
        </w:rPr>
        <w:t xml:space="preserve">Srinivasan, K. (2016) ‘Towards a political animal geography?’, </w:t>
      </w:r>
      <w:r>
        <w:rPr>
          <w:i/>
          <w:iCs/>
          <w:color w:val="000000"/>
          <w:sz w:val="22"/>
          <w:szCs w:val="22"/>
        </w:rPr>
        <w:t>Political Geography</w:t>
      </w:r>
      <w:r>
        <w:rPr>
          <w:color w:val="000000"/>
          <w:sz w:val="22"/>
          <w:szCs w:val="22"/>
        </w:rPr>
        <w:t xml:space="preserve">. [Online] </w:t>
      </w:r>
      <w:r>
        <w:rPr>
          <w:b/>
          <w:bCs/>
          <w:color w:val="000000"/>
          <w:sz w:val="22"/>
          <w:szCs w:val="22"/>
        </w:rPr>
        <w:t>50</w:t>
      </w:r>
      <w:r>
        <w:rPr>
          <w:color w:val="000000"/>
          <w:sz w:val="22"/>
          <w:szCs w:val="22"/>
        </w:rPr>
        <w:t>, pp. 76–78. [Accessed: 07 November 2018] Available from: doi: 10.1016/J.POLGEO.2015.08.002.</w:t>
      </w:r>
    </w:p>
    <w:p w14:paraId="62666FF7" w14:textId="77777777" w:rsidR="00FC2BD1" w:rsidRDefault="00FC2BD1" w:rsidP="00FC2BD1">
      <w:pPr>
        <w:pStyle w:val="NormalWeb"/>
        <w:spacing w:before="0" w:beforeAutospacing="0" w:after="160" w:afterAutospacing="0"/>
        <w:rPr>
          <w:color w:val="000000"/>
        </w:rPr>
      </w:pPr>
      <w:r>
        <w:rPr>
          <w:color w:val="000000"/>
          <w:sz w:val="22"/>
          <w:szCs w:val="22"/>
        </w:rPr>
        <w:t xml:space="preserve">Steffens, W. (2008) ‘Significance of Aquaculture for the Conservation and Restoration of Sturgeon Populations’, </w:t>
      </w:r>
      <w:r>
        <w:rPr>
          <w:i/>
          <w:iCs/>
          <w:color w:val="000000"/>
          <w:sz w:val="22"/>
          <w:szCs w:val="22"/>
        </w:rPr>
        <w:t>Bulgarian Journal of Agricultural Science</w:t>
      </w:r>
      <w:r>
        <w:rPr>
          <w:color w:val="000000"/>
          <w:sz w:val="22"/>
          <w:szCs w:val="22"/>
        </w:rPr>
        <w:t xml:space="preserve">, </w:t>
      </w:r>
      <w:r>
        <w:rPr>
          <w:b/>
          <w:bCs/>
          <w:color w:val="000000"/>
          <w:sz w:val="22"/>
          <w:szCs w:val="22"/>
        </w:rPr>
        <w:t>14</w:t>
      </w:r>
      <w:r>
        <w:rPr>
          <w:color w:val="000000"/>
          <w:sz w:val="22"/>
          <w:szCs w:val="22"/>
        </w:rPr>
        <w:t xml:space="preserve"> (2), pp. 155-164.</w:t>
      </w:r>
    </w:p>
    <w:p w14:paraId="0EE23DE9" w14:textId="77777777" w:rsidR="00FC2BD1" w:rsidRDefault="00FC2BD1" w:rsidP="00FC2BD1">
      <w:pPr>
        <w:pStyle w:val="NormalWeb"/>
        <w:spacing w:before="0" w:beforeAutospacing="0" w:after="160" w:afterAutospacing="0"/>
        <w:rPr>
          <w:color w:val="000000"/>
        </w:rPr>
      </w:pPr>
      <w:r>
        <w:rPr>
          <w:color w:val="000000"/>
          <w:sz w:val="22"/>
          <w:szCs w:val="22"/>
        </w:rPr>
        <w:t xml:space="preserve">Steinberg, P. and Peters, K. (2015) ‘Wet ontologies, fluid spaces: giving depth to volume through oceanic thinking’, </w:t>
      </w:r>
      <w:r>
        <w:rPr>
          <w:i/>
          <w:iCs/>
          <w:color w:val="000000"/>
          <w:sz w:val="22"/>
          <w:szCs w:val="22"/>
        </w:rPr>
        <w:t>Society and Space</w:t>
      </w:r>
      <w:r>
        <w:rPr>
          <w:color w:val="000000"/>
          <w:sz w:val="22"/>
          <w:szCs w:val="22"/>
        </w:rPr>
        <w:t xml:space="preserve">, [Online] </w:t>
      </w:r>
      <w:r>
        <w:rPr>
          <w:b/>
          <w:bCs/>
          <w:color w:val="000000"/>
          <w:sz w:val="22"/>
          <w:szCs w:val="22"/>
        </w:rPr>
        <w:t>33</w:t>
      </w:r>
      <w:r>
        <w:rPr>
          <w:color w:val="000000"/>
          <w:sz w:val="22"/>
          <w:szCs w:val="22"/>
        </w:rPr>
        <w:t>, pp. 247–264. [Accessed: 07 November 2018] Available from: doi: 10.1068/d14148p.</w:t>
      </w:r>
    </w:p>
    <w:p w14:paraId="186DCBB2" w14:textId="77777777" w:rsidR="00FC2BD1" w:rsidRDefault="00FC2BD1" w:rsidP="00FC2BD1">
      <w:pPr>
        <w:pStyle w:val="NormalWeb"/>
        <w:spacing w:before="0" w:beforeAutospacing="0" w:after="160" w:afterAutospacing="0"/>
        <w:rPr>
          <w:color w:val="000000"/>
        </w:rPr>
      </w:pPr>
      <w:r>
        <w:rPr>
          <w:color w:val="000000"/>
          <w:sz w:val="22"/>
          <w:szCs w:val="22"/>
        </w:rPr>
        <w:t xml:space="preserve">Sundberg, J. (2011) ‘Diabolic Caminos in the Desert and Cat Fights on the Río: A Posthumanist Political Ecology of Boundary Enforcement in the United States-Mexico Borderlands’, </w:t>
      </w:r>
      <w:r>
        <w:rPr>
          <w:i/>
          <w:iCs/>
          <w:color w:val="000000"/>
          <w:sz w:val="22"/>
          <w:szCs w:val="22"/>
        </w:rPr>
        <w:t>Annals of the Association of American Geographers</w:t>
      </w:r>
      <w:r>
        <w:rPr>
          <w:color w:val="000000"/>
          <w:sz w:val="22"/>
          <w:szCs w:val="22"/>
        </w:rPr>
        <w:t xml:space="preserve">, [Online] </w:t>
      </w:r>
      <w:r>
        <w:rPr>
          <w:b/>
          <w:bCs/>
          <w:color w:val="000000"/>
          <w:sz w:val="22"/>
          <w:szCs w:val="22"/>
        </w:rPr>
        <w:t>101</w:t>
      </w:r>
      <w:r>
        <w:rPr>
          <w:color w:val="000000"/>
          <w:sz w:val="22"/>
          <w:szCs w:val="22"/>
        </w:rPr>
        <w:t>(2), pp. 318–336. [Accessed: 04 December 2018]  Available from: doi: 10.1080/00045608.2010.538323.</w:t>
      </w:r>
    </w:p>
    <w:p w14:paraId="472C1A0B" w14:textId="77777777" w:rsidR="00FC2BD1" w:rsidRDefault="00FC2BD1" w:rsidP="00FC2BD1">
      <w:pPr>
        <w:pStyle w:val="NormalWeb"/>
        <w:spacing w:before="0" w:beforeAutospacing="0" w:after="160" w:afterAutospacing="0"/>
        <w:rPr>
          <w:color w:val="000000"/>
        </w:rPr>
      </w:pPr>
      <w:r>
        <w:rPr>
          <w:color w:val="000000"/>
          <w:sz w:val="22"/>
          <w:szCs w:val="22"/>
        </w:rPr>
        <w:t xml:space="preserve">Sundberg, J. (2016) ‘Feminist Political Ecology’, in Richardson, D. (Editor-in-Chief) </w:t>
      </w:r>
      <w:r>
        <w:rPr>
          <w:i/>
          <w:iCs/>
          <w:color w:val="000000"/>
          <w:sz w:val="22"/>
          <w:szCs w:val="22"/>
        </w:rPr>
        <w:t>International Encylopedia of Geography: People, the Earth, Environment and Technology</w:t>
      </w:r>
      <w:r>
        <w:rPr>
          <w:color w:val="000000"/>
          <w:sz w:val="22"/>
          <w:szCs w:val="22"/>
        </w:rPr>
        <w:t>. New York, NY: Wiley-Blackwell. pp. 5472–5475.</w:t>
      </w:r>
    </w:p>
    <w:p w14:paraId="01F0028C" w14:textId="77777777" w:rsidR="00FC2BD1" w:rsidRDefault="00FC2BD1" w:rsidP="00FC2BD1">
      <w:pPr>
        <w:pStyle w:val="NormalWeb"/>
        <w:spacing w:before="0" w:beforeAutospacing="0" w:after="160" w:afterAutospacing="0"/>
        <w:rPr>
          <w:color w:val="000000"/>
        </w:rPr>
      </w:pPr>
      <w:r>
        <w:rPr>
          <w:color w:val="000000"/>
          <w:sz w:val="22"/>
          <w:szCs w:val="22"/>
        </w:rPr>
        <w:t xml:space="preserve">Tensen, L. (2016) ‘Under what circumstances can wildlife farming benefit species conservation?’, </w:t>
      </w:r>
      <w:r>
        <w:rPr>
          <w:i/>
          <w:iCs/>
          <w:color w:val="000000"/>
          <w:sz w:val="22"/>
          <w:szCs w:val="22"/>
        </w:rPr>
        <w:t>Global Ecology and Conservation</w:t>
      </w:r>
      <w:r>
        <w:rPr>
          <w:color w:val="000000"/>
          <w:sz w:val="22"/>
          <w:szCs w:val="22"/>
        </w:rPr>
        <w:t>. [Online] 6, pp. 286–298. [Accessed: 14 April 2020] Available from: doi: 10.1016/j.gecco.2016.03.007.</w:t>
      </w:r>
    </w:p>
    <w:p w14:paraId="6F9E7392" w14:textId="77777777" w:rsidR="00FC2BD1" w:rsidRDefault="00FC2BD1" w:rsidP="00FC2BD1">
      <w:pPr>
        <w:pStyle w:val="NormalWeb"/>
        <w:spacing w:before="0" w:beforeAutospacing="0" w:after="160" w:afterAutospacing="0"/>
        <w:rPr>
          <w:color w:val="000000"/>
        </w:rPr>
      </w:pPr>
      <w:r>
        <w:rPr>
          <w:color w:val="000000"/>
          <w:sz w:val="22"/>
          <w:szCs w:val="22"/>
        </w:rPr>
        <w:t xml:space="preserve">Theriault, N. (2017) ‘A forest of dreams: Ontological multiplicity and the fantasies of environmental government in the Philippines’, </w:t>
      </w:r>
      <w:r>
        <w:rPr>
          <w:i/>
          <w:iCs/>
          <w:color w:val="000000"/>
          <w:sz w:val="22"/>
          <w:szCs w:val="22"/>
        </w:rPr>
        <w:t>Political Geography</w:t>
      </w:r>
      <w:r>
        <w:rPr>
          <w:color w:val="000000"/>
          <w:sz w:val="22"/>
          <w:szCs w:val="22"/>
        </w:rPr>
        <w:t xml:space="preserve">. [Online] </w:t>
      </w:r>
      <w:r>
        <w:rPr>
          <w:b/>
          <w:bCs/>
          <w:color w:val="000000"/>
          <w:sz w:val="22"/>
          <w:szCs w:val="22"/>
        </w:rPr>
        <w:t>58</w:t>
      </w:r>
      <w:r>
        <w:rPr>
          <w:color w:val="000000"/>
          <w:sz w:val="22"/>
          <w:szCs w:val="22"/>
        </w:rPr>
        <w:t>, pp. 114–127. [Accessed: 09 December 2019] Available from: doi: 10.1016/j.polgeo.2015.09.004.</w:t>
      </w:r>
    </w:p>
    <w:p w14:paraId="2CC4A985" w14:textId="77777777" w:rsidR="00FC2BD1" w:rsidRDefault="00FC2BD1" w:rsidP="00FC2BD1">
      <w:pPr>
        <w:pStyle w:val="NormalWeb"/>
        <w:spacing w:before="0" w:beforeAutospacing="0" w:after="160" w:afterAutospacing="0"/>
        <w:rPr>
          <w:color w:val="000000"/>
        </w:rPr>
      </w:pPr>
      <w:r>
        <w:rPr>
          <w:color w:val="000000"/>
          <w:sz w:val="22"/>
          <w:szCs w:val="22"/>
        </w:rPr>
        <w:t xml:space="preserve">Toal, G. (1996) </w:t>
      </w:r>
      <w:r>
        <w:rPr>
          <w:i/>
          <w:iCs/>
          <w:color w:val="000000"/>
          <w:sz w:val="22"/>
          <w:szCs w:val="22"/>
        </w:rPr>
        <w:t>Critical geopolitics : the politics of writing global space</w:t>
      </w:r>
      <w:r>
        <w:rPr>
          <w:color w:val="000000"/>
          <w:sz w:val="22"/>
          <w:szCs w:val="22"/>
        </w:rPr>
        <w:t>. Minneapolis: University of Minnesota Press. </w:t>
      </w:r>
    </w:p>
    <w:p w14:paraId="0FA81914" w14:textId="77777777" w:rsidR="00FC2BD1" w:rsidRDefault="00FC2BD1" w:rsidP="00FC2BD1">
      <w:pPr>
        <w:pStyle w:val="NormalWeb"/>
        <w:spacing w:before="0" w:beforeAutospacing="0" w:after="160" w:afterAutospacing="0"/>
        <w:rPr>
          <w:color w:val="000000"/>
        </w:rPr>
      </w:pPr>
      <w:r>
        <w:rPr>
          <w:color w:val="000000"/>
          <w:sz w:val="22"/>
          <w:szCs w:val="22"/>
        </w:rPr>
        <w:t xml:space="preserve">Tolia-Kelly, D. P. (2013) ‘The geographies of cultural geography III: Material geographies, vibrant matters and risking surface geographies’, </w:t>
      </w:r>
      <w:r>
        <w:rPr>
          <w:i/>
          <w:iCs/>
          <w:color w:val="000000"/>
          <w:sz w:val="22"/>
          <w:szCs w:val="22"/>
        </w:rPr>
        <w:t>Progress in Human Geography</w:t>
      </w:r>
      <w:r>
        <w:rPr>
          <w:color w:val="000000"/>
          <w:sz w:val="22"/>
          <w:szCs w:val="22"/>
        </w:rPr>
        <w:t xml:space="preserve">, [Online] </w:t>
      </w:r>
      <w:r>
        <w:rPr>
          <w:b/>
          <w:bCs/>
          <w:color w:val="000000"/>
          <w:sz w:val="22"/>
          <w:szCs w:val="22"/>
        </w:rPr>
        <w:t>37</w:t>
      </w:r>
      <w:r>
        <w:rPr>
          <w:color w:val="000000"/>
          <w:sz w:val="22"/>
          <w:szCs w:val="22"/>
        </w:rPr>
        <w:t>(1), pp. 153–160. [Accessed: 26 July 2019] Available from: doi: 10.1177/0309132512439154.</w:t>
      </w:r>
    </w:p>
    <w:p w14:paraId="3ED6CBDD" w14:textId="77777777" w:rsidR="00FC2BD1" w:rsidRDefault="00FC2BD1" w:rsidP="00FC2BD1">
      <w:pPr>
        <w:pStyle w:val="NormalWeb"/>
        <w:spacing w:before="0" w:beforeAutospacing="0" w:after="160" w:afterAutospacing="0"/>
        <w:rPr>
          <w:color w:val="000000"/>
        </w:rPr>
      </w:pPr>
      <w:r>
        <w:rPr>
          <w:color w:val="000000"/>
          <w:sz w:val="22"/>
          <w:szCs w:val="22"/>
        </w:rPr>
        <w:t xml:space="preserve">TRAFFIC (2009) </w:t>
      </w:r>
      <w:r>
        <w:rPr>
          <w:i/>
          <w:iCs/>
          <w:color w:val="000000"/>
          <w:sz w:val="22"/>
          <w:szCs w:val="22"/>
        </w:rPr>
        <w:t>Fact Sheet: Black gold: The caviar trade in western Europe</w:t>
      </w:r>
      <w:r>
        <w:rPr>
          <w:color w:val="000000"/>
          <w:sz w:val="22"/>
          <w:szCs w:val="22"/>
        </w:rPr>
        <w:t>. [Accessed: 26 May 2020] Available from: https://www.traffic.org/site/assets/files/9467/black-gold-the-caviar-trade-in-western-europe.pdf</w:t>
      </w:r>
    </w:p>
    <w:p w14:paraId="5157AE95" w14:textId="77777777" w:rsidR="00FC2BD1" w:rsidRDefault="00FC2BD1" w:rsidP="00FC2BD1">
      <w:pPr>
        <w:pStyle w:val="NormalWeb"/>
        <w:spacing w:before="0" w:beforeAutospacing="0" w:after="160" w:afterAutospacing="0"/>
        <w:rPr>
          <w:color w:val="000000"/>
        </w:rPr>
      </w:pPr>
      <w:r>
        <w:rPr>
          <w:color w:val="000000"/>
          <w:sz w:val="22"/>
          <w:szCs w:val="22"/>
        </w:rPr>
        <w:t xml:space="preserve">TRAFFIC (2014) </w:t>
      </w:r>
      <w:r>
        <w:rPr>
          <w:i/>
          <w:iCs/>
          <w:color w:val="000000"/>
          <w:sz w:val="22"/>
          <w:szCs w:val="22"/>
        </w:rPr>
        <w:t>Wildlife trade in the European Union - TRAFFIC briefing paper.</w:t>
      </w:r>
      <w:r>
        <w:rPr>
          <w:color w:val="000000"/>
          <w:sz w:val="22"/>
          <w:szCs w:val="22"/>
        </w:rPr>
        <w:t xml:space="preserve"> Cambridge, UK: TRAFFIC. [Accessed: 05 June 2020] Available from: https://www.traffic.org/site/assets/files/8280/briefing-paper-eu-wildlife-trade.pdf</w:t>
      </w:r>
    </w:p>
    <w:p w14:paraId="2BD1670B" w14:textId="77777777" w:rsidR="00FC2BD1" w:rsidRDefault="00FC2BD1" w:rsidP="00FC2BD1">
      <w:pPr>
        <w:pStyle w:val="NormalWeb"/>
        <w:spacing w:before="0" w:beforeAutospacing="0" w:after="160" w:afterAutospacing="0"/>
        <w:rPr>
          <w:color w:val="000000"/>
        </w:rPr>
      </w:pPr>
      <w:r>
        <w:rPr>
          <w:color w:val="000000"/>
          <w:sz w:val="22"/>
          <w:szCs w:val="22"/>
        </w:rPr>
        <w:t>United Nations. Convention on International Trade in Endangered Species (2016) ‘</w:t>
      </w:r>
      <w:r>
        <w:rPr>
          <w:i/>
          <w:iCs/>
          <w:color w:val="000000"/>
          <w:sz w:val="22"/>
          <w:szCs w:val="22"/>
        </w:rPr>
        <w:t xml:space="preserve">Conf. 12.7 (Rev. CoP17) Conservation of and trade in sturgeons and paddlefish’. </w:t>
      </w:r>
      <w:r>
        <w:rPr>
          <w:color w:val="000000"/>
          <w:sz w:val="22"/>
          <w:szCs w:val="22"/>
        </w:rPr>
        <w:t>[Online]</w:t>
      </w:r>
      <w:r>
        <w:rPr>
          <w:i/>
          <w:iCs/>
          <w:color w:val="000000"/>
          <w:sz w:val="22"/>
          <w:szCs w:val="22"/>
        </w:rPr>
        <w:t xml:space="preserve"> </w:t>
      </w:r>
      <w:r>
        <w:rPr>
          <w:color w:val="000000"/>
          <w:sz w:val="22"/>
          <w:szCs w:val="22"/>
        </w:rPr>
        <w:t xml:space="preserve">Geneva, Switzerland: </w:t>
      </w:r>
      <w:r>
        <w:rPr>
          <w:color w:val="000000"/>
          <w:sz w:val="22"/>
          <w:szCs w:val="22"/>
        </w:rPr>
        <w:lastRenderedPageBreak/>
        <w:t>CITES Secretariat. [Accessed: 05 June 2020] Available from: https://www.cites.org/sites/default/files/document/E-Res-12-07-R17.pdf</w:t>
      </w:r>
    </w:p>
    <w:p w14:paraId="1B6ACD77" w14:textId="77777777" w:rsidR="00FC2BD1" w:rsidRDefault="00FC2BD1" w:rsidP="00FC2BD1">
      <w:pPr>
        <w:pStyle w:val="NormalWeb"/>
        <w:spacing w:before="0" w:beforeAutospacing="0" w:after="160" w:afterAutospacing="0"/>
        <w:rPr>
          <w:color w:val="000000"/>
        </w:rPr>
      </w:pPr>
      <w:r>
        <w:rPr>
          <w:color w:val="000000"/>
          <w:sz w:val="22"/>
          <w:szCs w:val="22"/>
        </w:rPr>
        <w:t xml:space="preserve">Van Uhm, D. P. (2016a) ‘Illegal Wildlife Trade to the EU and Harms to the World’, in Spapens, T., White, R., &amp; Huisman, W. (Eds.) </w:t>
      </w:r>
      <w:r>
        <w:rPr>
          <w:i/>
          <w:iCs/>
          <w:color w:val="000000"/>
          <w:sz w:val="22"/>
          <w:szCs w:val="22"/>
        </w:rPr>
        <w:t>Environmental Crime in Transnational Context: Global Issues in Green Criminology.</w:t>
      </w:r>
      <w:r>
        <w:rPr>
          <w:color w:val="000000"/>
          <w:sz w:val="22"/>
          <w:szCs w:val="22"/>
        </w:rPr>
        <w:t xml:space="preserve"> London: Routledge. Pp. 43-66.</w:t>
      </w:r>
    </w:p>
    <w:p w14:paraId="6B59181C" w14:textId="77777777" w:rsidR="00FC2BD1" w:rsidRDefault="00FC2BD1" w:rsidP="00FC2BD1">
      <w:pPr>
        <w:pStyle w:val="NormalWeb"/>
        <w:spacing w:before="0" w:beforeAutospacing="0" w:after="160" w:afterAutospacing="0"/>
        <w:rPr>
          <w:color w:val="000000"/>
        </w:rPr>
      </w:pPr>
      <w:r>
        <w:rPr>
          <w:color w:val="000000"/>
          <w:sz w:val="22"/>
          <w:szCs w:val="22"/>
          <w:shd w:val="clear" w:color="auto" w:fill="FFFFFF"/>
        </w:rPr>
        <w:t>Van Uhm, D.P. (2016b) The Illegal Wildlife Trade: Inside the World of Poachers, Smugglers and Traders (Studies of Organized Crime). New York: Springer.</w:t>
      </w:r>
    </w:p>
    <w:p w14:paraId="53FEC7C2" w14:textId="77777777" w:rsidR="00FC2BD1" w:rsidRDefault="00FC2BD1" w:rsidP="00FC2BD1">
      <w:pPr>
        <w:pStyle w:val="NormalWeb"/>
        <w:spacing w:before="0" w:beforeAutospacing="0" w:after="160" w:afterAutospacing="0"/>
        <w:rPr>
          <w:color w:val="000000"/>
        </w:rPr>
      </w:pPr>
      <w:r>
        <w:rPr>
          <w:color w:val="000000"/>
          <w:sz w:val="22"/>
          <w:szCs w:val="22"/>
        </w:rPr>
        <w:t xml:space="preserve">Van Uhm, D. P.  and Siegel, D. (2016) ‘The illegal trade in black caviar’, </w:t>
      </w:r>
      <w:r>
        <w:rPr>
          <w:i/>
          <w:iCs/>
          <w:color w:val="000000"/>
          <w:sz w:val="22"/>
          <w:szCs w:val="22"/>
        </w:rPr>
        <w:t>Trends in Organized Crime</w:t>
      </w:r>
      <w:r>
        <w:rPr>
          <w:color w:val="000000"/>
          <w:sz w:val="22"/>
          <w:szCs w:val="22"/>
        </w:rPr>
        <w:t xml:space="preserve">, [Online] </w:t>
      </w:r>
      <w:r>
        <w:rPr>
          <w:b/>
          <w:bCs/>
          <w:color w:val="000000"/>
          <w:sz w:val="22"/>
          <w:szCs w:val="22"/>
        </w:rPr>
        <w:t>19</w:t>
      </w:r>
      <w:r>
        <w:rPr>
          <w:color w:val="000000"/>
          <w:sz w:val="22"/>
          <w:szCs w:val="22"/>
        </w:rPr>
        <w:t>(1), pp. 67–87. [Accessed: 15 January 2019] Available from: doi: 10.1007/s12117-016-9264-5.</w:t>
      </w:r>
    </w:p>
    <w:p w14:paraId="7042325E" w14:textId="77777777" w:rsidR="00FC2BD1" w:rsidRDefault="00FC2BD1" w:rsidP="00FC2BD1">
      <w:pPr>
        <w:pStyle w:val="NormalWeb"/>
        <w:spacing w:before="0" w:beforeAutospacing="0" w:after="160" w:afterAutospacing="0"/>
        <w:rPr>
          <w:color w:val="000000"/>
        </w:rPr>
      </w:pPr>
      <w:r>
        <w:rPr>
          <w:color w:val="000000"/>
          <w:sz w:val="22"/>
          <w:szCs w:val="22"/>
        </w:rPr>
        <w:t xml:space="preserve">Vandergeest, P. and Peluso, N. L. (1995) ‘Territorialization and state power in Thailand’, </w:t>
      </w:r>
      <w:r>
        <w:rPr>
          <w:i/>
          <w:iCs/>
          <w:color w:val="000000"/>
          <w:sz w:val="22"/>
          <w:szCs w:val="22"/>
        </w:rPr>
        <w:t>Theory and Society</w:t>
      </w:r>
      <w:r>
        <w:rPr>
          <w:color w:val="000000"/>
          <w:sz w:val="22"/>
          <w:szCs w:val="22"/>
        </w:rPr>
        <w:t xml:space="preserve">, [Online] </w:t>
      </w:r>
      <w:r>
        <w:rPr>
          <w:b/>
          <w:bCs/>
          <w:color w:val="000000"/>
          <w:sz w:val="22"/>
          <w:szCs w:val="22"/>
        </w:rPr>
        <w:t>24</w:t>
      </w:r>
      <w:r>
        <w:rPr>
          <w:color w:val="000000"/>
          <w:sz w:val="22"/>
          <w:szCs w:val="22"/>
        </w:rPr>
        <w:t>(3), pp. 385–426. [Accessed: 26 May 2020] Available from: doi: 10.1007/BF00993352.</w:t>
      </w:r>
    </w:p>
    <w:p w14:paraId="369338A2" w14:textId="77777777" w:rsidR="00FC2BD1" w:rsidRDefault="00FC2BD1" w:rsidP="00FC2BD1">
      <w:pPr>
        <w:pStyle w:val="NormalWeb"/>
        <w:spacing w:before="0" w:beforeAutospacing="0" w:after="160" w:afterAutospacing="0"/>
        <w:rPr>
          <w:color w:val="000000"/>
        </w:rPr>
      </w:pPr>
      <w:r>
        <w:rPr>
          <w:color w:val="000000"/>
          <w:sz w:val="22"/>
          <w:szCs w:val="22"/>
        </w:rPr>
        <w:t xml:space="preserve">Verweijen, J. and Marijnen, E. (2018) ‘The counterinsurgency/conservation nexus: guerrilla livelihoods and the dynamics of conflict and violence in the Virunga National Park, Democratic Republic of the Congo’, </w:t>
      </w:r>
      <w:r>
        <w:rPr>
          <w:i/>
          <w:iCs/>
          <w:color w:val="000000"/>
          <w:sz w:val="22"/>
          <w:szCs w:val="22"/>
        </w:rPr>
        <w:t>Journal of Peasant Studies</w:t>
      </w:r>
      <w:r>
        <w:rPr>
          <w:color w:val="000000"/>
          <w:sz w:val="22"/>
          <w:szCs w:val="22"/>
        </w:rPr>
        <w:t xml:space="preserve">. [Online] </w:t>
      </w:r>
      <w:r>
        <w:rPr>
          <w:b/>
          <w:bCs/>
          <w:color w:val="000000"/>
          <w:sz w:val="22"/>
          <w:szCs w:val="22"/>
        </w:rPr>
        <w:t>45</w:t>
      </w:r>
      <w:r>
        <w:rPr>
          <w:color w:val="000000"/>
          <w:sz w:val="22"/>
          <w:szCs w:val="22"/>
        </w:rPr>
        <w:t>(2), pp. 300–320. [Accessed: 27 May 2020] Available from: doi: 10.1080/03066150.2016.1203307.</w:t>
      </w:r>
    </w:p>
    <w:p w14:paraId="48F07BB0" w14:textId="77777777" w:rsidR="00FC2BD1" w:rsidRDefault="00FC2BD1" w:rsidP="00FC2BD1">
      <w:pPr>
        <w:pStyle w:val="NormalWeb"/>
        <w:spacing w:before="0" w:beforeAutospacing="0" w:after="160" w:afterAutospacing="0"/>
        <w:rPr>
          <w:color w:val="000000"/>
        </w:rPr>
      </w:pPr>
      <w:r>
        <w:rPr>
          <w:color w:val="000000"/>
          <w:sz w:val="22"/>
          <w:szCs w:val="22"/>
        </w:rPr>
        <w:t xml:space="preserve">von Essen, E. (2019) ‘How Wild Boar Hunting Is Becoming a Battleground’, </w:t>
      </w:r>
      <w:r>
        <w:rPr>
          <w:i/>
          <w:iCs/>
          <w:color w:val="000000"/>
          <w:sz w:val="22"/>
          <w:szCs w:val="22"/>
        </w:rPr>
        <w:t>Leisure Sciences</w:t>
      </w:r>
      <w:r>
        <w:rPr>
          <w:color w:val="000000"/>
          <w:sz w:val="22"/>
          <w:szCs w:val="22"/>
        </w:rPr>
        <w:t>. [Online] pp. 1-19 [Accessed: 06 November 2019] Available from: doi: 10.1080/01490400.2018.1550456.</w:t>
      </w:r>
    </w:p>
    <w:p w14:paraId="4CC5EACD" w14:textId="77777777" w:rsidR="00FC2BD1" w:rsidRDefault="00FC2BD1" w:rsidP="00FC2BD1">
      <w:pPr>
        <w:pStyle w:val="NormalWeb"/>
        <w:spacing w:before="0" w:beforeAutospacing="0" w:after="160" w:afterAutospacing="0"/>
        <w:rPr>
          <w:color w:val="000000"/>
        </w:rPr>
      </w:pPr>
      <w:r>
        <w:rPr>
          <w:color w:val="000000"/>
          <w:sz w:val="22"/>
          <w:szCs w:val="22"/>
        </w:rPr>
        <w:t xml:space="preserve">Weiperth, A. </w:t>
      </w:r>
      <w:r>
        <w:rPr>
          <w:i/>
          <w:iCs/>
          <w:color w:val="000000"/>
          <w:sz w:val="22"/>
          <w:szCs w:val="22"/>
        </w:rPr>
        <w:t>et al.</w:t>
      </w:r>
      <w:r>
        <w:rPr>
          <w:color w:val="000000"/>
          <w:sz w:val="22"/>
          <w:szCs w:val="22"/>
        </w:rPr>
        <w:t xml:space="preserve"> (2014) ‘Observation of the sturgeon hybrid ( Acipenser naccarii x Acipenser baerii ) in the Hungarian section of River Danube baerii ) in the Hungarian section of River Danube’. </w:t>
      </w:r>
      <w:r>
        <w:rPr>
          <w:i/>
          <w:iCs/>
          <w:color w:val="000000"/>
          <w:sz w:val="22"/>
          <w:szCs w:val="22"/>
        </w:rPr>
        <w:t>Pisces Hungarici.</w:t>
      </w:r>
      <w:r>
        <w:rPr>
          <w:color w:val="000000"/>
          <w:sz w:val="22"/>
          <w:szCs w:val="22"/>
        </w:rPr>
        <w:t xml:space="preserve"> 8, pp.111-112 </w:t>
      </w:r>
    </w:p>
    <w:p w14:paraId="5FCD8879" w14:textId="77777777" w:rsidR="00FC2BD1" w:rsidRDefault="00FC2BD1" w:rsidP="00FC2BD1">
      <w:pPr>
        <w:pStyle w:val="NormalWeb"/>
        <w:spacing w:before="0" w:beforeAutospacing="0" w:after="160" w:afterAutospacing="0"/>
        <w:rPr>
          <w:color w:val="000000"/>
        </w:rPr>
      </w:pPr>
      <w:r>
        <w:rPr>
          <w:color w:val="000000"/>
          <w:sz w:val="22"/>
          <w:szCs w:val="22"/>
        </w:rPr>
        <w:t xml:space="preserve">Weir, P. (2014) ‘Radio Geopolitics’, </w:t>
      </w:r>
      <w:r>
        <w:rPr>
          <w:i/>
          <w:iCs/>
          <w:color w:val="000000"/>
          <w:sz w:val="22"/>
          <w:szCs w:val="22"/>
        </w:rPr>
        <w:t>Geography Compass</w:t>
      </w:r>
      <w:r>
        <w:rPr>
          <w:color w:val="000000"/>
          <w:sz w:val="22"/>
          <w:szCs w:val="22"/>
        </w:rPr>
        <w:t xml:space="preserve">, [Online] </w:t>
      </w:r>
      <w:r>
        <w:rPr>
          <w:b/>
          <w:bCs/>
          <w:color w:val="000000"/>
          <w:sz w:val="22"/>
          <w:szCs w:val="22"/>
        </w:rPr>
        <w:t>8</w:t>
      </w:r>
      <w:r>
        <w:rPr>
          <w:color w:val="000000"/>
          <w:sz w:val="22"/>
          <w:szCs w:val="22"/>
        </w:rPr>
        <w:t>(12), pp. 849–859. [Accessed: 29 November 2018] Available from: doi: 10.1111/gec3.12184.</w:t>
      </w:r>
    </w:p>
    <w:p w14:paraId="6AF9672A" w14:textId="77777777" w:rsidR="00FC2BD1" w:rsidRDefault="00FC2BD1" w:rsidP="00FC2BD1">
      <w:pPr>
        <w:pStyle w:val="NormalWeb"/>
        <w:spacing w:before="0" w:beforeAutospacing="0" w:after="160" w:afterAutospacing="0"/>
        <w:rPr>
          <w:color w:val="000000"/>
        </w:rPr>
      </w:pPr>
      <w:r>
        <w:rPr>
          <w:color w:val="000000"/>
          <w:sz w:val="22"/>
          <w:szCs w:val="22"/>
        </w:rPr>
        <w:t xml:space="preserve">Williams, N., Keating, T., Patchett, M., Lapworth, A., &amp; Roberts, T. (2019) ‘Practising post-humanism in geographical research’, </w:t>
      </w:r>
      <w:r>
        <w:rPr>
          <w:i/>
          <w:iCs/>
          <w:color w:val="000000"/>
          <w:sz w:val="22"/>
          <w:szCs w:val="22"/>
        </w:rPr>
        <w:t>Transactions of the Institute of British Geographers</w:t>
      </w:r>
      <w:r>
        <w:rPr>
          <w:color w:val="000000"/>
          <w:sz w:val="22"/>
          <w:szCs w:val="22"/>
        </w:rPr>
        <w:t xml:space="preserve">, [Online] </w:t>
      </w:r>
      <w:r>
        <w:rPr>
          <w:b/>
          <w:bCs/>
          <w:color w:val="000000"/>
          <w:sz w:val="22"/>
          <w:szCs w:val="22"/>
        </w:rPr>
        <w:t>44</w:t>
      </w:r>
      <w:r>
        <w:rPr>
          <w:color w:val="000000"/>
          <w:sz w:val="22"/>
          <w:szCs w:val="22"/>
        </w:rPr>
        <w:t>(4) pp. 637-643. [Accessed: 04 November 2019] Available from: doi: 10.1111/tran.12322.</w:t>
      </w:r>
    </w:p>
    <w:p w14:paraId="7CF7B4F5" w14:textId="77777777" w:rsidR="00FC2BD1" w:rsidRDefault="00FC2BD1" w:rsidP="00FC2BD1">
      <w:pPr>
        <w:pStyle w:val="NormalWeb"/>
        <w:spacing w:before="0" w:beforeAutospacing="0" w:after="160" w:afterAutospacing="0"/>
        <w:rPr>
          <w:color w:val="000000"/>
        </w:rPr>
      </w:pPr>
      <w:r>
        <w:rPr>
          <w:color w:val="000000"/>
          <w:sz w:val="22"/>
          <w:szCs w:val="22"/>
        </w:rPr>
        <w:t xml:space="preserve">Williams, V. L. and Sas-Rolfes, M. J. (2019) ‘Born captive: A survey of the lion breeding, keeping and hunting industries in South Africa’. </w:t>
      </w:r>
      <w:r>
        <w:rPr>
          <w:i/>
          <w:iCs/>
          <w:color w:val="000000"/>
          <w:sz w:val="22"/>
          <w:szCs w:val="22"/>
        </w:rPr>
        <w:t>PLoS ONE</w:t>
      </w:r>
      <w:r>
        <w:rPr>
          <w:color w:val="000000"/>
          <w:sz w:val="22"/>
          <w:szCs w:val="22"/>
        </w:rPr>
        <w:t xml:space="preserve"> [Online] </w:t>
      </w:r>
      <w:r>
        <w:rPr>
          <w:b/>
          <w:bCs/>
          <w:color w:val="000000"/>
          <w:sz w:val="22"/>
          <w:szCs w:val="22"/>
        </w:rPr>
        <w:t>14</w:t>
      </w:r>
      <w:r>
        <w:rPr>
          <w:color w:val="000000"/>
          <w:sz w:val="22"/>
          <w:szCs w:val="22"/>
        </w:rPr>
        <w:t xml:space="preserve"> (5), pp. 1-31 [Accessed: 08 April 2020] Available from: doi: 10.1371/journal.pone.0217409.</w:t>
      </w:r>
    </w:p>
    <w:p w14:paraId="45E62133" w14:textId="77777777" w:rsidR="00FC2BD1" w:rsidRDefault="00FC2BD1" w:rsidP="00FC2BD1">
      <w:pPr>
        <w:pStyle w:val="NormalWeb"/>
        <w:spacing w:before="0" w:beforeAutospacing="0" w:after="160" w:afterAutospacing="0"/>
        <w:rPr>
          <w:color w:val="000000"/>
        </w:rPr>
      </w:pPr>
      <w:r>
        <w:rPr>
          <w:color w:val="000000"/>
          <w:sz w:val="22"/>
          <w:szCs w:val="22"/>
        </w:rPr>
        <w:t xml:space="preserve">Wood, A. (2016) ‘Tracing policy movements: Methods for studying learning and policy circulation’, </w:t>
      </w:r>
      <w:r>
        <w:rPr>
          <w:i/>
          <w:iCs/>
          <w:color w:val="000000"/>
          <w:sz w:val="22"/>
          <w:szCs w:val="22"/>
        </w:rPr>
        <w:t>Environment and Planning A</w:t>
      </w:r>
      <w:r>
        <w:rPr>
          <w:color w:val="000000"/>
          <w:sz w:val="22"/>
          <w:szCs w:val="22"/>
        </w:rPr>
        <w:t xml:space="preserve">, [Online] </w:t>
      </w:r>
      <w:r>
        <w:rPr>
          <w:b/>
          <w:bCs/>
          <w:color w:val="000000"/>
          <w:sz w:val="22"/>
          <w:szCs w:val="22"/>
        </w:rPr>
        <w:t>48</w:t>
      </w:r>
      <w:r>
        <w:rPr>
          <w:color w:val="000000"/>
          <w:sz w:val="22"/>
          <w:szCs w:val="22"/>
        </w:rPr>
        <w:t>(2), pp. 391–406. [Accessed: 10 October 2019] Available from: doi: 10.1177/0308518X15605329.</w:t>
      </w:r>
    </w:p>
    <w:p w14:paraId="289487A8" w14:textId="77777777" w:rsidR="00FC2BD1" w:rsidRDefault="00FC2BD1" w:rsidP="00FC2BD1">
      <w:pPr>
        <w:pStyle w:val="NormalWeb"/>
        <w:spacing w:before="0" w:beforeAutospacing="0" w:after="160" w:afterAutospacing="0"/>
        <w:rPr>
          <w:color w:val="000000"/>
        </w:rPr>
      </w:pPr>
      <w:r>
        <w:rPr>
          <w:color w:val="000000"/>
          <w:sz w:val="22"/>
          <w:szCs w:val="22"/>
        </w:rPr>
        <w:t xml:space="preserve">WWF International  (2017) </w:t>
      </w:r>
      <w:r>
        <w:rPr>
          <w:i/>
          <w:iCs/>
          <w:color w:val="000000"/>
          <w:sz w:val="22"/>
          <w:szCs w:val="22"/>
        </w:rPr>
        <w:t>WWF Network - Sturgeon Strategy</w:t>
      </w:r>
      <w:r>
        <w:rPr>
          <w:color w:val="000000"/>
          <w:sz w:val="22"/>
          <w:szCs w:val="22"/>
        </w:rPr>
        <w:t>. [Online] Washington D.C: World Wildlife Fund [Accessed: 06 February 2019] Available from: https://danube-sturgeons.org/wp-content/uploads/2017/10/WWF-Global-Sturgeon-Strategy-2017.pdf</w:t>
      </w:r>
    </w:p>
    <w:p w14:paraId="6525019C" w14:textId="77777777" w:rsidR="00FC2BD1" w:rsidRDefault="00FC2BD1" w:rsidP="00FC2BD1">
      <w:pPr>
        <w:pStyle w:val="NormalWeb"/>
        <w:spacing w:before="0" w:beforeAutospacing="0" w:after="160" w:afterAutospacing="0"/>
        <w:rPr>
          <w:color w:val="000000"/>
        </w:rPr>
      </w:pPr>
      <w:r>
        <w:rPr>
          <w:color w:val="000000"/>
          <w:sz w:val="22"/>
          <w:szCs w:val="22"/>
        </w:rPr>
        <w:t xml:space="preserve">Wyatt, T. (2013) </w:t>
      </w:r>
      <w:r>
        <w:rPr>
          <w:i/>
          <w:iCs/>
          <w:color w:val="000000"/>
          <w:sz w:val="22"/>
          <w:szCs w:val="22"/>
        </w:rPr>
        <w:t>Wildlife Trafficking: A Deconstruction of the Crime, the Victims, and the Offenders</w:t>
      </w:r>
      <w:r>
        <w:rPr>
          <w:color w:val="000000"/>
          <w:sz w:val="22"/>
          <w:szCs w:val="22"/>
        </w:rPr>
        <w:t>. Palgrave Macmillan UK. </w:t>
      </w:r>
    </w:p>
    <w:p w14:paraId="57BBA5BF" w14:textId="77777777" w:rsidR="00FC2BD1" w:rsidRDefault="00FC2BD1" w:rsidP="00FC2BD1">
      <w:pPr>
        <w:pStyle w:val="NormalWeb"/>
        <w:spacing w:before="0" w:beforeAutospacing="0" w:after="160" w:afterAutospacing="0"/>
        <w:rPr>
          <w:color w:val="000000"/>
        </w:rPr>
      </w:pPr>
      <w:r>
        <w:rPr>
          <w:color w:val="000000"/>
          <w:sz w:val="22"/>
          <w:szCs w:val="22"/>
        </w:rPr>
        <w:t xml:space="preserve">Ybarra, M. (2018) </w:t>
      </w:r>
      <w:r>
        <w:rPr>
          <w:i/>
          <w:iCs/>
          <w:color w:val="000000"/>
          <w:sz w:val="22"/>
          <w:szCs w:val="22"/>
        </w:rPr>
        <w:t>Green Wars: Conservation and Decolonization in the Maya Forest</w:t>
      </w:r>
      <w:r>
        <w:rPr>
          <w:color w:val="000000"/>
          <w:sz w:val="22"/>
          <w:szCs w:val="22"/>
        </w:rPr>
        <w:t xml:space="preserve">, </w:t>
      </w:r>
      <w:r>
        <w:rPr>
          <w:i/>
          <w:iCs/>
          <w:color w:val="000000"/>
          <w:sz w:val="22"/>
          <w:szCs w:val="22"/>
        </w:rPr>
        <w:t>Green Wars: Conservation and Decolonization in the Maya Forest</w:t>
      </w:r>
      <w:r>
        <w:rPr>
          <w:color w:val="000000"/>
          <w:sz w:val="22"/>
          <w:szCs w:val="22"/>
        </w:rPr>
        <w:t>. Berkely, California: University of California Press</w:t>
      </w:r>
    </w:p>
    <w:p w14:paraId="54D275B0" w14:textId="77777777" w:rsidR="00FC2BD1" w:rsidRDefault="00FC2BD1" w:rsidP="00FC2BD1">
      <w:pPr>
        <w:pStyle w:val="NormalWeb"/>
        <w:spacing w:before="0" w:beforeAutospacing="0" w:after="160" w:afterAutospacing="0"/>
        <w:rPr>
          <w:color w:val="000000"/>
        </w:rPr>
      </w:pPr>
      <w:r>
        <w:rPr>
          <w:color w:val="000000"/>
          <w:sz w:val="22"/>
          <w:szCs w:val="22"/>
        </w:rPr>
        <w:t xml:space="preserve">Zabyelina, Y. G. (2014) ‘The “fishy” business: A qualitative analysis of the illicit market in black caviar’, </w:t>
      </w:r>
      <w:r>
        <w:rPr>
          <w:i/>
          <w:iCs/>
          <w:color w:val="000000"/>
          <w:sz w:val="22"/>
          <w:szCs w:val="22"/>
        </w:rPr>
        <w:t>Trends in Organized Crime</w:t>
      </w:r>
      <w:r>
        <w:rPr>
          <w:color w:val="000000"/>
          <w:sz w:val="22"/>
          <w:szCs w:val="22"/>
        </w:rPr>
        <w:t xml:space="preserve">, [Online] </w:t>
      </w:r>
      <w:r>
        <w:rPr>
          <w:b/>
          <w:bCs/>
          <w:color w:val="000000"/>
          <w:sz w:val="22"/>
          <w:szCs w:val="22"/>
        </w:rPr>
        <w:t>17</w:t>
      </w:r>
      <w:r>
        <w:rPr>
          <w:color w:val="000000"/>
          <w:sz w:val="22"/>
          <w:szCs w:val="22"/>
        </w:rPr>
        <w:t>(3), pp. 181–198. [Accessed: 12 September 2019] Available from: doi: 10.1007/s12117-014-9214-z.</w:t>
      </w:r>
    </w:p>
    <w:p w14:paraId="5C75E3F6" w14:textId="37315346" w:rsidR="004316F0" w:rsidRPr="00765797" w:rsidRDefault="00FC2BD1" w:rsidP="00765797">
      <w:pPr>
        <w:pStyle w:val="NormalWeb"/>
        <w:spacing w:before="0" w:beforeAutospacing="0" w:after="160" w:afterAutospacing="0"/>
        <w:rPr>
          <w:color w:val="000000"/>
        </w:rPr>
      </w:pPr>
      <w:r>
        <w:rPr>
          <w:color w:val="000000"/>
          <w:sz w:val="22"/>
          <w:szCs w:val="22"/>
        </w:rPr>
        <w:lastRenderedPageBreak/>
        <w:t> </w:t>
      </w:r>
    </w:p>
    <w:sectPr w:rsidR="004316F0" w:rsidRPr="00765797" w:rsidSect="005F6E3A">
      <w:footerReference w:type="default" r:id="rId41"/>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0A61FDC" w14:textId="77777777" w:rsidR="00765797" w:rsidRDefault="00765797" w:rsidP="00477B33">
      <w:pPr>
        <w:spacing w:after="0" w:line="240" w:lineRule="auto"/>
      </w:pPr>
      <w:r>
        <w:separator/>
      </w:r>
    </w:p>
  </w:endnote>
  <w:endnote w:type="continuationSeparator" w:id="0">
    <w:p w14:paraId="1D4C2F5D" w14:textId="77777777" w:rsidR="00765797" w:rsidRDefault="00765797" w:rsidP="00477B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游明朝">
    <w:altName w:val="Times New Roman"/>
    <w:panose1 w:val="00000000000000000000"/>
    <w:charset w:val="80"/>
    <w:family w:val="roman"/>
    <w:notTrueType/>
    <w:pitch w:val="default"/>
  </w:font>
  <w:font w:name="游ゴシック Light">
    <w:panose1 w:val="00000000000000000000"/>
    <w:charset w:val="80"/>
    <w:family w:val="roman"/>
    <w:notTrueType/>
    <w:pitch w:val="default"/>
  </w:font>
  <w:font w:name="Garamond">
    <w:panose1 w:val="02020404030301010803"/>
    <w:charset w:val="00"/>
    <w:family w:val="auto"/>
    <w:pitch w:val="variable"/>
    <w:sig w:usb0="00000003" w:usb1="00000000" w:usb2="00000000" w:usb3="00000000" w:csb0="00000001" w:csb1="00000000"/>
  </w:font>
  <w:font w:name="Segoe UI">
    <w:altName w:val="Courier New"/>
    <w:charset w:val="00"/>
    <w:family w:val="swiss"/>
    <w:pitch w:val="variable"/>
    <w:sig w:usb0="E4002EFF" w:usb1="C000E47F" w:usb2="00000009" w:usb3="00000000" w:csb0="000001FF" w:csb1="00000000"/>
  </w:font>
  <w:font w:name="Arial">
    <w:panose1 w:val="020B0604020202020204"/>
    <w:charset w:val="00"/>
    <w:family w:val="auto"/>
    <w:pitch w:val="variable"/>
    <w:sig w:usb0="E0002AFF" w:usb1="C0007843" w:usb2="00000009" w:usb3="00000000" w:csb0="000001FF" w:csb1="00000000"/>
  </w:font>
  <w:font w:name="American Typewriter">
    <w:panose1 w:val="02090604020004020304"/>
    <w:charset w:val="00"/>
    <w:family w:val="auto"/>
    <w:pitch w:val="variable"/>
    <w:sig w:usb0="A000006F" w:usb1="00000019" w:usb2="00000000" w:usb3="00000000" w:csb0="00000111" w:csb1="00000000"/>
  </w:font>
  <w:font w:name="Cambria">
    <w:panose1 w:val="02040503050406030204"/>
    <w:charset w:val="00"/>
    <w:family w:val="auto"/>
    <w:pitch w:val="variable"/>
    <w:sig w:usb0="E00002FF" w:usb1="400004FF" w:usb2="00000000" w:usb3="00000000" w:csb0="0000019F" w:csb1="00000000"/>
  </w:font>
  <w:font w:name="-webkit-standard">
    <w:altName w:val="Times New Roman"/>
    <w:panose1 w:val="00000000000000000000"/>
    <w:charset w:val="00"/>
    <w:family w:val="roman"/>
    <w:notTrueType/>
    <w:pitch w:val="default"/>
  </w:font>
  <w:font w:name="Calibri Light">
    <w:panose1 w:val="020F0302020204030204"/>
    <w:charset w:val="00"/>
    <w:family w:val="auto"/>
    <w:pitch w:val="variable"/>
    <w:sig w:usb0="A00002EF" w:usb1="4000207B" w:usb2="00000000" w:usb3="00000000" w:csb0="0000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5E240C" w14:textId="77777777" w:rsidR="00765797" w:rsidRDefault="00765797" w:rsidP="005F6E3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CF147D8" w14:textId="77777777" w:rsidR="00765797" w:rsidRDefault="00765797" w:rsidP="00A6153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6E007C" w14:textId="77777777" w:rsidR="00765797" w:rsidRDefault="00765797" w:rsidP="005F6E3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0FC34030" w14:textId="42E37945" w:rsidR="00765797" w:rsidRDefault="00765797" w:rsidP="005F6E3A">
    <w:pPr>
      <w:pStyle w:val="Footer"/>
      <w:tabs>
        <w:tab w:val="left" w:pos="7903"/>
      </w:tabs>
      <w:ind w:right="360"/>
      <w:jc w:val="left"/>
    </w:pPr>
    <w:r>
      <w:tab/>
    </w:r>
    <w:r>
      <w:tab/>
    </w:r>
  </w:p>
  <w:p w14:paraId="50821AA6" w14:textId="77777777" w:rsidR="00765797" w:rsidRDefault="00765797">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0F8AA4" w14:textId="77777777" w:rsidR="00765797" w:rsidRDefault="00765797" w:rsidP="005F6E3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85B6F">
      <w:rPr>
        <w:rStyle w:val="PageNumber"/>
        <w:noProof/>
      </w:rPr>
      <w:t>ii</w:t>
    </w:r>
    <w:r>
      <w:rPr>
        <w:rStyle w:val="PageNumber"/>
      </w:rPr>
      <w:fldChar w:fldCharType="end"/>
    </w:r>
  </w:p>
  <w:p w14:paraId="6D4683F3" w14:textId="77777777" w:rsidR="00765797" w:rsidRDefault="00765797" w:rsidP="00A61532">
    <w:pPr>
      <w:pStyle w:val="Footer"/>
      <w:ind w:right="360"/>
      <w:jc w:val="right"/>
    </w:pPr>
  </w:p>
  <w:p w14:paraId="45410154" w14:textId="063A3EB4" w:rsidR="00765797" w:rsidRDefault="00765797" w:rsidP="00BE1811">
    <w:pPr>
      <w:pStyle w:val="Footer"/>
      <w:tabs>
        <w:tab w:val="clear" w:pos="4513"/>
        <w:tab w:val="clear" w:pos="9026"/>
        <w:tab w:val="left" w:pos="960"/>
        <w:tab w:val="left" w:pos="2400"/>
      </w:tabs>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D34B68" w14:textId="77777777" w:rsidR="00765797" w:rsidRDefault="00765797" w:rsidP="00A926E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92</w:t>
    </w:r>
    <w:r>
      <w:rPr>
        <w:rStyle w:val="PageNumber"/>
      </w:rPr>
      <w:fldChar w:fldCharType="end"/>
    </w:r>
  </w:p>
  <w:p w14:paraId="2C00955F" w14:textId="77777777" w:rsidR="00765797" w:rsidRDefault="00765797" w:rsidP="00A61532">
    <w:pPr>
      <w:pStyle w:val="Footer"/>
      <w:ind w:right="360"/>
      <w:jc w:val="right"/>
    </w:pPr>
  </w:p>
  <w:p w14:paraId="2D6F2705" w14:textId="77777777" w:rsidR="00765797" w:rsidRDefault="00765797" w:rsidP="00BE1811">
    <w:pPr>
      <w:pStyle w:val="Footer"/>
      <w:tabs>
        <w:tab w:val="clear" w:pos="4513"/>
        <w:tab w:val="clear" w:pos="9026"/>
        <w:tab w:val="left" w:pos="960"/>
        <w:tab w:val="left" w:pos="2400"/>
      </w:tabs>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526C97" w14:textId="77777777" w:rsidR="00765797" w:rsidRDefault="00765797" w:rsidP="00A04777">
    <w:pPr>
      <w:pStyle w:val="Footer"/>
      <w:framePr w:wrap="around" w:vAnchor="text" w:hAnchor="page" w:x="10261" w:y="85"/>
      <w:rPr>
        <w:rStyle w:val="PageNumber"/>
      </w:rPr>
    </w:pPr>
    <w:r>
      <w:rPr>
        <w:rStyle w:val="PageNumber"/>
      </w:rPr>
      <w:fldChar w:fldCharType="begin"/>
    </w:r>
    <w:r>
      <w:rPr>
        <w:rStyle w:val="PageNumber"/>
      </w:rPr>
      <w:instrText xml:space="preserve">PAGE  </w:instrText>
    </w:r>
    <w:r>
      <w:rPr>
        <w:rStyle w:val="PageNumber"/>
      </w:rPr>
      <w:fldChar w:fldCharType="separate"/>
    </w:r>
    <w:r w:rsidR="00685B6F">
      <w:rPr>
        <w:rStyle w:val="PageNumber"/>
        <w:noProof/>
      </w:rPr>
      <w:t>192</w:t>
    </w:r>
    <w:r>
      <w:rPr>
        <w:rStyle w:val="PageNumber"/>
      </w:rPr>
      <w:fldChar w:fldCharType="end"/>
    </w:r>
  </w:p>
  <w:p w14:paraId="451CA456" w14:textId="77777777" w:rsidR="00765797" w:rsidRDefault="00765797" w:rsidP="00A61532">
    <w:pPr>
      <w:pStyle w:val="Footer"/>
      <w:ind w:right="360"/>
      <w:jc w:val="right"/>
    </w:pPr>
  </w:p>
  <w:p w14:paraId="76D95C05" w14:textId="77777777" w:rsidR="00765797" w:rsidRDefault="00765797" w:rsidP="00BE1811">
    <w:pPr>
      <w:pStyle w:val="Footer"/>
      <w:tabs>
        <w:tab w:val="clear" w:pos="4513"/>
        <w:tab w:val="clear" w:pos="9026"/>
        <w:tab w:val="left" w:pos="960"/>
        <w:tab w:val="left" w:pos="2400"/>
      </w:tabs>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0AF0F68" w14:textId="77777777" w:rsidR="00765797" w:rsidRDefault="00765797" w:rsidP="00477B33">
      <w:pPr>
        <w:spacing w:after="0" w:line="240" w:lineRule="auto"/>
      </w:pPr>
      <w:r>
        <w:separator/>
      </w:r>
    </w:p>
  </w:footnote>
  <w:footnote w:type="continuationSeparator" w:id="0">
    <w:p w14:paraId="63A71462" w14:textId="77777777" w:rsidR="00765797" w:rsidRDefault="00765797" w:rsidP="00477B33">
      <w:pPr>
        <w:spacing w:after="0" w:line="240" w:lineRule="auto"/>
      </w:pPr>
      <w:r>
        <w:continuationSeparator/>
      </w:r>
    </w:p>
  </w:footnote>
  <w:footnote w:id="1">
    <w:p w14:paraId="277A49CB" w14:textId="6DC4018C" w:rsidR="00765797" w:rsidRPr="00765797" w:rsidRDefault="00765797" w:rsidP="001139CD">
      <w:pPr>
        <w:pStyle w:val="FootnoteText"/>
        <w:rPr>
          <w:rFonts w:cs="Times New Roman"/>
          <w:sz w:val="18"/>
          <w:szCs w:val="18"/>
          <w:lang w:val="en-US"/>
        </w:rPr>
      </w:pPr>
      <w:r w:rsidRPr="005B292F">
        <w:rPr>
          <w:rStyle w:val="FootnoteReference"/>
        </w:rPr>
        <w:footnoteRef/>
      </w:r>
      <w:r w:rsidRPr="001139CD">
        <w:rPr>
          <w:rFonts w:cs="Times New Roman"/>
        </w:rPr>
        <w:t xml:space="preserve"> </w:t>
      </w:r>
      <w:r w:rsidRPr="001139CD">
        <w:rPr>
          <w:rFonts w:cs="Times New Roman"/>
          <w:sz w:val="18"/>
          <w:szCs w:val="18"/>
          <w:lang w:val="en-US"/>
        </w:rPr>
        <w:t>This time period</w:t>
      </w:r>
      <w:r w:rsidRPr="00765797">
        <w:rPr>
          <w:rFonts w:cs="Times New Roman"/>
          <w:sz w:val="18"/>
          <w:szCs w:val="18"/>
          <w:lang w:val="en-US"/>
        </w:rPr>
        <w:t xml:space="preserve"> of 25 years has been selected, as the international trade in sturgeon and caviar first came under global regulatory frameworks in 1998, when sturgeon were listed on the Convention in trade of endangered species (CITES Appendices). My research engages with discussions taking place since 1995 in the run up to the listing of sturgeon on CITES, and continues to the present day (June 2020).  </w:t>
      </w:r>
    </w:p>
    <w:p w14:paraId="196DAEB7" w14:textId="77777777" w:rsidR="00765797" w:rsidRPr="00765797" w:rsidRDefault="00765797" w:rsidP="001139CD">
      <w:pPr>
        <w:pStyle w:val="FootnoteText"/>
        <w:rPr>
          <w:sz w:val="18"/>
          <w:szCs w:val="18"/>
          <w:lang w:val="en-US"/>
        </w:rPr>
      </w:pPr>
    </w:p>
  </w:footnote>
  <w:footnote w:id="2">
    <w:p w14:paraId="1FD45E47" w14:textId="0AC8C50E" w:rsidR="00765797" w:rsidRPr="00765797" w:rsidRDefault="00765797" w:rsidP="001139CD">
      <w:pPr>
        <w:pStyle w:val="FootnoteText"/>
        <w:rPr>
          <w:rFonts w:cs="Times New Roman"/>
          <w:sz w:val="18"/>
          <w:szCs w:val="18"/>
        </w:rPr>
      </w:pPr>
      <w:r w:rsidRPr="00765797">
        <w:rPr>
          <w:rStyle w:val="FootnoteReference"/>
        </w:rPr>
        <w:footnoteRef/>
      </w:r>
      <w:r w:rsidRPr="00765797">
        <w:rPr>
          <w:rFonts w:cs="Times New Roman"/>
          <w:sz w:val="18"/>
          <w:szCs w:val="18"/>
        </w:rPr>
        <w:t xml:space="preserve"> EU Action Plan Against Wildlife Trafficking: </w:t>
      </w:r>
      <w:hyperlink r:id="rId1" w:history="1">
        <w:r w:rsidRPr="00765797">
          <w:rPr>
            <w:rStyle w:val="Hyperlink"/>
            <w:rFonts w:cs="Times New Roman"/>
            <w:color w:val="auto"/>
            <w:sz w:val="18"/>
            <w:szCs w:val="18"/>
          </w:rPr>
          <w:t>https://ec.europa.eu/environment/cites/pdf/WAP_EN_WEB.PDF</w:t>
        </w:r>
      </w:hyperlink>
      <w:r w:rsidRPr="00765797">
        <w:rPr>
          <w:rFonts w:cs="Times New Roman"/>
          <w:sz w:val="18"/>
          <w:szCs w:val="18"/>
        </w:rPr>
        <w:t xml:space="preserve"> [last accessed: 26.05.20] </w:t>
      </w:r>
    </w:p>
  </w:footnote>
  <w:footnote w:id="3">
    <w:p w14:paraId="6FFABBE9" w14:textId="77777777" w:rsidR="00765797" w:rsidRPr="00765797" w:rsidRDefault="00765797" w:rsidP="009D7673">
      <w:pPr>
        <w:pStyle w:val="FootnoteText"/>
        <w:rPr>
          <w:rFonts w:cs="Times New Roman"/>
          <w:sz w:val="18"/>
          <w:szCs w:val="18"/>
          <w:lang w:val="en-US"/>
        </w:rPr>
      </w:pPr>
      <w:r w:rsidRPr="00765797">
        <w:rPr>
          <w:rStyle w:val="FootnoteReference"/>
        </w:rPr>
        <w:footnoteRef/>
      </w:r>
      <w:r w:rsidRPr="00765797">
        <w:rPr>
          <w:rFonts w:cs="Times New Roman"/>
          <w:sz w:val="18"/>
          <w:szCs w:val="18"/>
        </w:rPr>
        <w:t xml:space="preserve"> The five other sturgeon species found in the Danube River Basin are: Sterlet (A.Ruthenus), Stellate (A.Stellatus), Beluga (Huso Huso), Russian (A.Gueldestaedtii), Ship (A. Nudiventris) </w:t>
      </w:r>
      <w:hyperlink r:id="rId2" w:history="1">
        <w:r w:rsidRPr="00765797">
          <w:rPr>
            <w:rStyle w:val="Hyperlink"/>
            <w:rFonts w:cs="Times New Roman"/>
            <w:color w:val="auto"/>
            <w:sz w:val="18"/>
            <w:szCs w:val="18"/>
          </w:rPr>
          <w:t>https://www.icpdr.org/main/activities-projects/sturgeons-danube-basin</w:t>
        </w:r>
      </w:hyperlink>
      <w:r w:rsidRPr="00765797">
        <w:rPr>
          <w:rFonts w:cs="Times New Roman"/>
          <w:sz w:val="18"/>
          <w:szCs w:val="18"/>
        </w:rPr>
        <w:t xml:space="preserve"> [last accessed: 17.02.20]. The 2018 Pan European Action Plan covers 8 sturgeon species, including those mentioned above and Adriatic (A. Naccarii) and Atlantic/Baltic (A. Oxyrinchus) species which are not found in the Danube River Basin. </w:t>
      </w:r>
      <w:hyperlink r:id="rId3" w:history="1">
        <w:r w:rsidRPr="00765797">
          <w:rPr>
            <w:rStyle w:val="Hyperlink"/>
            <w:rFonts w:cs="Times New Roman"/>
            <w:color w:val="auto"/>
            <w:sz w:val="18"/>
            <w:szCs w:val="18"/>
          </w:rPr>
          <w:t>https://rm.coe.int/pan-european-action-plan-for-sturgeons/16808e84f3</w:t>
        </w:r>
      </w:hyperlink>
      <w:r w:rsidRPr="00765797">
        <w:rPr>
          <w:rFonts w:cs="Times New Roman"/>
          <w:sz w:val="18"/>
          <w:szCs w:val="18"/>
        </w:rPr>
        <w:t xml:space="preserve"> [last accessed: 17.02.20] </w:t>
      </w:r>
    </w:p>
  </w:footnote>
  <w:footnote w:id="4">
    <w:p w14:paraId="67B3F038" w14:textId="1503A2EA" w:rsidR="00765797" w:rsidRPr="00765797" w:rsidRDefault="00765797" w:rsidP="00BF5A40">
      <w:pPr>
        <w:pStyle w:val="NormalWeb"/>
        <w:spacing w:before="0" w:beforeAutospacing="0" w:after="0" w:afterAutospacing="0"/>
        <w:textAlignment w:val="baseline"/>
        <w:rPr>
          <w:rFonts w:eastAsiaTheme="minorHAnsi"/>
          <w:sz w:val="18"/>
          <w:szCs w:val="18"/>
        </w:rPr>
      </w:pPr>
      <w:r w:rsidRPr="00765797">
        <w:rPr>
          <w:rStyle w:val="FootnoteReference"/>
        </w:rPr>
        <w:footnoteRef/>
      </w:r>
      <w:r w:rsidRPr="00765797">
        <w:t xml:space="preserve"> </w:t>
      </w:r>
      <w:r w:rsidRPr="00765797">
        <w:rPr>
          <w:rFonts w:eastAsiaTheme="minorHAnsi"/>
          <w:sz w:val="18"/>
          <w:szCs w:val="18"/>
        </w:rPr>
        <w:t>Established in 1964, </w:t>
      </w:r>
      <w:r w:rsidRPr="00765797">
        <w:rPr>
          <w:rFonts w:eastAsiaTheme="minorHAnsi"/>
          <w:b/>
          <w:bCs/>
          <w:sz w:val="18"/>
          <w:szCs w:val="18"/>
          <w:bdr w:val="none" w:sz="0" w:space="0" w:color="auto" w:frame="1"/>
        </w:rPr>
        <w:t>The International Union for Conservation of Nature’s Red List of Threatened Species</w:t>
      </w:r>
      <w:r w:rsidRPr="00765797">
        <w:rPr>
          <w:rFonts w:eastAsiaTheme="minorHAnsi"/>
          <w:sz w:val="18"/>
          <w:szCs w:val="18"/>
        </w:rPr>
        <w:t xml:space="preserve"> has evolved to become the world’s most comprehensive information source on the global conservation status of animal, fungi and plant species. The IUCN Red List is a critical indicator of the health of the world’s biodiversity It provides information about range, population size, habitat and ecology, use and/or trade, threats, and conservation actions that will help inform necessary conservation decisions. </w:t>
      </w:r>
      <w:hyperlink r:id="rId4" w:history="1">
        <w:r w:rsidRPr="00765797">
          <w:rPr>
            <w:rStyle w:val="Hyperlink"/>
            <w:rFonts w:eastAsiaTheme="minorHAnsi"/>
            <w:color w:val="auto"/>
            <w:sz w:val="18"/>
            <w:szCs w:val="18"/>
          </w:rPr>
          <w:t>https://www.iucnredlist.org</w:t>
        </w:r>
      </w:hyperlink>
      <w:r w:rsidRPr="00765797">
        <w:rPr>
          <w:rFonts w:eastAsiaTheme="minorHAnsi"/>
          <w:sz w:val="18"/>
          <w:szCs w:val="18"/>
        </w:rPr>
        <w:t xml:space="preserve"> </w:t>
      </w:r>
    </w:p>
  </w:footnote>
  <w:footnote w:id="5">
    <w:p w14:paraId="2152EF42" w14:textId="77777777" w:rsidR="00765797" w:rsidRPr="00765797" w:rsidRDefault="00765797" w:rsidP="001139CD">
      <w:pPr>
        <w:pStyle w:val="FootnoteText"/>
        <w:rPr>
          <w:rFonts w:cs="Times New Roman"/>
          <w:sz w:val="18"/>
          <w:szCs w:val="18"/>
        </w:rPr>
      </w:pPr>
      <w:r w:rsidRPr="00765797">
        <w:rPr>
          <w:rStyle w:val="FootnoteReference"/>
        </w:rPr>
        <w:footnoteRef/>
      </w:r>
      <w:r w:rsidRPr="00765797">
        <w:rPr>
          <w:rFonts w:cs="Times New Roman"/>
        </w:rPr>
        <w:t xml:space="preserve"> </w:t>
      </w:r>
      <w:r w:rsidRPr="00765797">
        <w:rPr>
          <w:rFonts w:cs="Times New Roman"/>
          <w:sz w:val="18"/>
          <w:szCs w:val="18"/>
        </w:rPr>
        <w:t>The value of caviar is cited by TRAFFIC (2009) as bringing retail prices in Western Europe of up to EUR 600 per 100g of the product. It is one of the most expensive wildlife products in the world.</w:t>
      </w:r>
    </w:p>
    <w:p w14:paraId="5254D51A" w14:textId="27C2F2EE" w:rsidR="00765797" w:rsidRPr="00765797" w:rsidRDefault="00765797" w:rsidP="001139CD">
      <w:pPr>
        <w:pStyle w:val="FootnoteText"/>
        <w:rPr>
          <w:rFonts w:cs="Times New Roman"/>
          <w:sz w:val="18"/>
          <w:szCs w:val="18"/>
        </w:rPr>
      </w:pPr>
      <w:hyperlink r:id="rId5" w:history="1">
        <w:r w:rsidRPr="00765797">
          <w:rPr>
            <w:rStyle w:val="Hyperlink"/>
            <w:rFonts w:cs="Times New Roman"/>
            <w:color w:val="auto"/>
            <w:sz w:val="18"/>
            <w:szCs w:val="18"/>
          </w:rPr>
          <w:t>https://www.traffic.org/site/assets/files/9467/black-gold-the-caviar-trade-in-western-europe.pdf</w:t>
        </w:r>
      </w:hyperlink>
      <w:r w:rsidRPr="00765797">
        <w:rPr>
          <w:rFonts w:cs="Times New Roman"/>
          <w:sz w:val="18"/>
          <w:szCs w:val="18"/>
        </w:rPr>
        <w:t xml:space="preserve">  [last accessed: 25.05.20] </w:t>
      </w:r>
    </w:p>
  </w:footnote>
  <w:footnote w:id="6">
    <w:p w14:paraId="5A5F2882" w14:textId="69A13CB2" w:rsidR="00765797" w:rsidRPr="00765797" w:rsidRDefault="00765797" w:rsidP="001139CD">
      <w:pPr>
        <w:pStyle w:val="FootnoteText"/>
        <w:rPr>
          <w:rFonts w:cs="Times New Roman"/>
          <w:sz w:val="18"/>
          <w:szCs w:val="18"/>
          <w:lang w:val="en-US"/>
        </w:rPr>
      </w:pPr>
      <w:r w:rsidRPr="00765797">
        <w:rPr>
          <w:rStyle w:val="FootnoteReference"/>
        </w:rPr>
        <w:footnoteRef/>
      </w:r>
      <w:r w:rsidRPr="00765797">
        <w:rPr>
          <w:rFonts w:cs="Times New Roman"/>
          <w:sz w:val="18"/>
          <w:szCs w:val="18"/>
          <w:lang w:val="en-US"/>
        </w:rPr>
        <w:t xml:space="preserve">For the purposes of the literature review on geopolitical animals I am taking a broad view of ‘critical geopolitics’ and including some overlapping literature from International Relations and Critical Security studies that may not explicitly identify as ‘critical geopolitics’, but speaks to the themes of this discipline. </w:t>
      </w:r>
    </w:p>
  </w:footnote>
  <w:footnote w:id="7">
    <w:p w14:paraId="03B988F3" w14:textId="55D251D3" w:rsidR="00765797" w:rsidRPr="00765797" w:rsidRDefault="00765797">
      <w:pPr>
        <w:pStyle w:val="FootnoteText"/>
        <w:rPr>
          <w:sz w:val="18"/>
          <w:szCs w:val="18"/>
          <w:lang w:val="en-US"/>
        </w:rPr>
      </w:pPr>
      <w:r w:rsidRPr="00765797">
        <w:rPr>
          <w:rStyle w:val="FootnoteReference"/>
        </w:rPr>
        <w:footnoteRef/>
      </w:r>
      <w:r w:rsidRPr="00765797">
        <w:rPr>
          <w:sz w:val="18"/>
          <w:szCs w:val="18"/>
        </w:rPr>
        <w:t xml:space="preserve"> The universal caviar labelling system is a system designed to increase the traceability of caviar on the international market. The system is a legal requirement for parties to the Convention in Trade of Endangered Species (CITES). I explain the mechanisms of the labelling system in chapter four of this thesis. </w:t>
      </w:r>
    </w:p>
  </w:footnote>
  <w:footnote w:id="8">
    <w:p w14:paraId="64BE50C5" w14:textId="77777777" w:rsidR="00765797" w:rsidRPr="00765797" w:rsidRDefault="00765797" w:rsidP="00460259">
      <w:pPr>
        <w:pStyle w:val="FootnoteText"/>
        <w:rPr>
          <w:rFonts w:cs="Times New Roman"/>
          <w:sz w:val="18"/>
          <w:szCs w:val="18"/>
          <w:lang w:val="en-US"/>
        </w:rPr>
      </w:pPr>
      <w:r w:rsidRPr="00765797">
        <w:rPr>
          <w:rStyle w:val="FootnoteReference"/>
        </w:rPr>
        <w:footnoteRef/>
      </w:r>
      <w:r w:rsidRPr="00765797">
        <w:rPr>
          <w:rFonts w:cs="Times New Roman"/>
          <w:sz w:val="18"/>
          <w:szCs w:val="18"/>
          <w:lang w:val="en-US"/>
        </w:rPr>
        <w:t xml:space="preserve">I carried out a 1-week pilot study prior to the main body of fieldwork in Vienna, Austria in September 2017. Following this pilot study I began to investigate conducting the ‘follow the thing: caviar’ methodology, but ultimately decided to shift to follow the policy. </w:t>
      </w:r>
    </w:p>
  </w:footnote>
  <w:footnote w:id="9">
    <w:p w14:paraId="742D8668" w14:textId="1A4EE38A" w:rsidR="00765797" w:rsidRPr="00765797" w:rsidRDefault="00765797" w:rsidP="00460259">
      <w:pPr>
        <w:pStyle w:val="FootnoteText"/>
        <w:rPr>
          <w:rFonts w:cs="Times New Roman"/>
          <w:sz w:val="18"/>
          <w:szCs w:val="18"/>
          <w:lang w:val="en-US"/>
        </w:rPr>
      </w:pPr>
      <w:r w:rsidRPr="00765797">
        <w:rPr>
          <w:rStyle w:val="FootnoteReference"/>
        </w:rPr>
        <w:footnoteRef/>
      </w:r>
      <w:r w:rsidRPr="00765797">
        <w:rPr>
          <w:rFonts w:cs="Times New Roman"/>
          <w:sz w:val="18"/>
          <w:szCs w:val="18"/>
        </w:rPr>
        <w:t xml:space="preserve"> I conducted fieldwork in Austria for 1 week in September 2017. I conducted fieldwork in Belgium for 4 weeks total, split over 2 trips. The first trip was 3.5 weeks in February 2018, and the second was a 4 day return trip in April 2018. I conducted 3 weeks of fieldwork in the Netherlands in March 2018. I conducted 2 weeks of fieldwork in Romania, split over 2 trips. The first week was spent in Bucharest in May 2018, and the second week was spent mainly in the Danube Delta in July 2018, with a short return to Bucharest. I conducted 3 days of fieldwork in Warsaw, Poland. Finally I spent approximately 2 weeks conducting fieldwork in the UK, although this fieldwork was conducted on an ad-hoc basis between other stints of overseas fieldwork, and so cannot be confined to a specific time frame. </w:t>
      </w:r>
    </w:p>
  </w:footnote>
  <w:footnote w:id="10">
    <w:p w14:paraId="118A32C1" w14:textId="096745C1" w:rsidR="00765797" w:rsidRPr="00765797" w:rsidRDefault="00765797" w:rsidP="00460259">
      <w:pPr>
        <w:pStyle w:val="FootnoteText"/>
        <w:rPr>
          <w:sz w:val="18"/>
          <w:szCs w:val="18"/>
          <w:lang w:val="en-US"/>
        </w:rPr>
      </w:pPr>
      <w:r w:rsidRPr="00765797">
        <w:rPr>
          <w:rStyle w:val="FootnoteReference"/>
        </w:rPr>
        <w:footnoteRef/>
      </w:r>
      <w:r w:rsidRPr="00765797">
        <w:rPr>
          <w:rFonts w:cs="Times New Roman"/>
          <w:sz w:val="18"/>
          <w:szCs w:val="18"/>
          <w:lang w:val="en-US"/>
        </w:rPr>
        <w:t>Although not EU member states, Switzerland, Ukraine and USA were of significant note to the research. Geneva, Switzerland is the location of the CITES Secretariat, where high-level international policy negotiations relating to international trade in endangered species are formalized. In the case of Ukraine, illegal caviar trade in this country has implications for the functioning and efficacy of EU caviar trade policy, given Ukraine’s position at the border to the EU. In the case of the USA, I interviewed two academics that had been at the forefront of a campaign in the US to ban imports of Beluga caviar into the country. This campaign resulted in changes to US laws, but a similar campaign struggled to materialize in the European Union. These interviews were important for contextualizing the differences between the situation in the USA and the EU.</w:t>
      </w:r>
      <w:r w:rsidRPr="00765797">
        <w:rPr>
          <w:sz w:val="18"/>
          <w:szCs w:val="18"/>
          <w:lang w:val="en-US"/>
        </w:rPr>
        <w:t xml:space="preserve"> </w:t>
      </w:r>
    </w:p>
  </w:footnote>
  <w:footnote w:id="11">
    <w:p w14:paraId="7DC9CA09" w14:textId="77777777" w:rsidR="00765797" w:rsidRPr="00765797" w:rsidRDefault="00765797" w:rsidP="00460259">
      <w:pPr>
        <w:pStyle w:val="FootnoteText"/>
        <w:rPr>
          <w:rFonts w:cs="Times New Roman"/>
          <w:sz w:val="18"/>
          <w:szCs w:val="18"/>
          <w:lang w:val="en-US"/>
        </w:rPr>
      </w:pPr>
      <w:r w:rsidRPr="00765797">
        <w:rPr>
          <w:rStyle w:val="FootnoteReference"/>
        </w:rPr>
        <w:footnoteRef/>
      </w:r>
      <w:r w:rsidRPr="00765797">
        <w:rPr>
          <w:rFonts w:cs="Times New Roman"/>
          <w:sz w:val="18"/>
          <w:szCs w:val="18"/>
        </w:rPr>
        <w:t xml:space="preserve"> Of the 40 interviews, 7 of the interviews were group interviews involving up to 5 interviewees. </w:t>
      </w:r>
    </w:p>
  </w:footnote>
  <w:footnote w:id="12">
    <w:p w14:paraId="4158B6C0" w14:textId="77777777" w:rsidR="00765797" w:rsidRPr="00765797" w:rsidRDefault="00765797" w:rsidP="00460259">
      <w:pPr>
        <w:pStyle w:val="FootnoteText"/>
        <w:rPr>
          <w:rFonts w:cs="Times New Roman"/>
          <w:sz w:val="18"/>
          <w:szCs w:val="18"/>
          <w:lang w:val="en-US"/>
        </w:rPr>
      </w:pPr>
      <w:r w:rsidRPr="00765797">
        <w:rPr>
          <w:rStyle w:val="FootnoteReference"/>
        </w:rPr>
        <w:footnoteRef/>
      </w:r>
      <w:r w:rsidRPr="00765797">
        <w:rPr>
          <w:rFonts w:cs="Times New Roman"/>
          <w:sz w:val="18"/>
          <w:szCs w:val="18"/>
        </w:rPr>
        <w:t xml:space="preserve"> </w:t>
      </w:r>
      <w:r w:rsidRPr="00765797">
        <w:rPr>
          <w:rFonts w:cs="Times New Roman"/>
          <w:sz w:val="18"/>
          <w:szCs w:val="18"/>
          <w:lang w:val="en-US"/>
        </w:rPr>
        <w:t xml:space="preserve">The International Sturgeon Symposium is organized by the World Sturgeon Conservation Society (WSCS) and takes place every 4 years. The symposia have become the key global platform to discuss issues related to sturgeon conservation and by extension caviar trade. Attendees present findings from research and discuss future strategies for research and management of sturgeon populations. At ISS8 in 2017 there was a ‘caviar trade forum’ dedicated to discussing caviar trade and policy issues. There were over 130 presentations and 90 posters presented at ISS8, with 310 participants from 30 countries attending the meeting. </w:t>
      </w:r>
    </w:p>
  </w:footnote>
  <w:footnote w:id="13">
    <w:p w14:paraId="0367CAC8" w14:textId="7881FDB5" w:rsidR="00765797" w:rsidRPr="00765797" w:rsidRDefault="00765797" w:rsidP="00460259">
      <w:pPr>
        <w:pStyle w:val="FootnoteText"/>
        <w:rPr>
          <w:sz w:val="18"/>
          <w:szCs w:val="18"/>
          <w:lang w:val="en-US"/>
        </w:rPr>
      </w:pPr>
      <w:r w:rsidRPr="00765797">
        <w:rPr>
          <w:rStyle w:val="FootnoteReference"/>
        </w:rPr>
        <w:footnoteRef/>
      </w:r>
      <w:r w:rsidRPr="00765797">
        <w:rPr>
          <w:sz w:val="18"/>
          <w:szCs w:val="18"/>
        </w:rPr>
        <w:t xml:space="preserve"> </w:t>
      </w:r>
      <w:hyperlink r:id="rId6" w:history="1">
        <w:r w:rsidRPr="00765797">
          <w:rPr>
            <w:rStyle w:val="Hyperlink"/>
            <w:color w:val="auto"/>
            <w:sz w:val="18"/>
            <w:szCs w:val="18"/>
          </w:rPr>
          <w:t>https://www.seafoodexpo.com/global/expo-highlights/</w:t>
        </w:r>
      </w:hyperlink>
      <w:r w:rsidRPr="00765797">
        <w:rPr>
          <w:sz w:val="18"/>
          <w:szCs w:val="18"/>
        </w:rPr>
        <w:t xml:space="preserve"> [last accessed: 28.05.20] </w:t>
      </w:r>
    </w:p>
  </w:footnote>
  <w:footnote w:id="14">
    <w:p w14:paraId="518C7E8C" w14:textId="59376083" w:rsidR="00765797" w:rsidRPr="00765797" w:rsidRDefault="00765797" w:rsidP="00AC10E7">
      <w:pPr>
        <w:pStyle w:val="FootnoteText"/>
        <w:rPr>
          <w:rFonts w:cs="Times New Roman"/>
          <w:sz w:val="18"/>
          <w:szCs w:val="18"/>
        </w:rPr>
      </w:pPr>
      <w:r w:rsidRPr="00765797">
        <w:rPr>
          <w:rStyle w:val="FootnoteReference"/>
        </w:rPr>
        <w:footnoteRef/>
      </w:r>
      <w:r w:rsidRPr="00765797">
        <w:rPr>
          <w:rFonts w:cs="Times New Roman"/>
          <w:sz w:val="18"/>
          <w:szCs w:val="18"/>
        </w:rPr>
        <w:t xml:space="preserve"> CITES is the Convention in Trade of Endangered Species, a UN multilateral treaty designed to protect endangered plants and animals, by regulating international trade. Appendix I, II, and III, to the convention are lists of species afforded different levels or types of protection from overexploitation. All sturgeon are listed on Appendix I or Appendix II of CITES. Appendix I lists the most endangered among CITES listed plants and animals. International commercial trade in these species is prohibited. Appendix II lists species that may become threatened by extinction if international trade is not closely controlled. International trade in these species is granted with the issuance of an export permit. More information on the CITES Appendices: </w:t>
      </w:r>
      <w:hyperlink r:id="rId7" w:history="1">
        <w:r w:rsidRPr="00765797">
          <w:rPr>
            <w:rStyle w:val="Hyperlink"/>
            <w:rFonts w:cs="Times New Roman"/>
            <w:color w:val="auto"/>
            <w:sz w:val="18"/>
            <w:szCs w:val="18"/>
          </w:rPr>
          <w:t>https://www.cites.org/eng/app/index.php</w:t>
        </w:r>
      </w:hyperlink>
      <w:r w:rsidRPr="00765797">
        <w:rPr>
          <w:rFonts w:cs="Times New Roman"/>
          <w:sz w:val="18"/>
          <w:szCs w:val="18"/>
        </w:rPr>
        <w:t xml:space="preserve"> [last accessed: 28.05.20] </w:t>
      </w:r>
    </w:p>
  </w:footnote>
  <w:footnote w:id="15">
    <w:p w14:paraId="15DFB0BB" w14:textId="7A79AC01" w:rsidR="00765797" w:rsidRPr="00765797" w:rsidRDefault="00765797" w:rsidP="00AC10E7">
      <w:pPr>
        <w:pStyle w:val="Normal1"/>
        <w:spacing w:line="240" w:lineRule="auto"/>
        <w:rPr>
          <w:rFonts w:ascii="Times New Roman" w:hAnsi="Times New Roman" w:cs="Times New Roman"/>
          <w:sz w:val="18"/>
          <w:szCs w:val="18"/>
        </w:rPr>
      </w:pPr>
      <w:r w:rsidRPr="00765797">
        <w:rPr>
          <w:rStyle w:val="FootnoteReference"/>
        </w:rPr>
        <w:footnoteRef/>
      </w:r>
      <w:r w:rsidRPr="00765797">
        <w:rPr>
          <w:rFonts w:ascii="Times New Roman" w:hAnsi="Times New Roman" w:cs="Times New Roman"/>
          <w:sz w:val="18"/>
          <w:szCs w:val="18"/>
        </w:rPr>
        <w:t xml:space="preserve"> Interview with Sigrid, WP2.40, NGO Project Coordinator, Austria, May 2019 </w:t>
      </w:r>
    </w:p>
  </w:footnote>
  <w:footnote w:id="16">
    <w:p w14:paraId="418BB0AD" w14:textId="3A674565" w:rsidR="00765797" w:rsidRPr="00765797" w:rsidRDefault="00765797" w:rsidP="00AC10E7">
      <w:pPr>
        <w:pStyle w:val="Normal1"/>
        <w:spacing w:line="240" w:lineRule="auto"/>
        <w:rPr>
          <w:rFonts w:ascii="Times New Roman" w:hAnsi="Times New Roman" w:cs="Times New Roman"/>
          <w:sz w:val="18"/>
          <w:szCs w:val="18"/>
        </w:rPr>
      </w:pPr>
      <w:r w:rsidRPr="00765797">
        <w:rPr>
          <w:rStyle w:val="FootnoteReference"/>
        </w:rPr>
        <w:footnoteRef/>
      </w:r>
      <w:r w:rsidRPr="00765797">
        <w:rPr>
          <w:rFonts w:ascii="Times New Roman" w:hAnsi="Times New Roman" w:cs="Times New Roman"/>
          <w:sz w:val="18"/>
          <w:szCs w:val="18"/>
        </w:rPr>
        <w:t xml:space="preserve"> A multi-agency report, co-authored by UN -Environment, Eurac resarch, and WWF: </w:t>
      </w:r>
      <w:hyperlink r:id="rId8">
        <w:r w:rsidRPr="00765797">
          <w:rPr>
            <w:rFonts w:ascii="Times New Roman" w:hAnsi="Times New Roman" w:cs="Times New Roman"/>
            <w:sz w:val="18"/>
            <w:szCs w:val="18"/>
            <w:u w:val="single"/>
          </w:rPr>
          <w:t>https://wedocs.unep.org/bitstream/handle/20.500.11822/22225/Combating_WildlifeCrime_Danube.pdf?sequence</w:t>
        </w:r>
      </w:hyperlink>
      <w:r w:rsidRPr="00765797">
        <w:rPr>
          <w:rFonts w:ascii="Times New Roman" w:hAnsi="Times New Roman" w:cs="Times New Roman"/>
          <w:sz w:val="18"/>
          <w:szCs w:val="18"/>
        </w:rPr>
        <w:t xml:space="preserve"> [last accessed: 27.09.19] </w:t>
      </w:r>
    </w:p>
  </w:footnote>
  <w:footnote w:id="17">
    <w:p w14:paraId="2705C646" w14:textId="77777777" w:rsidR="00765797" w:rsidRPr="00765797" w:rsidRDefault="00765797" w:rsidP="00AC10E7">
      <w:pPr>
        <w:pStyle w:val="FootnoteText"/>
        <w:rPr>
          <w:sz w:val="18"/>
          <w:szCs w:val="18"/>
        </w:rPr>
      </w:pPr>
      <w:r w:rsidRPr="00765797">
        <w:rPr>
          <w:rStyle w:val="FootnoteReference"/>
        </w:rPr>
        <w:footnoteRef/>
      </w:r>
      <w:r w:rsidRPr="00765797">
        <w:rPr>
          <w:rFonts w:cs="Times New Roman"/>
          <w:sz w:val="18"/>
          <w:szCs w:val="18"/>
        </w:rPr>
        <w:t>The last remaining viable wild sturgeon populations in the EU are found in the Danube-Carpathian region of Europe.</w:t>
      </w:r>
      <w:r w:rsidRPr="00765797">
        <w:rPr>
          <w:sz w:val="18"/>
          <w:szCs w:val="18"/>
        </w:rPr>
        <w:t xml:space="preserve"> </w:t>
      </w:r>
    </w:p>
  </w:footnote>
  <w:footnote w:id="18">
    <w:p w14:paraId="07B6F653" w14:textId="77777777" w:rsidR="00765797" w:rsidRPr="00765797" w:rsidRDefault="00765797" w:rsidP="00AC10E7">
      <w:pPr>
        <w:pStyle w:val="FootnoteText"/>
        <w:rPr>
          <w:rFonts w:cs="Times New Roman"/>
          <w:sz w:val="18"/>
          <w:szCs w:val="18"/>
        </w:rPr>
      </w:pPr>
      <w:r w:rsidRPr="00765797">
        <w:rPr>
          <w:rStyle w:val="FootnoteReference"/>
        </w:rPr>
        <w:footnoteRef/>
      </w:r>
      <w:r w:rsidRPr="00765797">
        <w:rPr>
          <w:rFonts w:cs="Times New Roman"/>
          <w:sz w:val="18"/>
          <w:szCs w:val="18"/>
        </w:rPr>
        <w:t xml:space="preserve"> The International Union for the Conservation of Nature (IUCN) is a membership union of government and civil society organisations, working to conserve nature. The IUCN compiles the IUCN Red-List of threatened species which is the world’s most comprehensive inventory of the conservation status of over 100,000 plant and animal species. </w:t>
      </w:r>
    </w:p>
  </w:footnote>
  <w:footnote w:id="19">
    <w:p w14:paraId="11147737" w14:textId="77777777" w:rsidR="00765797" w:rsidRPr="00765797" w:rsidRDefault="00765797" w:rsidP="00AC10E7">
      <w:pPr>
        <w:pStyle w:val="Normal1"/>
        <w:spacing w:line="240" w:lineRule="auto"/>
        <w:rPr>
          <w:sz w:val="18"/>
          <w:szCs w:val="18"/>
        </w:rPr>
      </w:pPr>
      <w:r w:rsidRPr="00765797">
        <w:rPr>
          <w:rStyle w:val="FootnoteReference"/>
        </w:rPr>
        <w:footnoteRef/>
      </w:r>
      <w:r w:rsidRPr="00765797">
        <w:rPr>
          <w:rFonts w:ascii="Times New Roman" w:hAnsi="Times New Roman" w:cs="Times New Roman"/>
          <w:sz w:val="18"/>
          <w:szCs w:val="18"/>
        </w:rPr>
        <w:t xml:space="preserve"> The Atlantic Sturgeon (A. Sturio) is also known as the European Sea Sturgeon and the Common Sturgeon</w:t>
      </w:r>
    </w:p>
  </w:footnote>
  <w:footnote w:id="20">
    <w:p w14:paraId="592E4123" w14:textId="69949B43" w:rsidR="00765797" w:rsidRPr="00765797" w:rsidRDefault="00765797" w:rsidP="00AC10E7">
      <w:pPr>
        <w:pStyle w:val="FootnoteText"/>
        <w:rPr>
          <w:sz w:val="18"/>
          <w:szCs w:val="18"/>
        </w:rPr>
      </w:pPr>
      <w:r w:rsidRPr="00765797">
        <w:rPr>
          <w:rStyle w:val="FootnoteReference"/>
        </w:rPr>
        <w:footnoteRef/>
      </w:r>
      <w:r w:rsidRPr="00765797">
        <w:rPr>
          <w:sz w:val="18"/>
          <w:szCs w:val="18"/>
        </w:rPr>
        <w:t xml:space="preserve"> CITES Resolution 12.7 was produced via the standard deliberative format, whereby at each CITES CoP meeting the Parties to CITES ‘consider problems of implementation of the convention and its effectiveness’. The results of these deliberations are recorded either as Resolutions or Decisions of the Conference of the Parties. In this case, the discussions around sturgeon and caviar trade were recorded as a Resolution. The Resolutions are typically intended to provide long-standing guidance over periods of many years, and include the guidance provided by the Conference of the Parties on how to interpret the provisions of the Convention. Resolution Conf. 12.7 was formally produced at the 12th CoP meeting in Santiago, Chile in 2002 and has been revised periodically at the 13th, 14th, 16th and 17th subsequent CoP meetings, to reflect the changing realities of the caviar industry. However, Resolution Conf. 12.7 contains rules for controlling the trade in sturgeon and caviar which were initiated prior to 2002. Namely it incorporated into one regulatory framework aspects of Resolution Conf. 10.12 Conservation of Sturgeons, adopted at the 10th CoP meeting in Harare, Zimbabwe, in 1997, and Resolution Conf. 11.13 Universal Labelling System for the Identification of Caviar adopted at the 11th CoP in Gigiri, Kenya, 2000. See: </w:t>
      </w:r>
      <w:hyperlink r:id="rId9" w:history="1">
        <w:r w:rsidRPr="00765797">
          <w:rPr>
            <w:rStyle w:val="Hyperlink"/>
            <w:color w:val="auto"/>
            <w:sz w:val="18"/>
            <w:szCs w:val="18"/>
          </w:rPr>
          <w:t>https://www.cites.org/eng/res/index.php</w:t>
        </w:r>
      </w:hyperlink>
      <w:r w:rsidRPr="00765797">
        <w:rPr>
          <w:sz w:val="18"/>
          <w:szCs w:val="18"/>
        </w:rPr>
        <w:t xml:space="preserve"> [last accessed: 28.05.20] </w:t>
      </w:r>
    </w:p>
  </w:footnote>
  <w:footnote w:id="21">
    <w:p w14:paraId="5E85B27B" w14:textId="1B6B64A8" w:rsidR="00765797" w:rsidRPr="00765797" w:rsidRDefault="00765797" w:rsidP="00AC10E7">
      <w:pPr>
        <w:pStyle w:val="FootnoteText"/>
      </w:pPr>
      <w:r w:rsidRPr="00765797">
        <w:rPr>
          <w:rStyle w:val="FootnoteReference"/>
        </w:rPr>
        <w:footnoteRef/>
      </w:r>
      <w:r w:rsidRPr="00765797">
        <w:rPr>
          <w:sz w:val="18"/>
          <w:szCs w:val="18"/>
        </w:rPr>
        <w:t>CITES list the following 5 sturgeon habitats as ‘shared stocks’ in CITES resolution 12.7. These are seas and/or rivers that comprise the geographic range of some species of sturgeon. In the case of rivers this range extends into multiple nation states, and in the case of seas there are multiple range states. Caspian Sea (Azerbaijan, Iran, Kazakhstan, Russian Federation, Turkmenistan); North West Black Sea and Lower Danube River (Bulgaria, Romania, Serbia, Ukraine); St John River/Bay of Fundy (Canada, USA); Amur/Heilongjiang River (China, Russian Federation); Azov Sea (Russian Federation, Ukraine)</w:t>
      </w:r>
    </w:p>
  </w:footnote>
  <w:footnote w:id="22">
    <w:p w14:paraId="251B88D7" w14:textId="6C755B2E" w:rsidR="00765797" w:rsidRPr="00765797" w:rsidRDefault="00765797">
      <w:pPr>
        <w:pStyle w:val="FootnoteText"/>
        <w:rPr>
          <w:rFonts w:cs="Times New Roman"/>
          <w:sz w:val="18"/>
          <w:szCs w:val="18"/>
          <w:lang w:val="en-US"/>
        </w:rPr>
      </w:pPr>
      <w:r w:rsidRPr="00765797">
        <w:rPr>
          <w:rStyle w:val="FootnoteReference"/>
        </w:rPr>
        <w:footnoteRef/>
      </w:r>
      <w:r w:rsidRPr="00765797">
        <w:rPr>
          <w:rFonts w:cs="Times New Roman"/>
          <w:sz w:val="18"/>
          <w:szCs w:val="18"/>
        </w:rPr>
        <w:t xml:space="preserve"> </w:t>
      </w:r>
      <w:r w:rsidRPr="00765797">
        <w:rPr>
          <w:rFonts w:cs="Times New Roman"/>
          <w:sz w:val="18"/>
          <w:szCs w:val="18"/>
          <w:lang w:val="en-US"/>
        </w:rPr>
        <w:t>Notably, the import of this caviar from Kazakhstan was not reported by EU Member States</w:t>
      </w:r>
    </w:p>
  </w:footnote>
  <w:footnote w:id="23">
    <w:p w14:paraId="5584F9D9" w14:textId="77777777" w:rsidR="00765797" w:rsidRPr="00765797" w:rsidRDefault="00765797" w:rsidP="00AC10E7">
      <w:pPr>
        <w:pStyle w:val="FootnoteText"/>
        <w:rPr>
          <w:rFonts w:cs="Times New Roman"/>
          <w:sz w:val="18"/>
          <w:szCs w:val="18"/>
        </w:rPr>
      </w:pPr>
      <w:r w:rsidRPr="00765797">
        <w:rPr>
          <w:rStyle w:val="FootnoteReference"/>
        </w:rPr>
        <w:footnoteRef/>
      </w:r>
      <w:r w:rsidRPr="00765797">
        <w:rPr>
          <w:rFonts w:cs="Times New Roman"/>
          <w:sz w:val="18"/>
          <w:szCs w:val="18"/>
        </w:rPr>
        <w:t xml:space="preserve">CITES Resolution Conf 14.7 (Rev. Cop 15) Management of nationally established export quotas </w:t>
      </w:r>
      <w:hyperlink r:id="rId10" w:history="1">
        <w:r w:rsidRPr="00765797">
          <w:rPr>
            <w:rStyle w:val="Hyperlink"/>
            <w:rFonts w:cs="Times New Roman"/>
            <w:color w:val="auto"/>
            <w:sz w:val="18"/>
            <w:szCs w:val="18"/>
          </w:rPr>
          <w:t>https://www.cites.org/sites/default/files/document/E-Res-14-07-R15.pdf</w:t>
        </w:r>
      </w:hyperlink>
      <w:r w:rsidRPr="00765797">
        <w:rPr>
          <w:rFonts w:cs="Times New Roman"/>
          <w:sz w:val="18"/>
          <w:szCs w:val="18"/>
        </w:rPr>
        <w:t xml:space="preserve"> [last accessed: 05.02.20]</w:t>
      </w:r>
    </w:p>
  </w:footnote>
  <w:footnote w:id="24">
    <w:p w14:paraId="6971DF0F" w14:textId="77777777" w:rsidR="00765797" w:rsidRPr="00765797" w:rsidRDefault="00765797" w:rsidP="00AC10E7">
      <w:pPr>
        <w:pStyle w:val="FootnoteText"/>
        <w:rPr>
          <w:sz w:val="18"/>
          <w:szCs w:val="18"/>
        </w:rPr>
      </w:pPr>
      <w:r w:rsidRPr="00765797">
        <w:rPr>
          <w:rStyle w:val="FootnoteReference"/>
        </w:rPr>
        <w:footnoteRef/>
      </w:r>
      <w:r w:rsidRPr="00765797">
        <w:rPr>
          <w:rFonts w:cs="Times New Roman"/>
          <w:sz w:val="18"/>
          <w:szCs w:val="18"/>
        </w:rPr>
        <w:t xml:space="preserve"> There was a one-off export quota reported in 2017 from Uzbekistan, for the export of 20 live specimen of wild-caught Amu Darya Sturgeon (Pseudoscaphirhynchus kaufmanni) (Harris &amp; Shiraishi, 2018:10)</w:t>
      </w:r>
    </w:p>
  </w:footnote>
  <w:footnote w:id="25">
    <w:p w14:paraId="26048C27" w14:textId="5CD96819" w:rsidR="00765797" w:rsidRPr="00765797" w:rsidRDefault="00765797" w:rsidP="007B2128">
      <w:pPr>
        <w:pStyle w:val="FootnoteText"/>
        <w:rPr>
          <w:rFonts w:cs="Times New Roman"/>
          <w:sz w:val="18"/>
          <w:szCs w:val="18"/>
        </w:rPr>
      </w:pPr>
      <w:r w:rsidRPr="00765797">
        <w:rPr>
          <w:rStyle w:val="FootnoteReference"/>
        </w:rPr>
        <w:footnoteRef/>
      </w:r>
      <w:r w:rsidRPr="00765797">
        <w:rPr>
          <w:rFonts w:cs="Times New Roman"/>
          <w:sz w:val="18"/>
          <w:szCs w:val="18"/>
        </w:rPr>
        <w:t xml:space="preserve"> Interview with Michael, WP.2.02, Ex-enforcement officer, UK, December 2017.  A number of US prosecutions against caviar laundering into ‘legal’ enterprises are listed on the United States Department of Justice website, see here:    </w:t>
      </w:r>
      <w:hyperlink r:id="rId11" w:history="1">
        <w:r w:rsidRPr="00765797">
          <w:rPr>
            <w:rStyle w:val="Hyperlink"/>
            <w:rFonts w:cs="Times New Roman"/>
            <w:color w:val="auto"/>
            <w:sz w:val="18"/>
            <w:szCs w:val="18"/>
          </w:rPr>
          <w:t>https://www.justice.gov/enrd/caviar-prosecutions</w:t>
        </w:r>
      </w:hyperlink>
      <w:r w:rsidRPr="00765797">
        <w:rPr>
          <w:rFonts w:cs="Times New Roman"/>
          <w:sz w:val="18"/>
          <w:szCs w:val="18"/>
        </w:rPr>
        <w:t xml:space="preserve"> [last accessed: 28.05.20] </w:t>
      </w:r>
    </w:p>
  </w:footnote>
  <w:footnote w:id="26">
    <w:p w14:paraId="4B12059C" w14:textId="0FE83341" w:rsidR="00765797" w:rsidRPr="00765797" w:rsidRDefault="00765797" w:rsidP="007B2128">
      <w:pPr>
        <w:pStyle w:val="FootnoteText"/>
        <w:rPr>
          <w:rFonts w:cs="Times New Roman"/>
          <w:sz w:val="18"/>
          <w:szCs w:val="18"/>
        </w:rPr>
      </w:pPr>
      <w:r w:rsidRPr="00765797">
        <w:rPr>
          <w:rStyle w:val="FootnoteReference"/>
          <w:rFonts w:cs="Times New Roman"/>
          <w:sz w:val="18"/>
          <w:szCs w:val="18"/>
        </w:rPr>
        <w:footnoteRef/>
      </w:r>
      <w:r w:rsidRPr="00765797">
        <w:rPr>
          <w:rFonts w:cs="Times New Roman"/>
          <w:sz w:val="18"/>
          <w:szCs w:val="18"/>
        </w:rPr>
        <w:t xml:space="preserve"> Interview with Yvar, WP2.16, Researcher, Netherlands, March, 2018. </w:t>
      </w:r>
    </w:p>
    <w:p w14:paraId="24527B1A" w14:textId="77777777" w:rsidR="00765797" w:rsidRPr="00765797" w:rsidRDefault="00765797" w:rsidP="007B2128">
      <w:pPr>
        <w:pStyle w:val="FootnoteText"/>
        <w:rPr>
          <w:rFonts w:cs="Times New Roman"/>
          <w:sz w:val="18"/>
          <w:szCs w:val="18"/>
        </w:rPr>
      </w:pPr>
      <w:r w:rsidRPr="00765797">
        <w:rPr>
          <w:rFonts w:cs="Times New Roman"/>
          <w:sz w:val="18"/>
          <w:szCs w:val="18"/>
        </w:rPr>
        <w:t>See also WWF Danube-Carpathian Factsheet (2014) ‘Sturgeons and Caviar: the basics of legal caviar trade’, which states that “the aquaculture industry may also pose risks to sturgeon. In recent years concerns have been expressed that aquaculture operations may be involved in ‘laundering’ wild sturgeons and caviar”</w:t>
      </w:r>
    </w:p>
    <w:p w14:paraId="4D7D1E6D" w14:textId="0B49575C" w:rsidR="00765797" w:rsidRPr="00765797" w:rsidRDefault="00765797" w:rsidP="007B2128">
      <w:pPr>
        <w:pStyle w:val="FootnoteText"/>
        <w:rPr>
          <w:rFonts w:cs="Times New Roman"/>
          <w:sz w:val="18"/>
          <w:szCs w:val="18"/>
        </w:rPr>
      </w:pPr>
      <w:hyperlink r:id="rId12" w:history="1">
        <w:r w:rsidRPr="00765797">
          <w:rPr>
            <w:rStyle w:val="Hyperlink"/>
            <w:rFonts w:cs="Times New Roman"/>
            <w:color w:val="auto"/>
            <w:sz w:val="18"/>
            <w:szCs w:val="18"/>
          </w:rPr>
          <w:t>https://d2ouvy59p0dg6k.cloudfront.net/downloads/caviar_brochure_eng.pdf</w:t>
        </w:r>
      </w:hyperlink>
      <w:r w:rsidRPr="00765797">
        <w:rPr>
          <w:rFonts w:cs="Times New Roman"/>
          <w:sz w:val="18"/>
          <w:szCs w:val="18"/>
        </w:rPr>
        <w:t xml:space="preserve"> [last accessed: 28.05.20] </w:t>
      </w:r>
    </w:p>
    <w:p w14:paraId="528C2A26" w14:textId="3C054862" w:rsidR="00765797" w:rsidRPr="00765797" w:rsidRDefault="00765797" w:rsidP="007B2128">
      <w:pPr>
        <w:pStyle w:val="FootnoteText"/>
        <w:rPr>
          <w:rFonts w:cs="Times New Roman"/>
          <w:sz w:val="18"/>
          <w:szCs w:val="18"/>
        </w:rPr>
      </w:pPr>
      <w:r w:rsidRPr="00765797">
        <w:rPr>
          <w:rFonts w:cs="Times New Roman"/>
          <w:sz w:val="18"/>
          <w:szCs w:val="18"/>
        </w:rPr>
        <w:t xml:space="preserve">See also a 2011 report from Euractiv that highlights the suspected role of Bulgarian aquaculture businesses in laundering wild caviar through their enterprises. </w:t>
      </w:r>
      <w:hyperlink r:id="rId13" w:history="1">
        <w:r w:rsidRPr="00765797">
          <w:rPr>
            <w:rStyle w:val="Hyperlink"/>
            <w:rFonts w:cs="Times New Roman"/>
            <w:color w:val="auto"/>
            <w:sz w:val="18"/>
            <w:szCs w:val="18"/>
          </w:rPr>
          <w:t>https://www.euractiv.com/section/justice-home-affairs/news/bulgaria-romania-targeted-for-illegal-caviar-trade/</w:t>
        </w:r>
      </w:hyperlink>
      <w:r w:rsidRPr="00765797">
        <w:rPr>
          <w:rFonts w:cs="Times New Roman"/>
          <w:sz w:val="18"/>
          <w:szCs w:val="18"/>
        </w:rPr>
        <w:t xml:space="preserve"> [last accessed: 28.05.20] </w:t>
      </w:r>
    </w:p>
    <w:p w14:paraId="6BF87094" w14:textId="0EF7DE37" w:rsidR="00765797" w:rsidRPr="00765797" w:rsidRDefault="00765797" w:rsidP="007B2128">
      <w:pPr>
        <w:pStyle w:val="FootnoteText"/>
        <w:rPr>
          <w:rFonts w:cs="Times New Roman"/>
          <w:sz w:val="18"/>
          <w:szCs w:val="18"/>
        </w:rPr>
      </w:pPr>
      <w:r w:rsidRPr="00765797">
        <w:rPr>
          <w:rFonts w:cs="Times New Roman"/>
          <w:sz w:val="18"/>
          <w:szCs w:val="18"/>
        </w:rPr>
        <w:t xml:space="preserve">See also the investigative journalism article, ‘Caviar, Crime and Corruption’, which refers to a study that noted 70% of Romanian aquaculture caviar destined for export, was from wild sturgeon.  </w:t>
      </w:r>
      <w:hyperlink r:id="rId14" w:history="1">
        <w:r w:rsidRPr="00765797">
          <w:rPr>
            <w:rStyle w:val="Hyperlink"/>
            <w:rFonts w:cs="Times New Roman"/>
            <w:color w:val="auto"/>
            <w:sz w:val="18"/>
            <w:szCs w:val="18"/>
          </w:rPr>
          <w:t>https://oxpeckers.org/2019/10/caviar-crime-and-corruption/</w:t>
        </w:r>
      </w:hyperlink>
      <w:r w:rsidRPr="00765797">
        <w:rPr>
          <w:rFonts w:cs="Times New Roman"/>
          <w:sz w:val="18"/>
          <w:szCs w:val="18"/>
        </w:rPr>
        <w:t xml:space="preserve"> [last accessed: 28.05.20] </w:t>
      </w:r>
    </w:p>
  </w:footnote>
  <w:footnote w:id="27">
    <w:p w14:paraId="2B282F44" w14:textId="31B6B138" w:rsidR="00765797" w:rsidRPr="00765797" w:rsidRDefault="00765797" w:rsidP="007B2128">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The 2016 UNODC World Wildlife Crime report foregrounded this issue stating that: “an additional concern is the potential for farming operations to launder wild caught sturgeon, used either as breeding stocks or directly as a source of roe” (2016: 91)  Available at:</w:t>
      </w:r>
      <w:r w:rsidRPr="00765797">
        <w:rPr>
          <w:rFonts w:eastAsiaTheme="minorHAnsi" w:cs="Times New Roman"/>
          <w:sz w:val="18"/>
          <w:szCs w:val="18"/>
        </w:rPr>
        <w:t xml:space="preserve"> </w:t>
      </w:r>
      <w:hyperlink r:id="rId15" w:history="1">
        <w:r w:rsidRPr="00765797">
          <w:rPr>
            <w:rStyle w:val="Hyperlink"/>
            <w:rFonts w:eastAsiaTheme="minorHAnsi" w:cs="Times New Roman"/>
            <w:color w:val="auto"/>
            <w:sz w:val="18"/>
            <w:szCs w:val="18"/>
          </w:rPr>
          <w:t>http://www.unodc.org/unodc/en/data- and-analysis/wildlife.html</w:t>
        </w:r>
      </w:hyperlink>
      <w:r w:rsidRPr="00765797">
        <w:rPr>
          <w:rFonts w:eastAsiaTheme="minorHAnsi" w:cs="Times New Roman"/>
          <w:sz w:val="18"/>
          <w:szCs w:val="18"/>
        </w:rPr>
        <w:t xml:space="preserve">  [last accessed: 28.05.20]</w:t>
      </w:r>
    </w:p>
  </w:footnote>
  <w:footnote w:id="28">
    <w:p w14:paraId="74DB83BF" w14:textId="36E42584" w:rsidR="00765797" w:rsidRPr="00765797" w:rsidRDefault="00765797">
      <w:pPr>
        <w:pStyle w:val="FootnoteText"/>
        <w:rPr>
          <w:lang w:val="en-US"/>
        </w:rPr>
      </w:pPr>
      <w:r w:rsidRPr="00765797">
        <w:rPr>
          <w:rStyle w:val="FootnoteReference"/>
        </w:rPr>
        <w:footnoteRef/>
      </w:r>
      <w:r w:rsidRPr="00765797">
        <w:t xml:space="preserve"> </w:t>
      </w:r>
      <w:r w:rsidRPr="00765797">
        <w:rPr>
          <w:rFonts w:cs="Times New Roman"/>
          <w:sz w:val="18"/>
          <w:szCs w:val="18"/>
        </w:rPr>
        <w:t>For example in 2017 there was a one-off export quota for Uzbekistan, to export 20 live specimen of wild-caught Amu Darya Sturgeon (Pseudoscaphirhynchus kaufmanni). However all other forms of international trade in wild-caught sturgeon were prohibited at the time. (Harris &amp; Shiraishi, 2018:10)</w:t>
      </w:r>
    </w:p>
  </w:footnote>
  <w:footnote w:id="29">
    <w:p w14:paraId="4ED85CC8" w14:textId="3277ACFB" w:rsidR="00765797" w:rsidRPr="00765797" w:rsidRDefault="00765797" w:rsidP="00AC10E7">
      <w:pPr>
        <w:pStyle w:val="FootnoteText"/>
        <w:rPr>
          <w:sz w:val="18"/>
          <w:szCs w:val="18"/>
        </w:rPr>
      </w:pPr>
      <w:r w:rsidRPr="00765797">
        <w:rPr>
          <w:rStyle w:val="FootnoteReference"/>
          <w:sz w:val="18"/>
          <w:szCs w:val="18"/>
        </w:rPr>
        <w:footnoteRef/>
      </w:r>
      <w:r w:rsidRPr="00765797">
        <w:rPr>
          <w:sz w:val="18"/>
          <w:szCs w:val="18"/>
        </w:rPr>
        <w:t xml:space="preserve"> There is currently a sturgeon fishing ban in place in the Caspian Sea, agreed by Caspian Sea range states until the end of 2020. Sturgeon fishing in the Black Sea is also prohibited. Sturgeon fishing in the Lower Danube is prohibited by Bulgaria and Romania until 2021.  </w:t>
      </w:r>
    </w:p>
  </w:footnote>
  <w:footnote w:id="30">
    <w:p w14:paraId="692D670A" w14:textId="77777777" w:rsidR="00765797" w:rsidRPr="00765797" w:rsidRDefault="00765797">
      <w:pPr>
        <w:pStyle w:val="FootnoteText"/>
        <w:rPr>
          <w:sz w:val="18"/>
          <w:szCs w:val="18"/>
          <w:lang w:val="en-US"/>
        </w:rPr>
      </w:pPr>
      <w:r w:rsidRPr="00765797">
        <w:rPr>
          <w:rStyle w:val="FootnoteReference"/>
          <w:sz w:val="18"/>
          <w:szCs w:val="18"/>
        </w:rPr>
        <w:footnoteRef/>
      </w:r>
      <w:r w:rsidRPr="00765797">
        <w:rPr>
          <w:sz w:val="18"/>
          <w:szCs w:val="18"/>
        </w:rPr>
        <w:t xml:space="preserve"> </w:t>
      </w:r>
      <w:r w:rsidRPr="00765797">
        <w:rPr>
          <w:sz w:val="18"/>
          <w:szCs w:val="18"/>
          <w:lang w:val="en-US"/>
        </w:rPr>
        <w:t xml:space="preserve">For more details on the Caviar labeling requirements, see the following TRAFFIC factsheet: </w:t>
      </w:r>
    </w:p>
    <w:p w14:paraId="1E936ED0" w14:textId="0DD6E405" w:rsidR="00765797" w:rsidRPr="00765797" w:rsidRDefault="00765797">
      <w:pPr>
        <w:pStyle w:val="FootnoteText"/>
        <w:rPr>
          <w:lang w:val="en-US"/>
        </w:rPr>
      </w:pPr>
      <w:hyperlink r:id="rId16" w:history="1">
        <w:r w:rsidRPr="00765797">
          <w:rPr>
            <w:rStyle w:val="Hyperlink"/>
            <w:color w:val="auto"/>
            <w:sz w:val="18"/>
            <w:szCs w:val="18"/>
            <w:lang w:val="en-US"/>
          </w:rPr>
          <w:t>https://ec.europa.eu/environment/cites/pdf/caviar_labelling.pdf</w:t>
        </w:r>
      </w:hyperlink>
      <w:r w:rsidRPr="00765797">
        <w:rPr>
          <w:sz w:val="18"/>
          <w:szCs w:val="18"/>
          <w:lang w:val="en-US"/>
        </w:rPr>
        <w:t xml:space="preserve"> [last accessed: 06.06.20]</w:t>
      </w:r>
      <w:r w:rsidRPr="00765797">
        <w:rPr>
          <w:lang w:val="en-US"/>
        </w:rPr>
        <w:t xml:space="preserve"> </w:t>
      </w:r>
    </w:p>
  </w:footnote>
  <w:footnote w:id="31">
    <w:p w14:paraId="7AABF9C2" w14:textId="77777777" w:rsidR="00765797" w:rsidRPr="00765797" w:rsidRDefault="00765797" w:rsidP="00A2549D">
      <w:pPr>
        <w:pStyle w:val="NormalWeb"/>
        <w:spacing w:before="0" w:beforeAutospacing="0" w:after="160" w:afterAutospacing="0"/>
        <w:rPr>
          <w:sz w:val="18"/>
          <w:szCs w:val="18"/>
        </w:rPr>
      </w:pPr>
      <w:r w:rsidRPr="00765797">
        <w:rPr>
          <w:rStyle w:val="FootnoteReference"/>
          <w:sz w:val="18"/>
          <w:szCs w:val="18"/>
        </w:rPr>
        <w:footnoteRef/>
      </w:r>
      <w:r w:rsidRPr="00765797">
        <w:rPr>
          <w:sz w:val="18"/>
          <w:szCs w:val="18"/>
        </w:rPr>
        <w:t xml:space="preserve"> </w:t>
      </w:r>
      <w:r w:rsidRPr="00765797">
        <w:rPr>
          <w:sz w:val="18"/>
          <w:szCs w:val="18"/>
          <w:lang w:val="en-US"/>
        </w:rPr>
        <w:t xml:space="preserve">For example see </w:t>
      </w:r>
      <w:r w:rsidRPr="00765797">
        <w:rPr>
          <w:sz w:val="18"/>
          <w:szCs w:val="18"/>
        </w:rPr>
        <w:t xml:space="preserve">Harris, L. and Shiraishi, H. (2018) </w:t>
      </w:r>
      <w:r w:rsidRPr="00765797">
        <w:rPr>
          <w:i/>
          <w:iCs/>
          <w:sz w:val="18"/>
          <w:szCs w:val="18"/>
        </w:rPr>
        <w:t>Understanding the Global Caviar Market: Results of a rapid assessment on trade in sturgeon caviar</w:t>
      </w:r>
      <w:r w:rsidRPr="00765797">
        <w:rPr>
          <w:sz w:val="18"/>
          <w:szCs w:val="18"/>
        </w:rPr>
        <w:t>. TRAFFIC and WWF joint report. Cambridge, UK: TRAFFIC</w:t>
      </w:r>
    </w:p>
    <w:p w14:paraId="09BB93DC" w14:textId="30BDC143" w:rsidR="00765797" w:rsidRPr="00765797" w:rsidRDefault="00765797">
      <w:pPr>
        <w:pStyle w:val="FootnoteText"/>
        <w:rPr>
          <w:lang w:val="en-US"/>
        </w:rPr>
      </w:pPr>
    </w:p>
  </w:footnote>
  <w:footnote w:id="32">
    <w:p w14:paraId="5D6C3235" w14:textId="673DE2DC" w:rsidR="00765797" w:rsidRPr="00765797" w:rsidRDefault="00765797" w:rsidP="00AC10E7">
      <w:pPr>
        <w:pStyle w:val="FootnoteText"/>
        <w:rPr>
          <w:rFonts w:cs="Times New Roman"/>
          <w:sz w:val="18"/>
          <w:szCs w:val="18"/>
        </w:rPr>
      </w:pPr>
      <w:r w:rsidRPr="00765797">
        <w:rPr>
          <w:rStyle w:val="FootnoteReference"/>
          <w:rFonts w:cs="Times New Roman"/>
          <w:sz w:val="18"/>
          <w:szCs w:val="18"/>
        </w:rPr>
        <w:footnoteRef/>
      </w:r>
      <w:r w:rsidRPr="00765797">
        <w:rPr>
          <w:rFonts w:cs="Times New Roman"/>
          <w:sz w:val="18"/>
          <w:szCs w:val="18"/>
        </w:rPr>
        <w:t xml:space="preserve"> Interview with Sigrid, WP2.40, NGO Project Manager, Austria, May 2019</w:t>
      </w:r>
    </w:p>
  </w:footnote>
  <w:footnote w:id="33">
    <w:p w14:paraId="1ACEF505" w14:textId="2B1BA05B" w:rsidR="00765797" w:rsidRPr="00765797" w:rsidRDefault="00765797" w:rsidP="00AC10E7">
      <w:pPr>
        <w:pStyle w:val="FootnoteText"/>
        <w:rPr>
          <w:rFonts w:cs="Times New Roman"/>
          <w:sz w:val="18"/>
          <w:szCs w:val="18"/>
        </w:rPr>
      </w:pPr>
      <w:r w:rsidRPr="00765797">
        <w:rPr>
          <w:rStyle w:val="FootnoteReference"/>
          <w:rFonts w:cs="Times New Roman"/>
          <w:sz w:val="18"/>
          <w:szCs w:val="18"/>
        </w:rPr>
        <w:footnoteRef/>
      </w:r>
      <w:r w:rsidRPr="00765797">
        <w:rPr>
          <w:rFonts w:cs="Times New Roman"/>
          <w:sz w:val="18"/>
          <w:szCs w:val="18"/>
        </w:rPr>
        <w:t xml:space="preserve"> Interview with Ethan, WP2.38, Sturgeon farmer and caviar producer, UK, September 2018</w:t>
      </w:r>
    </w:p>
  </w:footnote>
  <w:footnote w:id="34">
    <w:p w14:paraId="109A8B86" w14:textId="68D89686" w:rsidR="00765797" w:rsidRPr="00765797" w:rsidRDefault="00765797" w:rsidP="00AC10E7">
      <w:pPr>
        <w:pStyle w:val="FootnoteText"/>
        <w:rPr>
          <w:rFonts w:cs="Times New Roman"/>
          <w:sz w:val="18"/>
          <w:szCs w:val="18"/>
        </w:rPr>
      </w:pPr>
      <w:r w:rsidRPr="00765797">
        <w:rPr>
          <w:rStyle w:val="FootnoteReference"/>
          <w:rFonts w:cs="Times New Roman"/>
          <w:sz w:val="18"/>
          <w:szCs w:val="18"/>
        </w:rPr>
        <w:footnoteRef/>
      </w:r>
      <w:r w:rsidRPr="00765797">
        <w:rPr>
          <w:rFonts w:cs="Times New Roman"/>
          <w:sz w:val="18"/>
          <w:szCs w:val="18"/>
        </w:rPr>
        <w:t xml:space="preserve"> Interview with Sigrid, WP2.40, NGO Project Manager, Austria, May 2019</w:t>
      </w:r>
    </w:p>
  </w:footnote>
  <w:footnote w:id="35">
    <w:p w14:paraId="13E74AD4" w14:textId="1A7D46CC" w:rsidR="00765797" w:rsidRPr="00765797" w:rsidRDefault="00765797" w:rsidP="00AC10E7">
      <w:pPr>
        <w:pStyle w:val="FootnoteText"/>
        <w:rPr>
          <w:rFonts w:cs="Times New Roman"/>
          <w:sz w:val="18"/>
          <w:szCs w:val="18"/>
        </w:rPr>
      </w:pPr>
      <w:r w:rsidRPr="00765797">
        <w:rPr>
          <w:rStyle w:val="FootnoteReference"/>
          <w:rFonts w:cs="Times New Roman"/>
          <w:sz w:val="18"/>
          <w:szCs w:val="18"/>
        </w:rPr>
        <w:footnoteRef/>
      </w:r>
      <w:r w:rsidRPr="00765797">
        <w:rPr>
          <w:rFonts w:cs="Times New Roman"/>
          <w:sz w:val="18"/>
          <w:szCs w:val="18"/>
        </w:rPr>
        <w:t xml:space="preserve"> Interview with Qerene, WP2.09, Biologist and caviar producer, Belgium, February 2018</w:t>
      </w:r>
    </w:p>
  </w:footnote>
  <w:footnote w:id="36">
    <w:p w14:paraId="708C1F2B" w14:textId="77777777" w:rsidR="00765797" w:rsidRPr="00765797" w:rsidRDefault="00765797" w:rsidP="00AC10E7">
      <w:pPr>
        <w:pStyle w:val="FootnoteText"/>
        <w:rPr>
          <w:rFonts w:cs="Times New Roman"/>
          <w:sz w:val="18"/>
          <w:szCs w:val="18"/>
        </w:rPr>
      </w:pPr>
      <w:r w:rsidRPr="00765797">
        <w:rPr>
          <w:rStyle w:val="FootnoteReference"/>
          <w:rFonts w:cs="Times New Roman"/>
          <w:sz w:val="18"/>
          <w:szCs w:val="18"/>
        </w:rPr>
        <w:footnoteRef/>
      </w:r>
      <w:r w:rsidRPr="00765797">
        <w:rPr>
          <w:rFonts w:cs="Times New Roman"/>
          <w:sz w:val="18"/>
          <w:szCs w:val="18"/>
        </w:rPr>
        <w:t xml:space="preserve"> Interview with Qerene, WP2.09, Biologist and caviar producer, Belgium, February 2018. </w:t>
      </w:r>
    </w:p>
    <w:p w14:paraId="2B2E74DE" w14:textId="0E090FAD" w:rsidR="00765797" w:rsidRPr="00765797" w:rsidRDefault="00765797" w:rsidP="00AC10E7">
      <w:pPr>
        <w:pStyle w:val="FootnoteText"/>
        <w:rPr>
          <w:rFonts w:cs="Times New Roman"/>
          <w:sz w:val="18"/>
          <w:szCs w:val="18"/>
        </w:rPr>
      </w:pPr>
      <w:r w:rsidRPr="00765797">
        <w:rPr>
          <w:rFonts w:cs="Times New Roman"/>
          <w:sz w:val="18"/>
          <w:szCs w:val="18"/>
        </w:rPr>
        <w:t xml:space="preserve">See also Van Uhm (2016) ‘The Illegal trade in Black Caviar’, which mentions the detection of mislabelled caviar in the EU, which has been repackaged. It is suggested that the caviar is smuggled from the Caspian Sea through Dagestan and Azerbaijan to Iran where it is repackaged with legal Iranian caviar and sent to destinations in Europe. (pp. 81) </w:t>
      </w:r>
    </w:p>
  </w:footnote>
  <w:footnote w:id="37">
    <w:p w14:paraId="304637ED" w14:textId="77777777" w:rsidR="00765797" w:rsidRPr="00765797" w:rsidRDefault="00765797" w:rsidP="00AC10E7">
      <w:pPr>
        <w:pStyle w:val="FootnoteText"/>
        <w:rPr>
          <w:sz w:val="18"/>
          <w:szCs w:val="18"/>
        </w:rPr>
      </w:pPr>
      <w:r w:rsidRPr="00765797">
        <w:rPr>
          <w:rStyle w:val="FootnoteReference"/>
          <w:rFonts w:cs="Times New Roman"/>
          <w:sz w:val="18"/>
          <w:szCs w:val="18"/>
        </w:rPr>
        <w:footnoteRef/>
      </w:r>
      <w:r w:rsidRPr="00765797">
        <w:rPr>
          <w:rFonts w:cs="Times New Roman"/>
          <w:sz w:val="18"/>
          <w:szCs w:val="18"/>
        </w:rPr>
        <w:t xml:space="preserve"> The six countries of the rapid assessment included key range states and key importing countries and were: China, France, Germany, Japan, Russia, USA</w:t>
      </w:r>
    </w:p>
  </w:footnote>
  <w:footnote w:id="38">
    <w:p w14:paraId="10DC3952" w14:textId="6EE7E2C4" w:rsidR="00765797" w:rsidRPr="00765797" w:rsidRDefault="00765797" w:rsidP="00AC10E7">
      <w:pPr>
        <w:pStyle w:val="FootnoteText"/>
        <w:rPr>
          <w:sz w:val="18"/>
          <w:szCs w:val="18"/>
        </w:rPr>
      </w:pPr>
      <w:r w:rsidRPr="00765797">
        <w:rPr>
          <w:rStyle w:val="FootnoteReference"/>
        </w:rPr>
        <w:footnoteRef/>
      </w:r>
      <w:r w:rsidRPr="00765797">
        <w:rPr>
          <w:sz w:val="18"/>
          <w:szCs w:val="18"/>
        </w:rPr>
        <w:t xml:space="preserve"> Interview with Oliver, WP2.03, Intelligence Officer, UK, December 2017</w:t>
      </w:r>
    </w:p>
  </w:footnote>
  <w:footnote w:id="39">
    <w:p w14:paraId="5205DA3B" w14:textId="1185ECE6" w:rsidR="00765797" w:rsidRPr="00765797" w:rsidRDefault="00765797" w:rsidP="00A62514">
      <w:pPr>
        <w:pStyle w:val="NormalWeb"/>
        <w:spacing w:before="0" w:beforeAutospacing="0" w:after="0" w:afterAutospacing="0"/>
        <w:rPr>
          <w:sz w:val="18"/>
          <w:szCs w:val="18"/>
        </w:rPr>
      </w:pPr>
      <w:r w:rsidRPr="00765797">
        <w:rPr>
          <w:rStyle w:val="FootnoteReference"/>
        </w:rPr>
        <w:footnoteRef/>
      </w:r>
      <w:r w:rsidRPr="00765797">
        <w:t xml:space="preserve"> </w:t>
      </w:r>
      <w:r w:rsidRPr="00765797">
        <w:rPr>
          <w:sz w:val="18"/>
          <w:szCs w:val="18"/>
          <w:bdr w:val="none" w:sz="0" w:space="0" w:color="auto" w:frame="1"/>
        </w:rPr>
        <w:t>Council Regulation (EC) No 338/97</w:t>
      </w:r>
      <w:r w:rsidRPr="00765797">
        <w:rPr>
          <w:rStyle w:val="apple-converted-space"/>
          <w:sz w:val="18"/>
          <w:szCs w:val="18"/>
        </w:rPr>
        <w:t> </w:t>
      </w:r>
      <w:r w:rsidRPr="00765797">
        <w:rPr>
          <w:sz w:val="18"/>
          <w:szCs w:val="18"/>
        </w:rPr>
        <w:t>establishes an</w:t>
      </w:r>
      <w:r w:rsidRPr="00765797">
        <w:rPr>
          <w:rStyle w:val="apple-converted-space"/>
          <w:sz w:val="18"/>
          <w:szCs w:val="18"/>
        </w:rPr>
        <w:t xml:space="preserve"> EU </w:t>
      </w:r>
      <w:r w:rsidRPr="00765797">
        <w:rPr>
          <w:b/>
          <w:bCs/>
          <w:sz w:val="18"/>
          <w:szCs w:val="18"/>
        </w:rPr>
        <w:t>Enforcement Group</w:t>
      </w:r>
      <w:r w:rsidRPr="00765797">
        <w:rPr>
          <w:rStyle w:val="apple-converted-space"/>
          <w:sz w:val="18"/>
          <w:szCs w:val="18"/>
        </w:rPr>
        <w:t> </w:t>
      </w:r>
      <w:r w:rsidRPr="00765797">
        <w:rPr>
          <w:sz w:val="18"/>
          <w:szCs w:val="18"/>
        </w:rPr>
        <w:t>consisting of representatives of each of the Member State's authorities that have responsibility for monitoring compliance with the Regulations, such as Customs, Police and Wildlife Inspectorates. The Group is chaired by the European Commission.The task of the group is to monitor enforcement policy and practice in the EU Member States and make recommendations to improve the enforcement of wildlife trade legislation. For more information see: https://ec.europa.eu/environment/cites/eg_en.htm</w:t>
      </w:r>
    </w:p>
  </w:footnote>
  <w:footnote w:id="40">
    <w:p w14:paraId="6B8FB76F" w14:textId="77777777" w:rsidR="00765797" w:rsidRPr="00765797" w:rsidRDefault="00765797" w:rsidP="00AC10E7">
      <w:pPr>
        <w:pStyle w:val="FootnoteText"/>
        <w:rPr>
          <w:sz w:val="18"/>
          <w:szCs w:val="18"/>
        </w:rPr>
      </w:pPr>
      <w:r w:rsidRPr="00765797">
        <w:rPr>
          <w:rStyle w:val="FootnoteReference"/>
        </w:rPr>
        <w:footnoteRef/>
      </w:r>
      <w:r w:rsidRPr="00765797">
        <w:rPr>
          <w:sz w:val="18"/>
          <w:szCs w:val="18"/>
        </w:rPr>
        <w:t xml:space="preserve"> Romania introduced a sturgeon fishing ban in 2006. It took until 2011 for Bulgaria to align its national legislation with Romania and to implement a ban on the commercial fishing of sturgeon. Now both EU states are honouring the commercial fishing ban of sturgeon in the Lower Danube until at least 2021 when the ban will be reassessed and probably re-extended. There is currently a complete fishing ban in the Danube River and Black Sea. Other range states are Ukraine and Serbia. Ukraine has had a sturgeon fishing ban in place since 2000. Serbia had stopped short of a blanket ban on fishing of sturgeon, allowing sterlet fishing during specific months of the year. But in January 2019 a complete ban on sterlet fishing in Serbia was enacted.</w:t>
      </w:r>
    </w:p>
  </w:footnote>
  <w:footnote w:id="41">
    <w:p w14:paraId="037D0375" w14:textId="55F4DA03" w:rsidR="00765797" w:rsidRPr="00765797" w:rsidRDefault="00765797" w:rsidP="00AC10E7">
      <w:pPr>
        <w:pStyle w:val="FootnoteText"/>
        <w:rPr>
          <w:sz w:val="18"/>
          <w:szCs w:val="18"/>
        </w:rPr>
      </w:pPr>
      <w:r w:rsidRPr="00765797">
        <w:rPr>
          <w:rStyle w:val="FootnoteReference"/>
        </w:rPr>
        <w:footnoteRef/>
      </w:r>
      <w:r w:rsidRPr="00765797">
        <w:rPr>
          <w:sz w:val="18"/>
          <w:szCs w:val="18"/>
        </w:rPr>
        <w:t xml:space="preserve"> Interview with Sigrid, WP2.40, NGO Project Manager, Austria, May 2019. </w:t>
      </w:r>
    </w:p>
  </w:footnote>
  <w:footnote w:id="42">
    <w:p w14:paraId="0BA5063B" w14:textId="77777777" w:rsidR="00765797" w:rsidRPr="00765797" w:rsidRDefault="00765797" w:rsidP="00AC10E7">
      <w:pPr>
        <w:pStyle w:val="FootnoteText"/>
        <w:rPr>
          <w:sz w:val="18"/>
          <w:szCs w:val="18"/>
        </w:rPr>
      </w:pPr>
      <w:r w:rsidRPr="00765797">
        <w:rPr>
          <w:rStyle w:val="FootnoteReference"/>
        </w:rPr>
        <w:footnoteRef/>
      </w:r>
      <w:r w:rsidRPr="00765797">
        <w:rPr>
          <w:sz w:val="18"/>
          <w:szCs w:val="18"/>
        </w:rPr>
        <w:t xml:space="preserve"> Interview with Oliya, WP2.04, Caviar Producer, Belgium, February 2018. </w:t>
      </w:r>
    </w:p>
    <w:p w14:paraId="6DFA42CB" w14:textId="54ECCCFD" w:rsidR="00765797" w:rsidRPr="00765797" w:rsidRDefault="00765797" w:rsidP="00AC10E7">
      <w:pPr>
        <w:pStyle w:val="FootnoteText"/>
        <w:rPr>
          <w:sz w:val="18"/>
          <w:szCs w:val="18"/>
        </w:rPr>
      </w:pPr>
      <w:r w:rsidRPr="00765797">
        <w:rPr>
          <w:sz w:val="18"/>
          <w:szCs w:val="18"/>
        </w:rPr>
        <w:t xml:space="preserve">See also a 2004 article from the BBC: ‘Caviar producers cut export quota’. The article explains that Caspian Sea range states agreed to cut their caviar export quotas, and in 2004 halved their agreed export quotas on beluga caviar. The BBC reported that this move was “almost certain to drive up prices of the luxury roe”. This report coincides with the massive price increases in caviar documented in figure 4.1 between 2003 and 2006. </w:t>
      </w:r>
      <w:hyperlink r:id="rId17" w:history="1">
        <w:r w:rsidRPr="00765797">
          <w:rPr>
            <w:rStyle w:val="Hyperlink"/>
            <w:color w:val="auto"/>
            <w:sz w:val="18"/>
            <w:szCs w:val="18"/>
          </w:rPr>
          <w:t>http://news.bbc.co.uk/1/hi/business/3726428.stm</w:t>
        </w:r>
      </w:hyperlink>
      <w:r w:rsidRPr="00765797">
        <w:rPr>
          <w:sz w:val="18"/>
          <w:szCs w:val="18"/>
        </w:rPr>
        <w:t xml:space="preserve">  [last accessed: 29.05.20] </w:t>
      </w:r>
    </w:p>
    <w:p w14:paraId="1B80F1A9" w14:textId="7A9D07FA" w:rsidR="00765797" w:rsidRPr="00765797" w:rsidRDefault="00765797" w:rsidP="005244E9">
      <w:pPr>
        <w:pStyle w:val="FootnoteText"/>
        <w:rPr>
          <w:sz w:val="18"/>
          <w:szCs w:val="18"/>
        </w:rPr>
      </w:pPr>
      <w:r w:rsidRPr="00765797">
        <w:rPr>
          <w:sz w:val="18"/>
          <w:szCs w:val="18"/>
        </w:rPr>
        <w:t xml:space="preserve">Oliya’s assertion that export quotas drove price spikes in caviar and led to the black market becoming more heavily involved in trading the product, echoes the opinion of many caviar producers and points to an on-going disagreement between the caviar industry and conservationists regarding the implementation of zero export quotas. Armen Petrossian head of the International Caviar Importers Association (ICIA), and a major US-based caviar importer maintains that zero export quotas are misguided: “It was a mistake to have no quotas because it led to an increase in the black market”. Whereas Ellen Pikitch, executive director for Ocean Conservation Science at Stony Brook University, USA (quoted in the same article) maintains that: “the quotas should all have been zero for all of these species”. Both quoted in the following 2010 article: ‘Beluga Caviar Exports to Resume Following Spat over Quotas: </w:t>
      </w:r>
      <w:hyperlink r:id="rId18" w:history="1">
        <w:r w:rsidRPr="00765797">
          <w:rPr>
            <w:rStyle w:val="Hyperlink"/>
            <w:color w:val="auto"/>
            <w:sz w:val="18"/>
            <w:szCs w:val="18"/>
          </w:rPr>
          <w:t>http://www.ictsd.org/bridges-news/biores/news/beluga-caviar-exports-to-resume-following-spat-over-quotas</w:t>
        </w:r>
      </w:hyperlink>
      <w:r w:rsidRPr="00765797">
        <w:rPr>
          <w:sz w:val="18"/>
          <w:szCs w:val="18"/>
        </w:rPr>
        <w:t xml:space="preserve"> [last accessed: 28.05.20] </w:t>
      </w:r>
    </w:p>
    <w:p w14:paraId="2DA26FBF" w14:textId="77777777" w:rsidR="00765797" w:rsidRPr="00765797" w:rsidRDefault="00765797" w:rsidP="00AC10E7">
      <w:pPr>
        <w:pStyle w:val="FootnoteText"/>
        <w:rPr>
          <w:sz w:val="18"/>
          <w:szCs w:val="18"/>
        </w:rPr>
      </w:pPr>
    </w:p>
    <w:p w14:paraId="4BA5CB40" w14:textId="77777777" w:rsidR="00765797" w:rsidRPr="00765797" w:rsidRDefault="00765797" w:rsidP="00AC10E7">
      <w:pPr>
        <w:pStyle w:val="FootnoteText"/>
        <w:rPr>
          <w:sz w:val="18"/>
          <w:szCs w:val="18"/>
        </w:rPr>
      </w:pPr>
    </w:p>
    <w:p w14:paraId="4ADA5566" w14:textId="77777777" w:rsidR="00765797" w:rsidRPr="00765797" w:rsidRDefault="00765797" w:rsidP="00AC10E7">
      <w:pPr>
        <w:pStyle w:val="FootnoteText"/>
        <w:rPr>
          <w:sz w:val="18"/>
          <w:szCs w:val="18"/>
        </w:rPr>
      </w:pPr>
    </w:p>
  </w:footnote>
  <w:footnote w:id="43">
    <w:p w14:paraId="341189EB" w14:textId="77777777" w:rsidR="00765797" w:rsidRPr="00765797" w:rsidRDefault="00765797" w:rsidP="0069348E">
      <w:pPr>
        <w:pStyle w:val="FootnoteText"/>
        <w:rPr>
          <w:sz w:val="18"/>
          <w:szCs w:val="18"/>
        </w:rPr>
      </w:pPr>
      <w:r w:rsidRPr="00765797">
        <w:rPr>
          <w:rStyle w:val="FootnoteReference"/>
        </w:rPr>
        <w:footnoteRef/>
      </w:r>
      <w:r w:rsidRPr="00765797">
        <w:rPr>
          <w:sz w:val="18"/>
          <w:szCs w:val="18"/>
        </w:rPr>
        <w:t xml:space="preserve"> Interview with Ulmer, WP2.06, DG Environment, European Commission, February 2018</w:t>
      </w:r>
    </w:p>
    <w:p w14:paraId="1FE4DBFB" w14:textId="77777777" w:rsidR="00765797" w:rsidRPr="00765797" w:rsidRDefault="00765797" w:rsidP="0069348E">
      <w:pPr>
        <w:pStyle w:val="FootnoteText"/>
        <w:rPr>
          <w:sz w:val="18"/>
          <w:szCs w:val="18"/>
        </w:rPr>
      </w:pPr>
      <w:r w:rsidRPr="00765797">
        <w:rPr>
          <w:sz w:val="18"/>
          <w:szCs w:val="18"/>
        </w:rPr>
        <w:t xml:space="preserve">In line with Ulmer’s statement, the 2016 UNODC World Wildlife Crime report also notes that “there have been very few seizures of caviar made in Europe in recent years”, and suggests that a possible reason for the declining seizures is that “the international illicit market was subsequently displaced by the growth of farmed sturgeon” (pp. 90) </w:t>
      </w:r>
      <w:hyperlink r:id="rId19" w:history="1">
        <w:r w:rsidRPr="00765797">
          <w:rPr>
            <w:rStyle w:val="Hyperlink"/>
            <w:color w:val="auto"/>
            <w:sz w:val="18"/>
            <w:szCs w:val="18"/>
          </w:rPr>
          <w:t>https://www.unodc.org/documents/data-and-analysis/wildlife/World_Wildlife_Crime_Report_2016_final.pdf</w:t>
        </w:r>
      </w:hyperlink>
      <w:r w:rsidRPr="00765797">
        <w:rPr>
          <w:sz w:val="18"/>
          <w:szCs w:val="18"/>
        </w:rPr>
        <w:t xml:space="preserve"> [last accessed: 28.05.20] </w:t>
      </w:r>
    </w:p>
  </w:footnote>
  <w:footnote w:id="44">
    <w:p w14:paraId="69E02A7F" w14:textId="65718DD6" w:rsidR="00765797" w:rsidRPr="00765797" w:rsidRDefault="00765797">
      <w:pPr>
        <w:pStyle w:val="FootnoteText"/>
        <w:rPr>
          <w:rFonts w:eastAsia="Times New Roman" w:cs="Times New Roman"/>
          <w:sz w:val="18"/>
          <w:szCs w:val="18"/>
          <w:shd w:val="clear" w:color="auto" w:fill="FFFFFF"/>
          <w:lang w:eastAsia="en-US"/>
        </w:rPr>
      </w:pPr>
      <w:r w:rsidRPr="00765797">
        <w:rPr>
          <w:rStyle w:val="FootnoteReference"/>
        </w:rPr>
        <w:footnoteRef/>
      </w:r>
      <w:r w:rsidRPr="00765797">
        <w:t xml:space="preserve"> </w:t>
      </w:r>
      <w:r w:rsidRPr="00765797">
        <w:rPr>
          <w:rFonts w:eastAsia="Times New Roman" w:cs="Times New Roman"/>
          <w:sz w:val="18"/>
          <w:szCs w:val="18"/>
          <w:shd w:val="clear" w:color="auto" w:fill="FFFFFF"/>
          <w:lang w:eastAsia="en-US"/>
        </w:rPr>
        <w:t xml:space="preserve">Each Party to the CITES Convention must designate one or more Management Authorities in charge of administering that licensing system and one or more Scientific Authorities to advise them on the effects of trade on the status of the species. For example, for details on the designated UK CITES Management Authorities, see: </w:t>
      </w:r>
    </w:p>
    <w:p w14:paraId="41DD441D" w14:textId="57CB2DCA" w:rsidR="00765797" w:rsidRPr="00765797" w:rsidRDefault="00765797">
      <w:pPr>
        <w:pStyle w:val="FootnoteText"/>
        <w:rPr>
          <w:lang w:val="en-US"/>
        </w:rPr>
      </w:pPr>
      <w:hyperlink r:id="rId20" w:history="1">
        <w:r w:rsidRPr="00765797">
          <w:rPr>
            <w:rStyle w:val="Hyperlink"/>
            <w:rFonts w:eastAsia="Times New Roman" w:cs="Times New Roman"/>
            <w:color w:val="auto"/>
            <w:sz w:val="18"/>
            <w:szCs w:val="18"/>
            <w:shd w:val="clear" w:color="auto" w:fill="FFFFFF"/>
            <w:lang w:eastAsia="en-US"/>
          </w:rPr>
          <w:t>https://cites.org/eng/cms/index.php/component/cp/country/GB</w:t>
        </w:r>
      </w:hyperlink>
      <w:r w:rsidRPr="00765797">
        <w:rPr>
          <w:rFonts w:eastAsia="Times New Roman" w:cs="Times New Roman"/>
          <w:sz w:val="18"/>
          <w:szCs w:val="18"/>
          <w:shd w:val="clear" w:color="auto" w:fill="FFFFFF"/>
          <w:lang w:eastAsia="en-US"/>
        </w:rPr>
        <w:t xml:space="preserve"> </w:t>
      </w:r>
    </w:p>
  </w:footnote>
  <w:footnote w:id="45">
    <w:p w14:paraId="437EAAB7" w14:textId="014265F5" w:rsidR="00765797" w:rsidRPr="00765797" w:rsidRDefault="00765797" w:rsidP="00AC10E7">
      <w:pPr>
        <w:pStyle w:val="FootnoteText"/>
        <w:rPr>
          <w:sz w:val="18"/>
          <w:szCs w:val="18"/>
        </w:rPr>
      </w:pPr>
      <w:r w:rsidRPr="00765797">
        <w:rPr>
          <w:rStyle w:val="FootnoteReference"/>
        </w:rPr>
        <w:footnoteRef/>
      </w:r>
      <w:r w:rsidRPr="00765797">
        <w:rPr>
          <w:sz w:val="18"/>
          <w:szCs w:val="18"/>
        </w:rPr>
        <w:t xml:space="preserve"> Interview with Sigrid, WP2.40, NGO Project Manager, Austria, May 2019</w:t>
      </w:r>
    </w:p>
    <w:p w14:paraId="14E66D5C" w14:textId="66FE1812" w:rsidR="00765797" w:rsidRPr="00765797" w:rsidRDefault="00765797" w:rsidP="00AC10E7">
      <w:pPr>
        <w:pStyle w:val="FootnoteText"/>
        <w:rPr>
          <w:sz w:val="18"/>
          <w:szCs w:val="18"/>
        </w:rPr>
      </w:pPr>
      <w:r w:rsidRPr="00765797">
        <w:rPr>
          <w:sz w:val="18"/>
          <w:szCs w:val="18"/>
        </w:rPr>
        <w:t xml:space="preserve">Note: I contacted the CITES Management Authority in Germany to organise an interview but received no response. </w:t>
      </w:r>
    </w:p>
  </w:footnote>
  <w:footnote w:id="46">
    <w:p w14:paraId="6D680672" w14:textId="2FE2A4F7" w:rsidR="00765797" w:rsidRPr="00765797" w:rsidRDefault="00765797" w:rsidP="00AC10E7">
      <w:pPr>
        <w:pStyle w:val="FootnoteText"/>
      </w:pPr>
      <w:r w:rsidRPr="00765797">
        <w:rPr>
          <w:rStyle w:val="FootnoteReference"/>
        </w:rPr>
        <w:footnoteRef/>
      </w:r>
      <w:r w:rsidRPr="00765797">
        <w:rPr>
          <w:sz w:val="18"/>
          <w:szCs w:val="18"/>
        </w:rPr>
        <w:t xml:space="preserve"> Interview with Tom, WP2.33a and Joseph, WP2.33b, Caviar Testing Laboratory, UK, July 2018</w:t>
      </w:r>
    </w:p>
  </w:footnote>
  <w:footnote w:id="47">
    <w:p w14:paraId="4ACC26B2" w14:textId="2A0FC88F" w:rsidR="00765797" w:rsidRPr="00765797" w:rsidRDefault="00765797" w:rsidP="00AC10E7">
      <w:pPr>
        <w:pStyle w:val="FootnoteText"/>
        <w:rPr>
          <w:sz w:val="18"/>
          <w:szCs w:val="18"/>
        </w:rPr>
      </w:pPr>
      <w:r w:rsidRPr="00765797">
        <w:rPr>
          <w:rStyle w:val="FootnoteReference"/>
        </w:rPr>
        <w:footnoteRef/>
      </w:r>
      <w:r w:rsidRPr="00765797">
        <w:rPr>
          <w:sz w:val="18"/>
          <w:szCs w:val="18"/>
        </w:rPr>
        <w:t xml:space="preserve"> Interview with Oliver, WP2.03, Intelligence Officer, UK, December 2017</w:t>
      </w:r>
    </w:p>
  </w:footnote>
  <w:footnote w:id="48">
    <w:p w14:paraId="14F54811" w14:textId="3A8DD111" w:rsidR="00765797" w:rsidRPr="00765797" w:rsidRDefault="00765797" w:rsidP="00AC10E7">
      <w:pPr>
        <w:pStyle w:val="FootnoteText"/>
        <w:rPr>
          <w:sz w:val="18"/>
          <w:szCs w:val="18"/>
        </w:rPr>
      </w:pPr>
      <w:r w:rsidRPr="00765797">
        <w:rPr>
          <w:rStyle w:val="FootnoteReference"/>
        </w:rPr>
        <w:footnoteRef/>
      </w:r>
      <w:r w:rsidRPr="00765797">
        <w:rPr>
          <w:sz w:val="18"/>
          <w:szCs w:val="18"/>
        </w:rPr>
        <w:t xml:space="preserve"> Interview with Vince, WP2.08, CITES Officer, UK, February 2018</w:t>
      </w:r>
    </w:p>
  </w:footnote>
  <w:footnote w:id="49">
    <w:p w14:paraId="5D2F3D67" w14:textId="6649351B" w:rsidR="00765797" w:rsidRPr="00765797" w:rsidRDefault="00765797">
      <w:pPr>
        <w:pStyle w:val="FootnoteText"/>
        <w:rPr>
          <w:sz w:val="18"/>
          <w:szCs w:val="18"/>
          <w:lang w:val="en-US"/>
        </w:rPr>
      </w:pPr>
      <w:r w:rsidRPr="00765797">
        <w:rPr>
          <w:rStyle w:val="FootnoteReference"/>
        </w:rPr>
        <w:footnoteRef/>
      </w:r>
      <w:r w:rsidRPr="00765797">
        <w:rPr>
          <w:sz w:val="18"/>
          <w:szCs w:val="18"/>
        </w:rPr>
        <w:t xml:space="preserve"> </w:t>
      </w:r>
      <w:r w:rsidRPr="00765797">
        <w:rPr>
          <w:sz w:val="18"/>
          <w:szCs w:val="18"/>
          <w:lang w:val="en-US"/>
        </w:rPr>
        <w:t xml:space="preserve">In line with this, the 2016 UNODC world wildlife crime report, makes the conclusion that based upon declining seizures of caviar, “the economic value of this criminal market would be relatively small compared to other illicit markets” (pp.92) thereby suggesting that the extent of criminality associated with caviar trade is greatly reduced. </w:t>
      </w:r>
      <w:hyperlink r:id="rId21" w:history="1">
        <w:r w:rsidRPr="00765797">
          <w:rPr>
            <w:rStyle w:val="Hyperlink"/>
            <w:color w:val="auto"/>
            <w:sz w:val="18"/>
            <w:szCs w:val="18"/>
            <w:lang w:val="en-US"/>
          </w:rPr>
          <w:t>https://www.unodc.org/documents/data-and-analysis/wildlife/World_Wildlife_Crime_Report_2016_final.pdf</w:t>
        </w:r>
      </w:hyperlink>
      <w:r w:rsidRPr="00765797">
        <w:rPr>
          <w:sz w:val="18"/>
          <w:szCs w:val="18"/>
          <w:lang w:val="en-US"/>
        </w:rPr>
        <w:t xml:space="preserve"> [last accessed: 28.05.20] </w:t>
      </w:r>
    </w:p>
  </w:footnote>
  <w:footnote w:id="50">
    <w:p w14:paraId="20DA8001" w14:textId="6D9A5F13" w:rsidR="00765797" w:rsidRPr="00765797" w:rsidRDefault="00765797" w:rsidP="002A64A9">
      <w:pPr>
        <w:pStyle w:val="FootnoteText"/>
        <w:rPr>
          <w:rFonts w:cs="Times New Roman"/>
          <w:sz w:val="18"/>
          <w:szCs w:val="18"/>
        </w:rPr>
      </w:pPr>
      <w:r w:rsidRPr="00765797">
        <w:rPr>
          <w:rStyle w:val="FootnoteReference"/>
          <w:rFonts w:cs="Times New Roman"/>
          <w:sz w:val="18"/>
          <w:szCs w:val="18"/>
        </w:rPr>
        <w:footnoteRef/>
      </w:r>
      <w:r w:rsidRPr="00765797">
        <w:rPr>
          <w:rFonts w:cs="Times New Roman"/>
          <w:sz w:val="18"/>
          <w:szCs w:val="18"/>
        </w:rPr>
        <w:t xml:space="preserve"> Interview with Michael, WP2.02, Ex-enforcement officer, UK, December 2017</w:t>
      </w:r>
    </w:p>
  </w:footnote>
  <w:footnote w:id="51">
    <w:p w14:paraId="25CF4B50" w14:textId="77777777" w:rsidR="00765797" w:rsidRPr="00765797" w:rsidRDefault="00765797" w:rsidP="002A64A9">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 xml:space="preserve">See the UNODC (2016) World Wildlife Crime report which makes similar conclusions: “reduced trafficking can also be attributed to dwindling stocks” (pp.91) </w:t>
      </w:r>
    </w:p>
    <w:p w14:paraId="56D1CDBA" w14:textId="44EB7256" w:rsidR="00765797" w:rsidRPr="00765797" w:rsidRDefault="00765797" w:rsidP="002A64A9">
      <w:pPr>
        <w:pStyle w:val="FootnoteText"/>
        <w:rPr>
          <w:rFonts w:cs="Times New Roman"/>
          <w:sz w:val="18"/>
          <w:szCs w:val="18"/>
          <w:lang w:val="en-US"/>
        </w:rPr>
      </w:pPr>
      <w:hyperlink r:id="rId22" w:history="1">
        <w:r w:rsidRPr="00765797">
          <w:rPr>
            <w:rStyle w:val="Hyperlink"/>
            <w:rFonts w:cs="Times New Roman"/>
            <w:color w:val="auto"/>
            <w:sz w:val="18"/>
            <w:szCs w:val="18"/>
            <w:lang w:val="en-US"/>
          </w:rPr>
          <w:t>https://www.unodc.org/documents/data-and-analysis/wildlife/World_Wildlife_Crime_Report_2016_final.pdf</w:t>
        </w:r>
      </w:hyperlink>
      <w:r w:rsidRPr="00765797">
        <w:rPr>
          <w:rFonts w:cs="Times New Roman"/>
          <w:sz w:val="18"/>
          <w:szCs w:val="18"/>
          <w:lang w:val="en-US"/>
        </w:rPr>
        <w:t xml:space="preserve"> [last accessed: 28.05.20] </w:t>
      </w:r>
    </w:p>
  </w:footnote>
  <w:footnote w:id="52">
    <w:p w14:paraId="796D794E" w14:textId="178E25F6" w:rsidR="00765797" w:rsidRPr="00765797" w:rsidRDefault="00765797" w:rsidP="002A64A9">
      <w:pPr>
        <w:pStyle w:val="FootnoteText"/>
        <w:rPr>
          <w:rFonts w:cs="Times New Roman"/>
          <w:sz w:val="18"/>
          <w:szCs w:val="18"/>
        </w:rPr>
      </w:pPr>
      <w:r w:rsidRPr="00765797">
        <w:rPr>
          <w:rStyle w:val="FootnoteReference"/>
          <w:rFonts w:cs="Times New Roman"/>
          <w:sz w:val="18"/>
          <w:szCs w:val="18"/>
        </w:rPr>
        <w:footnoteRef/>
      </w:r>
      <w:r w:rsidRPr="00765797">
        <w:rPr>
          <w:rFonts w:cs="Times New Roman"/>
          <w:sz w:val="18"/>
          <w:szCs w:val="18"/>
        </w:rPr>
        <w:t xml:space="preserve"> Interview with Michael, WP2.02, Ex-enforcement officer, UK, December 2017</w:t>
      </w:r>
    </w:p>
  </w:footnote>
  <w:footnote w:id="53">
    <w:p w14:paraId="77D3A875" w14:textId="5B52B3F8" w:rsidR="00765797" w:rsidRPr="00765797" w:rsidRDefault="00765797" w:rsidP="002A64A9">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Oliver, WP2.03, Intelligence Officer, UK, December 2017</w:t>
      </w:r>
    </w:p>
  </w:footnote>
  <w:footnote w:id="54">
    <w:p w14:paraId="0DF28BEA" w14:textId="2681E6CD" w:rsidR="00765797" w:rsidRPr="00765797" w:rsidRDefault="00765797" w:rsidP="002A64A9">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Ulmer,  WP2.06, DG Environment, European Commission, February 2018</w:t>
      </w:r>
    </w:p>
  </w:footnote>
  <w:footnote w:id="55">
    <w:p w14:paraId="4C9132DB" w14:textId="2B1A34A1" w:rsidR="00765797" w:rsidRPr="00765797" w:rsidRDefault="00765797" w:rsidP="002A64A9">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Ulmer,  WP2.06, DG Environment, European Commission, February 2018</w:t>
      </w:r>
    </w:p>
  </w:footnote>
  <w:footnote w:id="56">
    <w:p w14:paraId="64A86195" w14:textId="77777777" w:rsidR="00765797" w:rsidRPr="00765797" w:rsidRDefault="00765797" w:rsidP="002A64A9">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Ulmer,  WP2.06, DG Environment, European Commission, February 2018</w:t>
      </w:r>
    </w:p>
  </w:footnote>
  <w:footnote w:id="57">
    <w:p w14:paraId="5FCBBE0E" w14:textId="11D860E6" w:rsidR="00765797" w:rsidRPr="00765797" w:rsidRDefault="00765797" w:rsidP="002A64A9">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Oliver, WP2.03, Intelligence Officer, UK, December 2017</w:t>
      </w:r>
    </w:p>
    <w:p w14:paraId="0BAEB15B" w14:textId="2541E656" w:rsidR="00765797" w:rsidRPr="00765797" w:rsidRDefault="00765797" w:rsidP="002A64A9">
      <w:pPr>
        <w:pStyle w:val="Normal1"/>
        <w:spacing w:line="240" w:lineRule="auto"/>
        <w:rPr>
          <w:rFonts w:ascii="Times New Roman" w:hAnsi="Times New Roman" w:cs="Times New Roman"/>
          <w:sz w:val="18"/>
          <w:szCs w:val="18"/>
        </w:rPr>
      </w:pPr>
      <w:r w:rsidRPr="00765797">
        <w:rPr>
          <w:rFonts w:ascii="Times New Roman" w:hAnsi="Times New Roman" w:cs="Times New Roman"/>
          <w:sz w:val="18"/>
          <w:szCs w:val="18"/>
        </w:rPr>
        <w:t xml:space="preserve">See also the UNODC (2016) World Wildlife Crime Report, which acknowledges that “it is possible that international caviar traffickers have responded to interdiction with increasingly sophisticated smuggling techniques, and that these methods have been successful in evading controls to the present day”, but concludes that “no evidence for this has been found” (pp.90) </w:t>
      </w:r>
      <w:hyperlink r:id="rId23" w:history="1">
        <w:r w:rsidRPr="00765797">
          <w:rPr>
            <w:rStyle w:val="Hyperlink"/>
            <w:rFonts w:ascii="Times New Roman" w:hAnsi="Times New Roman" w:cs="Times New Roman"/>
            <w:color w:val="auto"/>
            <w:sz w:val="18"/>
            <w:szCs w:val="18"/>
          </w:rPr>
          <w:t>https://www.unodc.org/documents/data-and-analysis/wildlife/World_Wildlife_Crime_Report_2016_final.pdf</w:t>
        </w:r>
      </w:hyperlink>
      <w:r w:rsidRPr="00765797">
        <w:rPr>
          <w:rFonts w:ascii="Times New Roman" w:hAnsi="Times New Roman" w:cs="Times New Roman"/>
          <w:sz w:val="18"/>
          <w:szCs w:val="18"/>
        </w:rPr>
        <w:t xml:space="preserve"> [last accessed: 28.05.20] </w:t>
      </w:r>
    </w:p>
  </w:footnote>
  <w:footnote w:id="58">
    <w:p w14:paraId="2646F5EE" w14:textId="38662582" w:rsidR="00765797" w:rsidRPr="00765797" w:rsidRDefault="00765797" w:rsidP="002A64A9">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Michael, WP2.02, Ex-Enforcement Officer, UK, December 2017</w:t>
      </w:r>
    </w:p>
  </w:footnote>
  <w:footnote w:id="59">
    <w:p w14:paraId="0B5572F2" w14:textId="425874F9" w:rsidR="00765797" w:rsidRPr="00765797" w:rsidRDefault="00765797" w:rsidP="002A64A9">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Yvar, WP2.16, Researcher, Netherlands, March 2018</w:t>
      </w:r>
    </w:p>
  </w:footnote>
  <w:footnote w:id="60">
    <w:p w14:paraId="68276C54" w14:textId="154380D6" w:rsidR="00765797" w:rsidRPr="00765797" w:rsidRDefault="00765797" w:rsidP="002A64A9">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w:t>
      </w:r>
      <w:r w:rsidRPr="00765797">
        <w:rPr>
          <w:rFonts w:ascii="Times New Roman" w:hAnsi="Times New Roman" w:cs="Times New Roman"/>
          <w:sz w:val="18"/>
          <w:szCs w:val="18"/>
          <w:lang w:val="en-US"/>
        </w:rPr>
        <w:t>Representative of WWF International, Speaking at ISS8, Vienna, September 2017</w:t>
      </w:r>
    </w:p>
  </w:footnote>
  <w:footnote w:id="61">
    <w:p w14:paraId="4B73B81E" w14:textId="27E53DB5" w:rsidR="00765797" w:rsidRPr="00765797" w:rsidRDefault="00765797" w:rsidP="00AC10E7">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w:t>
      </w:r>
      <w:r w:rsidRPr="00765797">
        <w:rPr>
          <w:rFonts w:ascii="Times New Roman" w:hAnsi="Times New Roman" w:cs="Times New Roman"/>
          <w:sz w:val="18"/>
          <w:szCs w:val="18"/>
          <w:lang w:val="en-US"/>
        </w:rPr>
        <w:t>Representative of WWF International, Speaking at ISS8, Vienna, September 2017</w:t>
      </w:r>
    </w:p>
  </w:footnote>
  <w:footnote w:id="62">
    <w:p w14:paraId="316B3C6D" w14:textId="136F3A1B" w:rsidR="00765797" w:rsidRPr="00765797" w:rsidRDefault="00765797" w:rsidP="00AC10E7">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Sigrid, WP2.40, NGO Project Manager, Austria, May 2019 </w:t>
      </w:r>
    </w:p>
  </w:footnote>
  <w:footnote w:id="63">
    <w:p w14:paraId="79FA0027" w14:textId="2D14E4FE" w:rsidR="00765797" w:rsidRPr="00765797" w:rsidRDefault="00765797" w:rsidP="00AC10E7">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Sigrid, WP2.40, NGO Project Manager, Austria, May 2019</w:t>
      </w:r>
    </w:p>
  </w:footnote>
  <w:footnote w:id="64">
    <w:p w14:paraId="06E4E137" w14:textId="5D09A949" w:rsidR="00765797" w:rsidRPr="00765797" w:rsidRDefault="00765797" w:rsidP="00AC10E7">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Yvar, WP2.16, Researcher Netherlands, March 2018</w:t>
      </w:r>
    </w:p>
  </w:footnote>
  <w:footnote w:id="65">
    <w:p w14:paraId="25C857B0" w14:textId="3F91740B" w:rsidR="00765797" w:rsidRPr="00765797" w:rsidRDefault="00765797">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Interview with Yvar, WP2.16, Researcher, Netherlands, March 2018</w:t>
      </w:r>
    </w:p>
  </w:footnote>
  <w:footnote w:id="66">
    <w:p w14:paraId="15A0B700" w14:textId="121332BF" w:rsidR="00765797" w:rsidRPr="00765797" w:rsidRDefault="00765797" w:rsidP="00E519EA">
      <w:pPr>
        <w:pStyle w:val="FootnoteText"/>
        <w:rPr>
          <w:rFonts w:cs="Times New Roman"/>
          <w:sz w:val="18"/>
          <w:szCs w:val="18"/>
        </w:rPr>
      </w:pPr>
      <w:r w:rsidRPr="00765797">
        <w:rPr>
          <w:rStyle w:val="FootnoteReference"/>
          <w:rFonts w:cs="Times New Roman"/>
          <w:sz w:val="18"/>
          <w:szCs w:val="18"/>
        </w:rPr>
        <w:footnoteRef/>
      </w:r>
      <w:r w:rsidRPr="00765797">
        <w:rPr>
          <w:rFonts w:cs="Times New Roman"/>
          <w:sz w:val="18"/>
          <w:szCs w:val="18"/>
        </w:rPr>
        <w:t xml:space="preserve"> The data for caviar seizures in the European Union is held on the EU-TWIX database (https://www.eu-twix.org) The database holds over 54,000 seizure records from EU Member States since 2000. EU Member States report seizures to EU-TWIX on a voluntary basis. EU-TWIX is a joint initiative of the Belgian Federal Police, TRAFFIC Europe and the Belgian CITES Management Authority and Customs. I was not granted authorisation to access the data on caviar seizures held in the EU-TWIX database, and my specific questions on caviar trade data were not answered during correspondence with a representative of EU-TWIX. To this extent, all seizure data that I analyse was found in secondary literature published online.</w:t>
      </w:r>
    </w:p>
  </w:footnote>
  <w:footnote w:id="67">
    <w:p w14:paraId="5199416F" w14:textId="2FF3C26D" w:rsidR="00765797" w:rsidRPr="00765797" w:rsidRDefault="00765797" w:rsidP="00E519EA">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‘Overview of important seizures in the EU, January – December 2016’  </w:t>
      </w:r>
      <w:hyperlink r:id="rId24">
        <w:r w:rsidRPr="00765797">
          <w:rPr>
            <w:rFonts w:ascii="Times New Roman" w:hAnsi="Times New Roman" w:cs="Times New Roman"/>
            <w:sz w:val="18"/>
            <w:szCs w:val="18"/>
            <w:u w:val="single"/>
          </w:rPr>
          <w:t>https://ec.europa.eu/environment/cites/pdf/reports/2016_overview_significant_seizures.pdf</w:t>
        </w:r>
      </w:hyperlink>
      <w:r w:rsidRPr="00765797">
        <w:rPr>
          <w:rFonts w:ascii="Times New Roman" w:hAnsi="Times New Roman" w:cs="Times New Roman"/>
          <w:sz w:val="18"/>
          <w:szCs w:val="18"/>
        </w:rPr>
        <w:t xml:space="preserve"> [last accessed: 23.08.19]</w:t>
      </w:r>
    </w:p>
  </w:footnote>
  <w:footnote w:id="68">
    <w:p w14:paraId="7F700F45" w14:textId="0B67578F" w:rsidR="00765797" w:rsidRPr="00765797" w:rsidRDefault="00765797" w:rsidP="00E519EA">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Interview with Yvar, WP2.16, Researcher, Netherlands, March 2018</w:t>
      </w:r>
    </w:p>
  </w:footnote>
  <w:footnote w:id="69">
    <w:p w14:paraId="34D1751C" w14:textId="77777777" w:rsidR="00765797" w:rsidRPr="00765797" w:rsidRDefault="00765797" w:rsidP="00E519EA">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‘Overview of seizures of CITES listed wildlife in the EU January – December 2017’ </w:t>
      </w:r>
      <w:hyperlink r:id="rId25" w:history="1">
        <w:r w:rsidRPr="00765797">
          <w:rPr>
            <w:rStyle w:val="Hyperlink"/>
            <w:rFonts w:cs="Times New Roman"/>
            <w:color w:val="auto"/>
            <w:sz w:val="18"/>
            <w:szCs w:val="18"/>
          </w:rPr>
          <w:t>https://ec.europa.eu/environment/cites/pdf/reports/Overview%20of%20seizures%20in%20the%20EU%202017_FINAL%20(March%202019).pdf</w:t>
        </w:r>
      </w:hyperlink>
      <w:r w:rsidRPr="00765797">
        <w:rPr>
          <w:rFonts w:cs="Times New Roman"/>
          <w:sz w:val="18"/>
          <w:szCs w:val="18"/>
        </w:rPr>
        <w:t xml:space="preserve">  [last accessed: 30.09.19]</w:t>
      </w:r>
    </w:p>
  </w:footnote>
  <w:footnote w:id="70">
    <w:p w14:paraId="62869241" w14:textId="77777777" w:rsidR="00765797" w:rsidRPr="00765797" w:rsidRDefault="00765797" w:rsidP="00E519EA">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‘Overview of seizures of CITES listed wildlife in the EU January – December 2017’ </w:t>
      </w:r>
      <w:hyperlink r:id="rId26">
        <w:r w:rsidRPr="00765797">
          <w:rPr>
            <w:rFonts w:ascii="Times New Roman" w:hAnsi="Times New Roman" w:cs="Times New Roman"/>
            <w:sz w:val="18"/>
            <w:szCs w:val="18"/>
            <w:u w:val="single"/>
          </w:rPr>
          <w:t>https://ec.europa.eu/environment/cites/pdf/reports/Overview%20of%20seizures%20in%20the%20EU%202017_FINAL%20(March%202019).pdf</w:t>
        </w:r>
      </w:hyperlink>
      <w:r w:rsidRPr="00765797">
        <w:rPr>
          <w:rFonts w:ascii="Times New Roman" w:hAnsi="Times New Roman" w:cs="Times New Roman"/>
          <w:sz w:val="18"/>
          <w:szCs w:val="18"/>
        </w:rPr>
        <w:t xml:space="preserve"> [last accessed: 18.09.19]</w:t>
      </w:r>
    </w:p>
  </w:footnote>
  <w:footnote w:id="71">
    <w:p w14:paraId="6950EE65" w14:textId="77777777" w:rsidR="00765797" w:rsidRPr="00765797" w:rsidRDefault="00765797" w:rsidP="00AC10E7">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The EU-TWIX database was developed to facilitate information exchange on illegal wildlife trade in Europe. Enforcement officers input information regarding seizures into the database. </w:t>
      </w:r>
      <w:hyperlink r:id="rId27">
        <w:r w:rsidRPr="00765797">
          <w:rPr>
            <w:rFonts w:ascii="Times New Roman" w:hAnsi="Times New Roman" w:cs="Times New Roman"/>
            <w:sz w:val="18"/>
            <w:szCs w:val="18"/>
            <w:u w:val="single"/>
          </w:rPr>
          <w:t>https://www.eu-twix.org/</w:t>
        </w:r>
      </w:hyperlink>
      <w:r w:rsidRPr="00765797">
        <w:rPr>
          <w:rFonts w:ascii="Times New Roman" w:hAnsi="Times New Roman" w:cs="Times New Roman"/>
          <w:sz w:val="18"/>
          <w:szCs w:val="18"/>
        </w:rPr>
        <w:t xml:space="preserve"> </w:t>
      </w:r>
    </w:p>
  </w:footnote>
  <w:footnote w:id="72">
    <w:p w14:paraId="60D6870F" w14:textId="77777777" w:rsidR="00765797" w:rsidRPr="00765797" w:rsidRDefault="00765797" w:rsidP="00AC10E7">
      <w:pPr>
        <w:pStyle w:val="FootnoteText"/>
        <w:rPr>
          <w:rFonts w:cs="Times New Roman"/>
          <w:sz w:val="18"/>
          <w:szCs w:val="18"/>
        </w:rPr>
      </w:pPr>
      <w:r w:rsidRPr="00765797">
        <w:rPr>
          <w:rStyle w:val="FootnoteReference"/>
          <w:rFonts w:cs="Times New Roman"/>
          <w:sz w:val="18"/>
          <w:szCs w:val="18"/>
        </w:rPr>
        <w:footnoteRef/>
      </w:r>
      <w:r w:rsidRPr="00765797">
        <w:rPr>
          <w:rFonts w:cs="Times New Roman"/>
          <w:sz w:val="18"/>
          <w:szCs w:val="18"/>
        </w:rPr>
        <w:t xml:space="preserve"> As I was not given access to the EU-TWIX database I am unable to verify these figures.  </w:t>
      </w:r>
    </w:p>
  </w:footnote>
  <w:footnote w:id="73">
    <w:p w14:paraId="217BF178" w14:textId="77777777" w:rsidR="00765797" w:rsidRPr="00765797" w:rsidRDefault="00765797">
      <w:pPr>
        <w:pStyle w:val="FootnoteText"/>
        <w:rPr>
          <w:rFonts w:cs="Times New Roman"/>
          <w:sz w:val="18"/>
          <w:szCs w:val="18"/>
        </w:rPr>
      </w:pPr>
      <w:r w:rsidRPr="00765797">
        <w:rPr>
          <w:rStyle w:val="FootnoteReference"/>
          <w:rFonts w:cs="Times New Roman"/>
          <w:sz w:val="18"/>
          <w:szCs w:val="18"/>
        </w:rPr>
        <w:footnoteRef/>
      </w:r>
      <w:r w:rsidRPr="00765797">
        <w:rPr>
          <w:rFonts w:cs="Times New Roman"/>
          <w:sz w:val="18"/>
          <w:szCs w:val="18"/>
        </w:rPr>
        <w:t xml:space="preserve"> ‘Overview of important seizures in the EU January – December 2016’</w:t>
      </w:r>
    </w:p>
    <w:p w14:paraId="4279D2EB" w14:textId="25840A7D" w:rsidR="00765797" w:rsidRPr="00765797" w:rsidRDefault="00765797">
      <w:pPr>
        <w:pStyle w:val="FootnoteText"/>
        <w:rPr>
          <w:rFonts w:cs="Times New Roman"/>
          <w:sz w:val="18"/>
          <w:szCs w:val="18"/>
          <w:lang w:val="en-US"/>
        </w:rPr>
      </w:pPr>
      <w:r w:rsidRPr="00765797">
        <w:rPr>
          <w:rFonts w:cs="Times New Roman"/>
          <w:sz w:val="18"/>
          <w:szCs w:val="18"/>
        </w:rPr>
        <w:t xml:space="preserve"> </w:t>
      </w:r>
      <w:hyperlink r:id="rId28" w:history="1">
        <w:r w:rsidRPr="00765797">
          <w:rPr>
            <w:rStyle w:val="Hyperlink"/>
            <w:rFonts w:cs="Times New Roman"/>
            <w:color w:val="auto"/>
            <w:sz w:val="18"/>
            <w:szCs w:val="18"/>
          </w:rPr>
          <w:t>https://ec.europa.eu/environment/cites/pdf/reports/2016_overview_significant_seizures.pdf</w:t>
        </w:r>
      </w:hyperlink>
      <w:r w:rsidRPr="00765797">
        <w:rPr>
          <w:rFonts w:cs="Times New Roman"/>
          <w:sz w:val="18"/>
          <w:szCs w:val="18"/>
        </w:rPr>
        <w:t xml:space="preserve"> [last accessed: 28.05.20] </w:t>
      </w:r>
    </w:p>
  </w:footnote>
  <w:footnote w:id="74">
    <w:p w14:paraId="210839A5" w14:textId="55932D82" w:rsidR="00765797" w:rsidRPr="00765797" w:rsidRDefault="00765797" w:rsidP="00AC10E7">
      <w:pPr>
        <w:pStyle w:val="FootnoteText"/>
      </w:pPr>
      <w:r w:rsidRPr="00765797">
        <w:rPr>
          <w:rStyle w:val="FootnoteReference"/>
          <w:rFonts w:cs="Times New Roman"/>
          <w:sz w:val="18"/>
          <w:szCs w:val="18"/>
        </w:rPr>
        <w:footnoteRef/>
      </w:r>
      <w:r w:rsidRPr="00765797">
        <w:rPr>
          <w:rFonts w:cs="Times New Roman"/>
          <w:sz w:val="18"/>
          <w:szCs w:val="18"/>
        </w:rPr>
        <w:t xml:space="preserve"> Interview with Vince, WP2.08, CITES Officer, UK February 2018</w:t>
      </w:r>
    </w:p>
  </w:footnote>
  <w:footnote w:id="75">
    <w:p w14:paraId="539837B2" w14:textId="46944E7E" w:rsidR="00765797" w:rsidRPr="00765797" w:rsidRDefault="00765797" w:rsidP="00AC10E7">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Irini, WP2.26, NGO National Project Coordinator, Romania, May 2018. </w:t>
      </w:r>
    </w:p>
    <w:p w14:paraId="6B904A59" w14:textId="77777777" w:rsidR="00765797" w:rsidRPr="00765797" w:rsidRDefault="00765797" w:rsidP="00AC10E7">
      <w:pPr>
        <w:pStyle w:val="Normal1"/>
        <w:spacing w:line="240" w:lineRule="auto"/>
        <w:rPr>
          <w:rFonts w:ascii="Times New Roman" w:hAnsi="Times New Roman" w:cs="Times New Roman"/>
          <w:sz w:val="18"/>
          <w:szCs w:val="18"/>
        </w:rPr>
      </w:pPr>
      <w:r w:rsidRPr="00765797">
        <w:rPr>
          <w:rFonts w:ascii="Times New Roman" w:hAnsi="Times New Roman" w:cs="Times New Roman"/>
          <w:sz w:val="18"/>
          <w:szCs w:val="18"/>
        </w:rPr>
        <w:t xml:space="preserve">See also conclusions made in the UNODC (2016) World Wildlife Crime report, that a “lack of international seizures suggest it is likely destined for domestic markets” (pp.92). The report also points to an academic paper that has “indicated irregularities in the Danube basin which could be feeding markets within the EU” (pp.91) </w:t>
      </w:r>
      <w:hyperlink r:id="rId29" w:history="1">
        <w:r w:rsidRPr="00765797">
          <w:rPr>
            <w:rStyle w:val="Hyperlink"/>
            <w:rFonts w:ascii="Times New Roman" w:hAnsi="Times New Roman" w:cs="Times New Roman"/>
            <w:color w:val="auto"/>
            <w:sz w:val="18"/>
            <w:szCs w:val="18"/>
          </w:rPr>
          <w:t>https://www.unodc.org/documents/data-and-analysis/wildlife/World_Wildlife_Crime_Report_2016_final.pdf</w:t>
        </w:r>
      </w:hyperlink>
      <w:r w:rsidRPr="00765797">
        <w:rPr>
          <w:rFonts w:ascii="Times New Roman" w:hAnsi="Times New Roman" w:cs="Times New Roman"/>
          <w:sz w:val="18"/>
          <w:szCs w:val="18"/>
        </w:rPr>
        <w:t xml:space="preserve"> [last accessed: 28.05.20]</w:t>
      </w:r>
    </w:p>
    <w:p w14:paraId="7E5A4EEF" w14:textId="24BF1847" w:rsidR="00765797" w:rsidRPr="00765797" w:rsidRDefault="00765797" w:rsidP="00AC10E7">
      <w:pPr>
        <w:pStyle w:val="Normal1"/>
        <w:spacing w:line="240" w:lineRule="auto"/>
        <w:rPr>
          <w:rFonts w:ascii="Times New Roman" w:hAnsi="Times New Roman" w:cs="Times New Roman"/>
          <w:sz w:val="18"/>
          <w:szCs w:val="18"/>
        </w:rPr>
      </w:pPr>
      <w:r w:rsidRPr="00765797">
        <w:rPr>
          <w:rFonts w:ascii="Times New Roman" w:hAnsi="Times New Roman" w:cs="Times New Roman"/>
          <w:sz w:val="18"/>
          <w:szCs w:val="18"/>
        </w:rPr>
        <w:t>See also: A. Ludwig, D. Lieckfeldt and J. Jahrl, (2015) “Mislabeled and counterfeit sturgeon caviar from Bulgaria and Romania”, Journal of Applied Ichthyology, 31 (4):587-591</w:t>
      </w:r>
    </w:p>
  </w:footnote>
  <w:footnote w:id="76">
    <w:p w14:paraId="122CAE74" w14:textId="22CD59AE" w:rsidR="00765797" w:rsidRPr="00765797" w:rsidRDefault="00765797">
      <w:pPr>
        <w:pStyle w:val="FootnoteText"/>
        <w:rPr>
          <w:rFonts w:cs="Times New Roman"/>
          <w:sz w:val="18"/>
          <w:szCs w:val="18"/>
        </w:rPr>
      </w:pPr>
      <w:r w:rsidRPr="00765797">
        <w:rPr>
          <w:rStyle w:val="FootnoteReference"/>
          <w:rFonts w:cs="Times New Roman"/>
          <w:sz w:val="18"/>
          <w:szCs w:val="18"/>
        </w:rPr>
        <w:footnoteRef/>
      </w:r>
      <w:r w:rsidRPr="00765797">
        <w:rPr>
          <w:rFonts w:cs="Times New Roman"/>
          <w:sz w:val="18"/>
          <w:szCs w:val="18"/>
        </w:rPr>
        <w:t xml:space="preserve">See also a recent (2020) journalistic investigation by Balkan Insight, which reports that the Danube Delta Police confiscated 640kg of poached sturgeon in the last five years; and that the Romanian Border police reported confiscating half a ton of poached sturgeon, and half a ton of poached caviar. ‘Decimated Danube: Sturgeon revival efforts neglect roots of poaching’: </w:t>
      </w:r>
      <w:hyperlink r:id="rId30" w:history="1">
        <w:r w:rsidRPr="00765797">
          <w:rPr>
            <w:rStyle w:val="Hyperlink"/>
            <w:rFonts w:cs="Times New Roman"/>
            <w:color w:val="auto"/>
            <w:sz w:val="18"/>
            <w:szCs w:val="18"/>
            <w:lang w:val="en-US"/>
          </w:rPr>
          <w:t>https://balkaninsight.com/2020/05/20/decimated-danube-sturgeon-revival-efforts-neglect-roots-of-poaching/</w:t>
        </w:r>
      </w:hyperlink>
      <w:r w:rsidRPr="00765797">
        <w:rPr>
          <w:rFonts w:cs="Times New Roman"/>
          <w:sz w:val="18"/>
          <w:szCs w:val="18"/>
          <w:lang w:val="en-US"/>
        </w:rPr>
        <w:t xml:space="preserve"> [last accessed: 28.05.20] </w:t>
      </w:r>
    </w:p>
  </w:footnote>
  <w:footnote w:id="77">
    <w:p w14:paraId="10A1787B" w14:textId="3076CB62" w:rsidR="00765797" w:rsidRPr="00765797" w:rsidRDefault="00765797" w:rsidP="00AC10E7">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Yvar, WP2.16, Researcher, Netherlands, March 2018</w:t>
      </w:r>
    </w:p>
    <w:p w14:paraId="119D8FD1" w14:textId="548EC3D5" w:rsidR="00765797" w:rsidRPr="00765797" w:rsidRDefault="00765797" w:rsidP="00AC10E7">
      <w:pPr>
        <w:pStyle w:val="Normal1"/>
        <w:spacing w:line="240" w:lineRule="auto"/>
        <w:rPr>
          <w:sz w:val="18"/>
          <w:szCs w:val="18"/>
        </w:rPr>
      </w:pPr>
      <w:r w:rsidRPr="00765797">
        <w:rPr>
          <w:rFonts w:ascii="Times New Roman" w:hAnsi="Times New Roman" w:cs="Times New Roman"/>
          <w:sz w:val="18"/>
          <w:szCs w:val="18"/>
        </w:rPr>
        <w:t xml:space="preserve">In line with Yvar’s statement, the UNODC (2016) World Wildlife Crime report acknowledges that “it is possible that unknown changes in the illicit market have transpired, making it impossible to extrapolate trends from the old data” (pp. 92) </w:t>
      </w:r>
      <w:hyperlink r:id="rId31" w:history="1">
        <w:r w:rsidRPr="00765797">
          <w:rPr>
            <w:rStyle w:val="Hyperlink"/>
            <w:rFonts w:ascii="Times New Roman" w:hAnsi="Times New Roman" w:cs="Times New Roman"/>
            <w:color w:val="auto"/>
            <w:sz w:val="18"/>
            <w:szCs w:val="18"/>
          </w:rPr>
          <w:t>https://www.unodc.org/documents/data-and-analysis/wildlife/World_Wildlife_Crime_Report_2016_final.pdf</w:t>
        </w:r>
      </w:hyperlink>
      <w:r w:rsidRPr="00765797">
        <w:rPr>
          <w:rFonts w:ascii="Times New Roman" w:hAnsi="Times New Roman" w:cs="Times New Roman"/>
          <w:sz w:val="18"/>
          <w:szCs w:val="18"/>
        </w:rPr>
        <w:t xml:space="preserve"> [last accessed: 28.05.20]</w:t>
      </w:r>
    </w:p>
  </w:footnote>
  <w:footnote w:id="78">
    <w:p w14:paraId="64A30AD5" w14:textId="47AF3917" w:rsidR="00765797" w:rsidRPr="00765797" w:rsidRDefault="00765797" w:rsidP="00AC10E7">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Oliya, WP2.04, Caviar Producer, Belgium, February 2018</w:t>
      </w:r>
    </w:p>
  </w:footnote>
  <w:footnote w:id="79">
    <w:p w14:paraId="5DE37946" w14:textId="282E004C" w:rsidR="00765797" w:rsidRPr="00765797" w:rsidRDefault="00765797" w:rsidP="00AC10E7">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Oliya,  WP2.04, Caviar Producer, Belgium, February 2018</w:t>
      </w:r>
    </w:p>
  </w:footnote>
  <w:footnote w:id="80">
    <w:p w14:paraId="41B229DB" w14:textId="73F2051B" w:rsidR="00765797" w:rsidRPr="00765797" w:rsidRDefault="00765797" w:rsidP="00E74997">
      <w:pPr>
        <w:pStyle w:val="FootnoteText"/>
        <w:rPr>
          <w:rFonts w:cs="Times New Roman"/>
          <w:sz w:val="18"/>
          <w:szCs w:val="18"/>
        </w:rPr>
      </w:pPr>
      <w:r w:rsidRPr="00765797">
        <w:rPr>
          <w:rStyle w:val="FootnoteReference"/>
          <w:rFonts w:cs="Times New Roman"/>
          <w:sz w:val="18"/>
          <w:szCs w:val="18"/>
        </w:rPr>
        <w:footnoteRef/>
      </w:r>
      <w:r w:rsidRPr="00765797">
        <w:rPr>
          <w:rFonts w:cs="Times New Roman"/>
          <w:sz w:val="18"/>
          <w:szCs w:val="18"/>
          <w:lang w:val="en-US"/>
        </w:rPr>
        <w:t xml:space="preserve">See similar arguments made in </w:t>
      </w:r>
      <w:r w:rsidRPr="00765797">
        <w:rPr>
          <w:rFonts w:cs="Times New Roman"/>
          <w:sz w:val="18"/>
          <w:szCs w:val="18"/>
        </w:rPr>
        <w:t xml:space="preserve">‘Decimated Danube: Sturgeon revival efforts neglect roots of poaching’: </w:t>
      </w:r>
      <w:hyperlink r:id="rId32" w:history="1">
        <w:r w:rsidRPr="00765797">
          <w:rPr>
            <w:rStyle w:val="Hyperlink"/>
            <w:rFonts w:cs="Times New Roman"/>
            <w:color w:val="auto"/>
            <w:sz w:val="18"/>
            <w:szCs w:val="18"/>
            <w:lang w:val="en-US"/>
          </w:rPr>
          <w:t>https://balkaninsight.com/2020/05/20/decimated-danube-sturgeon-revival-efforts-neglect-roots-of-poaching/</w:t>
        </w:r>
      </w:hyperlink>
      <w:r w:rsidRPr="00765797">
        <w:rPr>
          <w:rFonts w:cs="Times New Roman"/>
          <w:sz w:val="18"/>
          <w:szCs w:val="18"/>
          <w:lang w:val="en-US"/>
        </w:rPr>
        <w:t xml:space="preserve"> [last accessed: 28.05.20] </w:t>
      </w:r>
    </w:p>
    <w:p w14:paraId="6B411316" w14:textId="453C9F25" w:rsidR="00765797" w:rsidRPr="00765797" w:rsidRDefault="00765797">
      <w:pPr>
        <w:pStyle w:val="FootnoteText"/>
        <w:rPr>
          <w:lang w:val="en-US"/>
        </w:rPr>
      </w:pPr>
    </w:p>
  </w:footnote>
  <w:footnote w:id="81">
    <w:p w14:paraId="5BA69F7E" w14:textId="45A49F74" w:rsidR="00765797" w:rsidRPr="00765797" w:rsidRDefault="00765797" w:rsidP="00AC10E7">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Irini, WP2.26, NGO National Project Coordinator, Romania, May 2018</w:t>
      </w:r>
    </w:p>
  </w:footnote>
  <w:footnote w:id="82">
    <w:p w14:paraId="224180B6" w14:textId="578601E7" w:rsidR="00765797" w:rsidRPr="00765797" w:rsidRDefault="00765797" w:rsidP="00AC10E7">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Juliani, WP2.27, NGO Coordinator, Romania, May 2018</w:t>
      </w:r>
    </w:p>
    <w:p w14:paraId="2880866A" w14:textId="099FE98D" w:rsidR="00765797" w:rsidRPr="00765797" w:rsidRDefault="00765797" w:rsidP="000016DB">
      <w:pPr>
        <w:pStyle w:val="FootnoteText"/>
        <w:rPr>
          <w:rFonts w:cs="Times New Roman"/>
          <w:sz w:val="18"/>
          <w:szCs w:val="18"/>
        </w:rPr>
      </w:pPr>
      <w:r w:rsidRPr="00765797">
        <w:rPr>
          <w:rFonts w:cs="Times New Roman"/>
          <w:sz w:val="18"/>
          <w:szCs w:val="18"/>
        </w:rPr>
        <w:t xml:space="preserve">As of 2020, little progress appears to have been made in compensating sturgeon fishing communities. See similar statements are made in the article: ‘Decimated Danube: Sturgeon revival efforts neglect roots of poaching’: </w:t>
      </w:r>
      <w:hyperlink r:id="rId33" w:history="1">
        <w:r w:rsidRPr="00765797">
          <w:rPr>
            <w:rStyle w:val="Hyperlink"/>
            <w:rFonts w:cs="Times New Roman"/>
            <w:color w:val="auto"/>
            <w:sz w:val="18"/>
            <w:szCs w:val="18"/>
            <w:lang w:val="en-US"/>
          </w:rPr>
          <w:t>https://balkaninsight.com/2020/05/20/decimated-danube-sturgeon-revival-efforts-neglect-roots-of-poaching/</w:t>
        </w:r>
      </w:hyperlink>
      <w:r w:rsidRPr="00765797">
        <w:rPr>
          <w:rFonts w:cs="Times New Roman"/>
          <w:sz w:val="18"/>
          <w:szCs w:val="18"/>
          <w:lang w:val="en-US"/>
        </w:rPr>
        <w:t xml:space="preserve"> [last accessed: 28.05.20] </w:t>
      </w:r>
    </w:p>
  </w:footnote>
  <w:footnote w:id="83">
    <w:p w14:paraId="45F39B16" w14:textId="4B03CFD0" w:rsidR="00765797" w:rsidRPr="00765797" w:rsidRDefault="00765797" w:rsidP="00AC10E7">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Juliani, WP2.27, NGO Coordinator, Romania, May 2018</w:t>
      </w:r>
    </w:p>
  </w:footnote>
  <w:footnote w:id="84">
    <w:p w14:paraId="0D4FB162" w14:textId="41379BBD" w:rsidR="00765797" w:rsidRPr="00765797" w:rsidRDefault="00765797">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See for example the establishment of social enterprise projects in the region, such as Danube Delta Life:</w:t>
      </w:r>
    </w:p>
    <w:p w14:paraId="1D4C0526" w14:textId="4554B65F" w:rsidR="00765797" w:rsidRPr="00765797" w:rsidRDefault="00765797">
      <w:pPr>
        <w:pStyle w:val="FootnoteText"/>
        <w:rPr>
          <w:rFonts w:cs="Times New Roman"/>
          <w:sz w:val="18"/>
          <w:szCs w:val="18"/>
          <w:lang w:val="en-US"/>
        </w:rPr>
      </w:pPr>
      <w:r w:rsidRPr="00765797">
        <w:rPr>
          <w:rFonts w:cs="Times New Roman"/>
          <w:sz w:val="18"/>
          <w:szCs w:val="18"/>
          <w:lang w:val="en-US"/>
        </w:rPr>
        <w:t xml:space="preserve">  </w:t>
      </w:r>
      <w:hyperlink r:id="rId34" w:history="1">
        <w:r w:rsidRPr="00765797">
          <w:rPr>
            <w:rStyle w:val="Hyperlink"/>
            <w:rFonts w:cs="Times New Roman"/>
            <w:color w:val="auto"/>
            <w:sz w:val="18"/>
            <w:szCs w:val="18"/>
            <w:lang w:val="en-US"/>
          </w:rPr>
          <w:t>https://www.danubedeltalife.social/en/</w:t>
        </w:r>
      </w:hyperlink>
      <w:r w:rsidRPr="00765797">
        <w:rPr>
          <w:rFonts w:cs="Times New Roman"/>
          <w:sz w:val="18"/>
          <w:szCs w:val="18"/>
          <w:lang w:val="en-US"/>
        </w:rPr>
        <w:t xml:space="preserve"> [last accessed: 30.05.20] </w:t>
      </w:r>
    </w:p>
  </w:footnote>
  <w:footnote w:id="85">
    <w:p w14:paraId="03884C0E" w14:textId="40773134" w:rsidR="00765797" w:rsidRPr="00765797" w:rsidRDefault="00765797">
      <w:pPr>
        <w:pStyle w:val="FootnoteText"/>
        <w:rPr>
          <w:rFonts w:cs="Times New Roman"/>
          <w:sz w:val="18"/>
          <w:szCs w:val="18"/>
        </w:rPr>
      </w:pPr>
      <w:r w:rsidRPr="00765797">
        <w:rPr>
          <w:rStyle w:val="FootnoteReference"/>
          <w:rFonts w:cs="Times New Roman"/>
          <w:sz w:val="18"/>
          <w:szCs w:val="18"/>
        </w:rPr>
        <w:footnoteRef/>
      </w:r>
      <w:r w:rsidRPr="00765797">
        <w:rPr>
          <w:rFonts w:cs="Times New Roman"/>
          <w:sz w:val="18"/>
          <w:szCs w:val="18"/>
          <w:lang w:val="en-US"/>
        </w:rPr>
        <w:t xml:space="preserve">see for example the quotation of Romanian sturgeon fishermen Rares Ivanov: “they want us to turn to tourism? What should we feed tourists? Fish from the supermarket?” in </w:t>
      </w:r>
      <w:r w:rsidRPr="00765797">
        <w:rPr>
          <w:rFonts w:cs="Times New Roman"/>
          <w:sz w:val="18"/>
          <w:szCs w:val="18"/>
        </w:rPr>
        <w:t xml:space="preserve">‘Decimated Danube: Sturgeon revival efforts neglect roots of poaching’: </w:t>
      </w:r>
      <w:hyperlink r:id="rId35" w:history="1">
        <w:r w:rsidRPr="00765797">
          <w:rPr>
            <w:rStyle w:val="Hyperlink"/>
            <w:rFonts w:cs="Times New Roman"/>
            <w:color w:val="auto"/>
            <w:sz w:val="18"/>
            <w:szCs w:val="18"/>
            <w:lang w:val="en-US"/>
          </w:rPr>
          <w:t>https://balkaninsight.com/2020/05/20/decimated-danube-sturgeon-revival-efforts-neglect-roots-of-poaching/</w:t>
        </w:r>
      </w:hyperlink>
      <w:r w:rsidRPr="00765797">
        <w:rPr>
          <w:rFonts w:cs="Times New Roman"/>
          <w:sz w:val="18"/>
          <w:szCs w:val="18"/>
          <w:lang w:val="en-US"/>
        </w:rPr>
        <w:t xml:space="preserve"> [last accessed: 28.05.20] </w:t>
      </w:r>
    </w:p>
  </w:footnote>
  <w:footnote w:id="86">
    <w:p w14:paraId="2D917415" w14:textId="6C4830AE" w:rsidR="00765797" w:rsidRPr="00765797" w:rsidRDefault="00765797" w:rsidP="00AC10E7">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Interview with Irini, WP2.26, NGO National Project Coordinator, Romania, May 2018</w:t>
      </w:r>
    </w:p>
  </w:footnote>
  <w:footnote w:id="87">
    <w:p w14:paraId="401F2258" w14:textId="24A10B61" w:rsidR="00765797" w:rsidRPr="00765797" w:rsidRDefault="00765797" w:rsidP="00AC10E7">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Irini, WP2.26, NGO National Project Coordinator, Romania, May 2018</w:t>
      </w:r>
    </w:p>
    <w:p w14:paraId="51C7E8C0" w14:textId="5EF455C6" w:rsidR="00765797" w:rsidRPr="00765797" w:rsidRDefault="00765797" w:rsidP="00370A19">
      <w:pPr>
        <w:pStyle w:val="FootnoteText"/>
        <w:rPr>
          <w:rFonts w:cs="Times New Roman"/>
          <w:sz w:val="18"/>
          <w:szCs w:val="18"/>
        </w:rPr>
      </w:pPr>
      <w:r w:rsidRPr="00765797">
        <w:rPr>
          <w:rFonts w:cs="Times New Roman"/>
          <w:sz w:val="18"/>
          <w:szCs w:val="18"/>
        </w:rPr>
        <w:t xml:space="preserve">See also quote of Romanian sociologist, Valentin Moldoveanu: </w:t>
      </w:r>
      <w:r w:rsidRPr="00765797">
        <w:rPr>
          <w:rFonts w:eastAsia="Times New Roman" w:cs="Times New Roman"/>
          <w:sz w:val="18"/>
          <w:szCs w:val="18"/>
        </w:rPr>
        <w:t xml:space="preserve">“The biggest problem with the ban on sturgeon fishing…is that they haven’t received anything in return: no subsidies, no damages…That was a recipe for poaching to flourish.” Quoted in </w:t>
      </w:r>
      <w:r w:rsidRPr="00765797">
        <w:rPr>
          <w:rFonts w:cs="Times New Roman"/>
          <w:sz w:val="18"/>
          <w:szCs w:val="18"/>
        </w:rPr>
        <w:t xml:space="preserve">‘Decimated Danube: Sturgeon revival efforts neglect roots of poaching’: </w:t>
      </w:r>
      <w:hyperlink r:id="rId36" w:history="1">
        <w:r w:rsidRPr="00765797">
          <w:rPr>
            <w:rStyle w:val="Hyperlink"/>
            <w:rFonts w:cs="Times New Roman"/>
            <w:color w:val="auto"/>
            <w:sz w:val="18"/>
            <w:szCs w:val="18"/>
            <w:lang w:val="en-US"/>
          </w:rPr>
          <w:t>https://balkaninsight.com/2020/05/20/decimated-danube-sturgeon-revival-efforts-neglect-roots-of-poaching/</w:t>
        </w:r>
      </w:hyperlink>
      <w:r w:rsidRPr="00765797">
        <w:rPr>
          <w:rFonts w:cs="Times New Roman"/>
          <w:sz w:val="18"/>
          <w:szCs w:val="18"/>
          <w:lang w:val="en-US"/>
        </w:rPr>
        <w:t xml:space="preserve"> [last accessed: 28.05.20] </w:t>
      </w:r>
    </w:p>
  </w:footnote>
  <w:footnote w:id="88">
    <w:p w14:paraId="05756636" w14:textId="7CD84CC0" w:rsidR="00765797" w:rsidRPr="00765797" w:rsidRDefault="00765797" w:rsidP="00AC10E7">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Danut, WP2.37, Sturgeon farmer and Caviar Producer, Romania, August 2018 </w:t>
      </w:r>
    </w:p>
    <w:p w14:paraId="5C33838E" w14:textId="60E7A22D" w:rsidR="00765797" w:rsidRPr="00765797" w:rsidRDefault="00765797" w:rsidP="00AC10E7">
      <w:pPr>
        <w:pStyle w:val="Normal1"/>
        <w:spacing w:line="240" w:lineRule="auto"/>
        <w:rPr>
          <w:rFonts w:ascii="Times New Roman" w:hAnsi="Times New Roman" w:cs="Times New Roman"/>
          <w:sz w:val="18"/>
          <w:szCs w:val="18"/>
        </w:rPr>
      </w:pPr>
      <w:r w:rsidRPr="00765797">
        <w:rPr>
          <w:rFonts w:ascii="Times New Roman" w:hAnsi="Times New Roman" w:cs="Times New Roman"/>
          <w:sz w:val="18"/>
          <w:szCs w:val="18"/>
        </w:rPr>
        <w:t xml:space="preserve">The  price of wild caviar on the black market is unclear and according to a TRAFFIC (2013) study on illegal caviar trade in Romania and Bulgaria, there is a large variability in price. See: </w:t>
      </w:r>
      <w:hyperlink r:id="rId37" w:history="1">
        <w:r w:rsidRPr="00765797">
          <w:rPr>
            <w:rStyle w:val="Hyperlink"/>
            <w:rFonts w:ascii="Times New Roman" w:hAnsi="Times New Roman" w:cs="Times New Roman"/>
            <w:color w:val="auto"/>
            <w:sz w:val="18"/>
            <w:szCs w:val="18"/>
          </w:rPr>
          <w:t>https://d2ouvy59p0dg6k.cloudfront.net/downloads/illegal_caviar_trade_in_bulgaria_and_romania__1_.pdf</w:t>
        </w:r>
      </w:hyperlink>
      <w:r w:rsidRPr="00765797">
        <w:rPr>
          <w:rFonts w:ascii="Times New Roman" w:hAnsi="Times New Roman" w:cs="Times New Roman"/>
          <w:sz w:val="18"/>
          <w:szCs w:val="18"/>
        </w:rPr>
        <w:t xml:space="preserve"> [last accessed: 30.05.20] A recently journalistic investigation reported the black market price of 1 kilo of caviar (the species is not disclosed) costing 1,000 euros in Romania. See ‘Decimated Danube: Sturgeon revival efforts neglect roots of poaching’: </w:t>
      </w:r>
      <w:hyperlink r:id="rId38" w:history="1">
        <w:r w:rsidRPr="00765797">
          <w:rPr>
            <w:rStyle w:val="Hyperlink"/>
            <w:rFonts w:ascii="Times New Roman" w:hAnsi="Times New Roman" w:cs="Times New Roman"/>
            <w:color w:val="auto"/>
            <w:sz w:val="18"/>
            <w:szCs w:val="18"/>
            <w:lang w:val="en-US"/>
          </w:rPr>
          <w:t>https://balkaninsight.com/2020/05/20/decimated-danube-sturgeon-revival-efforts-neglect-roots-of-poaching/</w:t>
        </w:r>
      </w:hyperlink>
      <w:r w:rsidRPr="00765797">
        <w:rPr>
          <w:rFonts w:ascii="Times New Roman" w:hAnsi="Times New Roman" w:cs="Times New Roman"/>
          <w:sz w:val="18"/>
          <w:szCs w:val="18"/>
          <w:lang w:val="en-US"/>
        </w:rPr>
        <w:t xml:space="preserve"> [last accessed: 28.05.20] </w:t>
      </w:r>
      <w:r w:rsidRPr="00765797">
        <w:rPr>
          <w:rFonts w:ascii="Times New Roman" w:hAnsi="Times New Roman" w:cs="Times New Roman"/>
          <w:sz w:val="18"/>
          <w:szCs w:val="18"/>
        </w:rPr>
        <w:t xml:space="preserve"> </w:t>
      </w:r>
    </w:p>
  </w:footnote>
  <w:footnote w:id="89">
    <w:p w14:paraId="5B24CD49" w14:textId="77777777" w:rsidR="00765797" w:rsidRPr="00765797" w:rsidRDefault="00765797" w:rsidP="00370A19">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w:t>
      </w:r>
      <w:r w:rsidRPr="00765797">
        <w:rPr>
          <w:rFonts w:ascii="Times New Roman" w:hAnsi="Times New Roman" w:cs="Times New Roman"/>
          <w:sz w:val="18"/>
          <w:szCs w:val="18"/>
          <w:lang w:val="en-US"/>
        </w:rPr>
        <w:t>See quote from Romanian fisherman Rares Ivanov: “</w:t>
      </w:r>
      <w:r w:rsidRPr="00765797">
        <w:rPr>
          <w:rFonts w:ascii="Times New Roman" w:eastAsia="Times New Roman" w:hAnsi="Times New Roman" w:cs="Times New Roman"/>
          <w:sz w:val="18"/>
          <w:szCs w:val="18"/>
        </w:rPr>
        <w:t xml:space="preserve">If they gave us a break, none of the fishermen would look for ways to avoid the law” quoted in </w:t>
      </w:r>
      <w:r w:rsidRPr="00765797">
        <w:rPr>
          <w:rFonts w:ascii="Times New Roman" w:hAnsi="Times New Roman" w:cs="Times New Roman"/>
          <w:sz w:val="18"/>
          <w:szCs w:val="18"/>
        </w:rPr>
        <w:t xml:space="preserve">‘Decimated Danube: Sturgeon revival efforts neglect roots of poaching’: </w:t>
      </w:r>
      <w:hyperlink r:id="rId39" w:history="1">
        <w:r w:rsidRPr="00765797">
          <w:rPr>
            <w:rStyle w:val="Hyperlink"/>
            <w:rFonts w:ascii="Times New Roman" w:hAnsi="Times New Roman" w:cs="Times New Roman"/>
            <w:color w:val="auto"/>
            <w:sz w:val="18"/>
            <w:szCs w:val="18"/>
            <w:lang w:val="en-US"/>
          </w:rPr>
          <w:t>https://balkaninsight.com/2020/05/20/decimated-danube-sturgeon-revival-efforts-neglect-roots-of-poaching/</w:t>
        </w:r>
      </w:hyperlink>
      <w:r w:rsidRPr="00765797">
        <w:rPr>
          <w:rFonts w:ascii="Times New Roman" w:hAnsi="Times New Roman" w:cs="Times New Roman"/>
          <w:sz w:val="18"/>
          <w:szCs w:val="18"/>
          <w:lang w:val="en-US"/>
        </w:rPr>
        <w:t xml:space="preserve"> [last accessed: 28.05.20] </w:t>
      </w:r>
      <w:r w:rsidRPr="00765797">
        <w:rPr>
          <w:rFonts w:ascii="Times New Roman" w:hAnsi="Times New Roman" w:cs="Times New Roman"/>
          <w:sz w:val="18"/>
          <w:szCs w:val="18"/>
        </w:rPr>
        <w:t xml:space="preserve"> </w:t>
      </w:r>
    </w:p>
    <w:p w14:paraId="43577F00" w14:textId="743868BD" w:rsidR="00765797" w:rsidRPr="00765797" w:rsidRDefault="00765797" w:rsidP="00A62CCB">
      <w:pPr>
        <w:pStyle w:val="Normal1"/>
        <w:spacing w:line="240" w:lineRule="auto"/>
        <w:rPr>
          <w:rFonts w:ascii="Times New Roman" w:hAnsi="Times New Roman" w:cs="Times New Roman"/>
          <w:sz w:val="18"/>
          <w:szCs w:val="18"/>
        </w:rPr>
      </w:pPr>
      <w:r w:rsidRPr="00765797">
        <w:rPr>
          <w:rFonts w:ascii="Times New Roman" w:hAnsi="Times New Roman" w:cs="Times New Roman"/>
          <w:sz w:val="18"/>
          <w:szCs w:val="18"/>
        </w:rPr>
        <w:t xml:space="preserve">See also ‘Caviar, crime, and corruption’ report which quotes a WWF representative explaining  that “fishermen found themselves going from being heroes of the Delta to poachers...and led to that state where they totally and even brutally rejected this decision of a full sturgeon fishing ban”. </w:t>
      </w:r>
      <w:hyperlink r:id="rId40" w:history="1">
        <w:r w:rsidRPr="00765797">
          <w:rPr>
            <w:rStyle w:val="Hyperlink"/>
            <w:rFonts w:ascii="Times New Roman" w:hAnsi="Times New Roman" w:cs="Times New Roman"/>
            <w:color w:val="auto"/>
            <w:sz w:val="18"/>
            <w:szCs w:val="18"/>
          </w:rPr>
          <w:t>https://oxpeckers.org/2019/10/caviar-crime-and-corruption/</w:t>
        </w:r>
      </w:hyperlink>
      <w:r w:rsidRPr="00765797">
        <w:rPr>
          <w:rFonts w:ascii="Times New Roman" w:hAnsi="Times New Roman" w:cs="Times New Roman"/>
          <w:sz w:val="18"/>
          <w:szCs w:val="18"/>
        </w:rPr>
        <w:t xml:space="preserve"> [last accessed: 30.05.20] </w:t>
      </w:r>
    </w:p>
  </w:footnote>
  <w:footnote w:id="90">
    <w:p w14:paraId="03DEC9BD" w14:textId="019A7947" w:rsidR="00765797" w:rsidRPr="00765797" w:rsidRDefault="00765797" w:rsidP="00A6113F">
      <w:pPr>
        <w:pStyle w:val="FootnoteText"/>
        <w:rPr>
          <w:rFonts w:cs="Times New Roman"/>
          <w:sz w:val="18"/>
          <w:szCs w:val="18"/>
        </w:rPr>
      </w:pPr>
      <w:r w:rsidRPr="00765797">
        <w:rPr>
          <w:rStyle w:val="FootnoteReference"/>
          <w:rFonts w:cs="Times New Roman"/>
          <w:sz w:val="18"/>
          <w:szCs w:val="18"/>
        </w:rPr>
        <w:footnoteRef/>
      </w:r>
      <w:r w:rsidRPr="00765797">
        <w:rPr>
          <w:rFonts w:cs="Times New Roman"/>
          <w:sz w:val="18"/>
          <w:szCs w:val="18"/>
        </w:rPr>
        <w:t xml:space="preserve"> Interview with Rose, WP2.10, NGO Representative, Austria, February 2018</w:t>
      </w:r>
    </w:p>
    <w:p w14:paraId="2E7F7DA9" w14:textId="58EAE3BB" w:rsidR="00765797" w:rsidRPr="00765797" w:rsidRDefault="00765797" w:rsidP="00AC10E7">
      <w:pPr>
        <w:pStyle w:val="Normal1"/>
        <w:spacing w:line="240" w:lineRule="auto"/>
        <w:rPr>
          <w:rFonts w:ascii="Times New Roman" w:hAnsi="Times New Roman" w:cs="Times New Roman"/>
          <w:sz w:val="18"/>
          <w:szCs w:val="18"/>
        </w:rPr>
      </w:pPr>
      <w:r w:rsidRPr="00765797">
        <w:rPr>
          <w:rFonts w:ascii="Times New Roman" w:hAnsi="Times New Roman" w:cs="Times New Roman"/>
          <w:sz w:val="18"/>
          <w:szCs w:val="18"/>
        </w:rPr>
        <w:t xml:space="preserve">See also the journalistic investigation ‘Decimated Danube: Sturgeon revival efforts neglect roots of poaching’, which confirms that poaching continues in the Danube Delta and that there is a continuing demand for wild caviar on the black market: </w:t>
      </w:r>
      <w:hyperlink r:id="rId41" w:history="1">
        <w:r w:rsidRPr="00765797">
          <w:rPr>
            <w:rStyle w:val="Hyperlink"/>
            <w:rFonts w:ascii="Times New Roman" w:hAnsi="Times New Roman" w:cs="Times New Roman"/>
            <w:color w:val="auto"/>
            <w:sz w:val="18"/>
            <w:szCs w:val="18"/>
            <w:lang w:val="en-US"/>
          </w:rPr>
          <w:t>https://balkaninsight.com/2020/05/20/decimated-danube-sturgeon-revival-efforts-neglect-roots-of-poaching/</w:t>
        </w:r>
      </w:hyperlink>
      <w:r w:rsidRPr="00765797">
        <w:rPr>
          <w:rFonts w:ascii="Times New Roman" w:hAnsi="Times New Roman" w:cs="Times New Roman"/>
          <w:sz w:val="18"/>
          <w:szCs w:val="18"/>
          <w:lang w:val="en-US"/>
        </w:rPr>
        <w:t xml:space="preserve"> [last accessed: 28.05.20] </w:t>
      </w:r>
      <w:r w:rsidRPr="00765797">
        <w:rPr>
          <w:rFonts w:ascii="Times New Roman" w:hAnsi="Times New Roman" w:cs="Times New Roman"/>
          <w:sz w:val="18"/>
          <w:szCs w:val="18"/>
        </w:rPr>
        <w:t xml:space="preserve"> </w:t>
      </w:r>
    </w:p>
  </w:footnote>
  <w:footnote w:id="91">
    <w:p w14:paraId="14EDF9E8" w14:textId="462F6A7B" w:rsidR="00765797" w:rsidRPr="00765797" w:rsidRDefault="00765797" w:rsidP="00AC10E7">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Irini, WP2.26, NGO National Project Coordinator, Romania May 2018</w:t>
      </w:r>
    </w:p>
    <w:p w14:paraId="42715AFC" w14:textId="0F5CD0B3" w:rsidR="00765797" w:rsidRPr="00765797" w:rsidRDefault="00765797" w:rsidP="00AC10E7">
      <w:pPr>
        <w:pStyle w:val="Normal1"/>
        <w:spacing w:line="240" w:lineRule="auto"/>
        <w:rPr>
          <w:rFonts w:ascii="Times New Roman" w:hAnsi="Times New Roman" w:cs="Times New Roman"/>
          <w:sz w:val="18"/>
          <w:szCs w:val="18"/>
        </w:rPr>
      </w:pPr>
      <w:r w:rsidRPr="00765797">
        <w:rPr>
          <w:rFonts w:ascii="Times New Roman" w:hAnsi="Times New Roman" w:cs="Times New Roman"/>
          <w:sz w:val="18"/>
          <w:szCs w:val="18"/>
        </w:rPr>
        <w:t xml:space="preserve">see also the journalistic investigation ‘Decimated Danube: Sturgeon revival efforts neglect roots of poaching’, which describes how sturgeon fishermen feel watched and criminalised by the tight controls made by law enforcement agencies looking for illegal catch. </w:t>
      </w:r>
      <w:hyperlink r:id="rId42" w:history="1">
        <w:r w:rsidRPr="00765797">
          <w:rPr>
            <w:rStyle w:val="Hyperlink"/>
            <w:rFonts w:ascii="Times New Roman" w:hAnsi="Times New Roman" w:cs="Times New Roman"/>
            <w:color w:val="auto"/>
            <w:sz w:val="18"/>
            <w:szCs w:val="18"/>
            <w:lang w:val="en-US"/>
          </w:rPr>
          <w:t>https://balkaninsight.com/2020/05/20/decimated-danube-sturgeon-revival-efforts-neglect-roots-of-poaching/</w:t>
        </w:r>
      </w:hyperlink>
      <w:r w:rsidRPr="00765797">
        <w:rPr>
          <w:rFonts w:ascii="Times New Roman" w:hAnsi="Times New Roman" w:cs="Times New Roman"/>
          <w:sz w:val="18"/>
          <w:szCs w:val="18"/>
          <w:lang w:val="en-US"/>
        </w:rPr>
        <w:t xml:space="preserve"> [last accessed: 28.05.20] </w:t>
      </w:r>
      <w:r w:rsidRPr="00765797">
        <w:rPr>
          <w:rFonts w:ascii="Times New Roman" w:hAnsi="Times New Roman" w:cs="Times New Roman"/>
          <w:sz w:val="18"/>
          <w:szCs w:val="18"/>
        </w:rPr>
        <w:t xml:space="preserve"> </w:t>
      </w:r>
    </w:p>
  </w:footnote>
  <w:footnote w:id="92">
    <w:p w14:paraId="0898ED23" w14:textId="2414B997" w:rsidR="00765797" w:rsidRPr="00765797" w:rsidRDefault="00765797" w:rsidP="00AC10E7">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Irini, WP2.26, NGO National Project Coordinator, Romania May 2018</w:t>
      </w:r>
    </w:p>
  </w:footnote>
  <w:footnote w:id="93">
    <w:p w14:paraId="6DCDFF80" w14:textId="694AFCFC" w:rsidR="00765797" w:rsidRPr="00765797" w:rsidRDefault="00765797" w:rsidP="00AC10E7">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Danut, WP2.37, Sturgeon farmer and Caviar Producer, Romania, August 2018 </w:t>
      </w:r>
    </w:p>
  </w:footnote>
  <w:footnote w:id="94">
    <w:p w14:paraId="12CFBCA7" w14:textId="617D02CB" w:rsidR="00765797" w:rsidRPr="00765797" w:rsidRDefault="00765797" w:rsidP="00AC10E7">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Juliani, WP2.27, NGO Coordinator, Romania, May 2018</w:t>
      </w:r>
    </w:p>
    <w:p w14:paraId="286C3345" w14:textId="67EDFCD5" w:rsidR="00765797" w:rsidRPr="00765797" w:rsidRDefault="00765797" w:rsidP="00AC10E7">
      <w:pPr>
        <w:pStyle w:val="Normal1"/>
        <w:spacing w:line="240" w:lineRule="auto"/>
        <w:rPr>
          <w:rFonts w:ascii="Times New Roman" w:hAnsi="Times New Roman" w:cs="Times New Roman"/>
          <w:sz w:val="18"/>
          <w:szCs w:val="18"/>
        </w:rPr>
      </w:pPr>
      <w:r w:rsidRPr="00765797">
        <w:rPr>
          <w:rFonts w:ascii="Times New Roman" w:hAnsi="Times New Roman" w:cs="Times New Roman"/>
          <w:sz w:val="18"/>
          <w:szCs w:val="18"/>
        </w:rPr>
        <w:t xml:space="preserve">See also recent journalistic investigation ‘Decimated Danube: Sturgeon revival efforts neglect roots of poaching’, which describes an internal Border Police investigation into a malfunctioned surveillance camera on the Black Sea. Suggestions are that the camera was tampered with by authorities, to enable sturgeon poaching during a storm on the Black Sea in March 2019. </w:t>
      </w:r>
      <w:hyperlink r:id="rId43" w:history="1">
        <w:r w:rsidRPr="00765797">
          <w:rPr>
            <w:rStyle w:val="Hyperlink"/>
            <w:rFonts w:ascii="Times New Roman" w:hAnsi="Times New Roman" w:cs="Times New Roman"/>
            <w:color w:val="auto"/>
            <w:sz w:val="18"/>
            <w:szCs w:val="18"/>
            <w:lang w:val="en-US"/>
          </w:rPr>
          <w:t>https://balkaninsight.com/2020/05/20/decimated-danube-sturgeon-revival-efforts-neglect-roots-of-poaching/</w:t>
        </w:r>
      </w:hyperlink>
      <w:r w:rsidRPr="00765797">
        <w:rPr>
          <w:rFonts w:ascii="Times New Roman" w:hAnsi="Times New Roman" w:cs="Times New Roman"/>
          <w:sz w:val="18"/>
          <w:szCs w:val="18"/>
          <w:lang w:val="en-US"/>
        </w:rPr>
        <w:t xml:space="preserve"> [last accessed: 28.05.20] </w:t>
      </w:r>
      <w:r w:rsidRPr="00765797">
        <w:rPr>
          <w:rFonts w:ascii="Times New Roman" w:hAnsi="Times New Roman" w:cs="Times New Roman"/>
          <w:sz w:val="18"/>
          <w:szCs w:val="18"/>
        </w:rPr>
        <w:t xml:space="preserve"> </w:t>
      </w:r>
    </w:p>
  </w:footnote>
  <w:footnote w:id="95">
    <w:p w14:paraId="4684FC8E" w14:textId="006B664A" w:rsidR="00765797" w:rsidRPr="00765797" w:rsidRDefault="00765797" w:rsidP="00A6113F">
      <w:pPr>
        <w:pStyle w:val="FootnoteText"/>
        <w:rPr>
          <w:sz w:val="18"/>
          <w:szCs w:val="18"/>
        </w:rPr>
      </w:pPr>
      <w:r w:rsidRPr="00765797">
        <w:rPr>
          <w:rStyle w:val="FootnoteReference"/>
          <w:rFonts w:cs="Times New Roman"/>
          <w:sz w:val="18"/>
          <w:szCs w:val="18"/>
        </w:rPr>
        <w:footnoteRef/>
      </w:r>
      <w:r w:rsidRPr="00765797">
        <w:rPr>
          <w:rFonts w:cs="Times New Roman"/>
          <w:sz w:val="18"/>
          <w:szCs w:val="18"/>
        </w:rPr>
        <w:t>Interview with Rose, WP2.10, NGO Representative, Austria, February 2018</w:t>
      </w:r>
    </w:p>
  </w:footnote>
  <w:footnote w:id="96">
    <w:p w14:paraId="76D99BAA" w14:textId="6C1E8115" w:rsidR="00765797" w:rsidRPr="00765797" w:rsidRDefault="00765797" w:rsidP="00FA7EA1">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Interview with Danut, WP2.37, Sturgeon farmer and Caviar Producer, Romania, August 2018 </w:t>
      </w:r>
    </w:p>
    <w:p w14:paraId="309CD9DC" w14:textId="23F6E725" w:rsidR="00765797" w:rsidRPr="00765797" w:rsidRDefault="00765797" w:rsidP="00FA7EA1">
      <w:pPr>
        <w:pStyle w:val="Normal1"/>
        <w:spacing w:line="240" w:lineRule="auto"/>
        <w:rPr>
          <w:rFonts w:ascii="Times New Roman" w:hAnsi="Times New Roman" w:cs="Times New Roman"/>
          <w:sz w:val="18"/>
          <w:szCs w:val="18"/>
        </w:rPr>
      </w:pPr>
      <w:r w:rsidRPr="00765797">
        <w:rPr>
          <w:rFonts w:ascii="Times New Roman" w:hAnsi="Times New Roman" w:cs="Times New Roman"/>
          <w:sz w:val="18"/>
          <w:szCs w:val="18"/>
        </w:rPr>
        <w:t>See similar conclusions made in a 2017 report on ‘Combating Wildlife and Forest Crime in the Danube-Carpathian Region’</w:t>
      </w:r>
    </w:p>
    <w:p w14:paraId="65AADF7E" w14:textId="0C5E89D8" w:rsidR="00765797" w:rsidRPr="00765797" w:rsidRDefault="00765797" w:rsidP="00FA7EA1">
      <w:pPr>
        <w:pStyle w:val="Normal1"/>
        <w:spacing w:line="240" w:lineRule="auto"/>
        <w:rPr>
          <w:rFonts w:ascii="Times New Roman" w:hAnsi="Times New Roman" w:cs="Times New Roman"/>
          <w:sz w:val="18"/>
          <w:szCs w:val="18"/>
        </w:rPr>
      </w:pPr>
      <w:hyperlink r:id="rId44" w:history="1">
        <w:r w:rsidRPr="00765797">
          <w:rPr>
            <w:rStyle w:val="Hyperlink"/>
            <w:rFonts w:ascii="Times New Roman" w:hAnsi="Times New Roman" w:cs="Times New Roman"/>
            <w:color w:val="auto"/>
            <w:sz w:val="18"/>
            <w:szCs w:val="18"/>
          </w:rPr>
          <w:t>https://wedocs.unep.org/bitstream/handle/20.500.11822/22225/Combating_WildlifeCrime_Danube.pdf?sequence=1&amp;isAllowed=y</w:t>
        </w:r>
      </w:hyperlink>
      <w:r w:rsidRPr="00765797">
        <w:rPr>
          <w:rFonts w:ascii="Times New Roman" w:hAnsi="Times New Roman" w:cs="Times New Roman"/>
          <w:sz w:val="18"/>
          <w:szCs w:val="18"/>
        </w:rPr>
        <w:t xml:space="preserve"> [last accessed: 30.05.20]  and recent journalistic investigation ‘caviar, crime and corruption’  </w:t>
      </w:r>
      <w:hyperlink r:id="rId45" w:history="1">
        <w:r w:rsidRPr="00765797">
          <w:rPr>
            <w:rStyle w:val="Hyperlink"/>
            <w:rFonts w:ascii="Times New Roman" w:hAnsi="Times New Roman" w:cs="Times New Roman"/>
            <w:color w:val="auto"/>
            <w:sz w:val="18"/>
            <w:szCs w:val="18"/>
          </w:rPr>
          <w:t>https://oxpeckers.org/2019/10/caviar-crime-and-corruption/</w:t>
        </w:r>
      </w:hyperlink>
      <w:r w:rsidRPr="00765797">
        <w:rPr>
          <w:rFonts w:ascii="Times New Roman" w:hAnsi="Times New Roman" w:cs="Times New Roman"/>
          <w:sz w:val="18"/>
          <w:szCs w:val="18"/>
        </w:rPr>
        <w:t xml:space="preserve"> [last accessed: 30.05.20] </w:t>
      </w:r>
    </w:p>
  </w:footnote>
  <w:footnote w:id="97">
    <w:p w14:paraId="1535BEEC" w14:textId="0D5FE466" w:rsidR="00765797" w:rsidRPr="00765797" w:rsidRDefault="00765797" w:rsidP="00FA7EA1">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Juliani, WP2.27, NGO Coordinator, Romania, May 2018</w:t>
      </w:r>
    </w:p>
  </w:footnote>
  <w:footnote w:id="98">
    <w:p w14:paraId="49EA2871" w14:textId="32C9C691" w:rsidR="00765797" w:rsidRPr="00765797" w:rsidRDefault="00765797" w:rsidP="00FA7EA1">
      <w:pPr>
        <w:pStyle w:val="Normal1"/>
        <w:spacing w:line="240" w:lineRule="auto"/>
        <w:rPr>
          <w:sz w:val="20"/>
          <w:szCs w:val="20"/>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Michael, WP2.02, Ex-Enforcement Officer, UK, December 2017</w:t>
      </w:r>
    </w:p>
  </w:footnote>
  <w:footnote w:id="99">
    <w:p w14:paraId="0A584AD6" w14:textId="77777777" w:rsidR="00765797" w:rsidRPr="00765797" w:rsidRDefault="00765797" w:rsidP="00AC10E7">
      <w:pPr>
        <w:pStyle w:val="FootnoteText"/>
        <w:rPr>
          <w:rFonts w:cs="Times New Roman"/>
          <w:sz w:val="18"/>
          <w:szCs w:val="18"/>
        </w:rPr>
      </w:pPr>
      <w:r w:rsidRPr="00765797">
        <w:rPr>
          <w:rStyle w:val="FootnoteReference"/>
          <w:rFonts w:cs="Times New Roman"/>
          <w:sz w:val="18"/>
          <w:szCs w:val="18"/>
        </w:rPr>
        <w:footnoteRef/>
      </w:r>
      <w:r w:rsidRPr="00765797">
        <w:rPr>
          <w:rFonts w:cs="Times New Roman"/>
          <w:sz w:val="18"/>
          <w:szCs w:val="18"/>
        </w:rPr>
        <w:t xml:space="preserve"> It is imperative to note here that sturgeon population decline is commonly referenced, but there is a dearth of data to statistically demonstrate this. I was unable to locate any data sources that statistically account for sturgeon population decline in Europe. There does not appear to be any co-ordinated Pan European project to ascertain remaining sturgeon populations. There are localised projects for example in Romania, conducted by research institutes that are attempting to monitor population decline in the Danube Delta, amongst other things. As such, all references to sturgeon population decline made in this thesis are grounded in interview discussions with experts in the field.  </w:t>
      </w:r>
    </w:p>
    <w:p w14:paraId="79140FBD" w14:textId="68C57A45" w:rsidR="00765797" w:rsidRPr="00765797" w:rsidRDefault="00765797" w:rsidP="00AC10E7">
      <w:pPr>
        <w:pStyle w:val="FootnoteText"/>
        <w:rPr>
          <w:rFonts w:cs="Times New Roman"/>
          <w:sz w:val="18"/>
          <w:szCs w:val="18"/>
        </w:rPr>
      </w:pPr>
      <w:r w:rsidRPr="00765797">
        <w:rPr>
          <w:rFonts w:cs="Times New Roman"/>
          <w:sz w:val="18"/>
          <w:szCs w:val="18"/>
        </w:rPr>
        <w:t xml:space="preserve">The 2016 UNODC world wildlife crime report also noted that a current population estimate for sturgeon is not available </w:t>
      </w:r>
      <w:hyperlink r:id="rId46" w:history="1">
        <w:r w:rsidRPr="00765797">
          <w:rPr>
            <w:rStyle w:val="Hyperlink"/>
            <w:rFonts w:cs="Times New Roman"/>
            <w:color w:val="auto"/>
            <w:sz w:val="18"/>
            <w:szCs w:val="18"/>
          </w:rPr>
          <w:t>https://www.unodc.org/documents/data-and-analysis/wildlife/World_Wildlife_Crime_Report_2016_final.pdf</w:t>
        </w:r>
      </w:hyperlink>
      <w:r w:rsidRPr="00765797">
        <w:rPr>
          <w:rFonts w:cs="Times New Roman"/>
          <w:sz w:val="18"/>
          <w:szCs w:val="18"/>
        </w:rPr>
        <w:t xml:space="preserve"> [last accessed: 28.05.20]</w:t>
      </w:r>
    </w:p>
    <w:p w14:paraId="371E668C" w14:textId="0521B471" w:rsidR="00765797" w:rsidRPr="00765797" w:rsidRDefault="00765797" w:rsidP="00AC10E7">
      <w:pPr>
        <w:pStyle w:val="FootnoteText"/>
        <w:rPr>
          <w:rFonts w:cs="Times New Roman"/>
          <w:sz w:val="18"/>
          <w:szCs w:val="18"/>
        </w:rPr>
      </w:pPr>
      <w:r w:rsidRPr="00765797">
        <w:rPr>
          <w:rFonts w:cs="Times New Roman"/>
          <w:sz w:val="18"/>
          <w:szCs w:val="18"/>
        </w:rPr>
        <w:t xml:space="preserve">Some estimates suggest that just 1% of the sturgeon that once populated the Danube now roam in the wild. See ‘Decimated Danube: Sturgeon revival efforts neglect roots of poaching’ </w:t>
      </w:r>
      <w:hyperlink r:id="rId47" w:history="1">
        <w:r w:rsidRPr="00765797">
          <w:rPr>
            <w:rStyle w:val="Hyperlink"/>
            <w:rFonts w:cs="Times New Roman"/>
            <w:color w:val="auto"/>
            <w:sz w:val="18"/>
            <w:szCs w:val="18"/>
          </w:rPr>
          <w:t>https://balkaninsight.com/2020/05/20/decimated-danube-sturgeon-revival-efforts-neglect-roots-of-poaching/</w:t>
        </w:r>
      </w:hyperlink>
      <w:r w:rsidRPr="00765797">
        <w:rPr>
          <w:rFonts w:cs="Times New Roman"/>
          <w:sz w:val="18"/>
          <w:szCs w:val="18"/>
        </w:rPr>
        <w:t xml:space="preserve"> [last accessed 28.05.20] </w:t>
      </w:r>
    </w:p>
  </w:footnote>
  <w:footnote w:id="100">
    <w:p w14:paraId="2450C720" w14:textId="7AF087EC" w:rsidR="00765797" w:rsidRPr="00765797" w:rsidRDefault="00765797" w:rsidP="00AC10E7">
      <w:pPr>
        <w:pStyle w:val="FootnoteText"/>
        <w:rPr>
          <w:sz w:val="18"/>
          <w:szCs w:val="18"/>
        </w:rPr>
      </w:pPr>
      <w:r w:rsidRPr="00765797">
        <w:rPr>
          <w:rStyle w:val="FootnoteReference"/>
          <w:rFonts w:cs="Times New Roman"/>
          <w:sz w:val="18"/>
          <w:szCs w:val="18"/>
        </w:rPr>
        <w:footnoteRef/>
      </w:r>
      <w:r w:rsidRPr="00765797">
        <w:rPr>
          <w:rFonts w:cs="Times New Roman"/>
          <w:sz w:val="18"/>
          <w:szCs w:val="18"/>
        </w:rPr>
        <w:t xml:space="preserve">Sturgeon life cycles are long, and their maximum age can exceed over 100. As a result sturgeon require long-term recovery programmes that last several decades, and population management strategies that are adapted to their species biology and ecology. See Pan European Action Plan for Sturgeon (2018: 7) </w:t>
      </w:r>
      <w:hyperlink r:id="rId48" w:history="1">
        <w:r w:rsidRPr="00765797">
          <w:rPr>
            <w:rStyle w:val="Hyperlink"/>
            <w:rFonts w:cs="Times New Roman"/>
            <w:color w:val="auto"/>
            <w:sz w:val="18"/>
            <w:szCs w:val="18"/>
          </w:rPr>
          <w:t>https://rm.coe.int/pan-european-action-plan-for-sturgeons/16808e84f3</w:t>
        </w:r>
      </w:hyperlink>
      <w:r w:rsidRPr="00765797">
        <w:rPr>
          <w:rFonts w:cs="Times New Roman"/>
          <w:sz w:val="18"/>
          <w:szCs w:val="18"/>
        </w:rPr>
        <w:t xml:space="preserve"> [last accessed: 30.05.20]</w:t>
      </w:r>
      <w:r w:rsidRPr="00765797">
        <w:rPr>
          <w:sz w:val="18"/>
          <w:szCs w:val="18"/>
        </w:rPr>
        <w:t xml:space="preserve"> </w:t>
      </w:r>
    </w:p>
  </w:footnote>
  <w:footnote w:id="101">
    <w:p w14:paraId="49F3EE4A" w14:textId="688B5AF1" w:rsidR="00765797" w:rsidRPr="00765797" w:rsidRDefault="00765797" w:rsidP="00A6113F">
      <w:pPr>
        <w:pStyle w:val="FootnoteText"/>
        <w:rPr>
          <w:rFonts w:cs="Times New Roman"/>
          <w:sz w:val="18"/>
          <w:szCs w:val="18"/>
        </w:rPr>
      </w:pPr>
      <w:r w:rsidRPr="00765797">
        <w:rPr>
          <w:rStyle w:val="FootnoteReference"/>
          <w:rFonts w:cs="Times New Roman"/>
          <w:sz w:val="18"/>
          <w:szCs w:val="18"/>
        </w:rPr>
        <w:footnoteRef/>
      </w:r>
      <w:r w:rsidRPr="00765797">
        <w:rPr>
          <w:rFonts w:cs="Times New Roman"/>
          <w:sz w:val="18"/>
          <w:szCs w:val="18"/>
        </w:rPr>
        <w:t xml:space="preserve"> Interview with Rose, WP2.10, NGO Representative, Austria, February 2018</w:t>
      </w:r>
    </w:p>
    <w:p w14:paraId="1E873019" w14:textId="49597CDE" w:rsidR="00765797" w:rsidRPr="00765797" w:rsidRDefault="00765797" w:rsidP="0010546C">
      <w:pPr>
        <w:pStyle w:val="FootnoteText"/>
        <w:rPr>
          <w:rFonts w:cs="Times New Roman"/>
          <w:sz w:val="18"/>
          <w:szCs w:val="18"/>
        </w:rPr>
      </w:pPr>
      <w:r w:rsidRPr="00765797">
        <w:rPr>
          <w:rFonts w:cs="Times New Roman"/>
          <w:sz w:val="18"/>
          <w:szCs w:val="18"/>
        </w:rPr>
        <w:t xml:space="preserve">See also UNDOC (2016) World Wildlife Crime report which states that “from a conservation perspective, every individual taken today poses a high threat to the species than in the past” (pp.90) </w:t>
      </w:r>
      <w:hyperlink r:id="rId49" w:history="1">
        <w:r w:rsidRPr="00765797">
          <w:rPr>
            <w:rStyle w:val="Hyperlink"/>
            <w:rFonts w:cs="Times New Roman"/>
            <w:color w:val="auto"/>
            <w:sz w:val="18"/>
            <w:szCs w:val="18"/>
          </w:rPr>
          <w:t>https://www.unodc.org/documents/data-and-analysis/wildlife/World_Wildlife_Crime_Report_2016_final.pdf</w:t>
        </w:r>
      </w:hyperlink>
      <w:r w:rsidRPr="00765797">
        <w:rPr>
          <w:rFonts w:cs="Times New Roman"/>
          <w:sz w:val="18"/>
          <w:szCs w:val="18"/>
        </w:rPr>
        <w:t xml:space="preserve"> [last accessed: 28.05.20] </w:t>
      </w:r>
    </w:p>
  </w:footnote>
  <w:footnote w:id="102">
    <w:p w14:paraId="2E097AA7" w14:textId="361A0038" w:rsidR="00765797" w:rsidRPr="00765797" w:rsidRDefault="00765797" w:rsidP="00AC10E7">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Irini, WP2.26, NGO National Project Coordinator, Romania, May 2018</w:t>
      </w:r>
    </w:p>
  </w:footnote>
  <w:footnote w:id="103">
    <w:p w14:paraId="3CB3367B" w14:textId="6EDD2D26" w:rsidR="00765797" w:rsidRPr="00765797" w:rsidRDefault="00765797" w:rsidP="00AC10E7">
      <w:pPr>
        <w:pStyle w:val="Normal1"/>
        <w:spacing w:line="240" w:lineRule="auto"/>
        <w:rPr>
          <w:sz w:val="20"/>
          <w:szCs w:val="20"/>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Michael, WP2.02, Ex-Enforcement Officer, UK, December 2017</w:t>
      </w:r>
    </w:p>
  </w:footnote>
  <w:footnote w:id="104">
    <w:p w14:paraId="423DD00B" w14:textId="2014DC4C" w:rsidR="00765797" w:rsidRPr="00765797" w:rsidRDefault="00765797" w:rsidP="00AC10E7">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Michael, WP2.02, Ex-Enforcement Officer, UK, December 2017</w:t>
      </w:r>
    </w:p>
  </w:footnote>
  <w:footnote w:id="105">
    <w:p w14:paraId="58631B26" w14:textId="5B5409FA" w:rsidR="00765797" w:rsidRPr="00765797" w:rsidRDefault="00765797" w:rsidP="00AC10E7">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Sigrid, WP2.40, NGO Project Coordinator, Austria, May 2019</w:t>
      </w:r>
    </w:p>
  </w:footnote>
  <w:footnote w:id="106">
    <w:p w14:paraId="6D1562E2" w14:textId="61C0F770" w:rsidR="00765797" w:rsidRPr="00765797" w:rsidRDefault="00765797" w:rsidP="00AC10E7">
      <w:pPr>
        <w:pStyle w:val="Normal1"/>
        <w:spacing w:line="240" w:lineRule="auto"/>
        <w:rPr>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A recent conference on sturgeon conservation held in Romania in 2019, was entitled: ‘Conservation of Danube Sturgeons - a challenge or burden?’ Galati, Romania, 28-30 October 2019 </w:t>
      </w:r>
      <w:hyperlink r:id="rId50">
        <w:r w:rsidRPr="00765797">
          <w:rPr>
            <w:rFonts w:ascii="Times New Roman" w:hAnsi="Times New Roman" w:cs="Times New Roman"/>
            <w:sz w:val="18"/>
            <w:szCs w:val="18"/>
            <w:u w:val="single"/>
          </w:rPr>
          <w:t>http://www.sturgeon.ugal.ro/index.php/en/?fbclid=IwAR1RfsvP9WdaKDQAPma8ZgRO8PwAkEM0LzLriZcASiV8YytNSJ9PeywY2v0</w:t>
        </w:r>
      </w:hyperlink>
      <w:r w:rsidRPr="00765797">
        <w:rPr>
          <w:sz w:val="18"/>
          <w:szCs w:val="18"/>
        </w:rPr>
        <w:t xml:space="preserve"> </w:t>
      </w:r>
    </w:p>
  </w:footnote>
  <w:footnote w:id="107">
    <w:p w14:paraId="79BDBE64" w14:textId="6BBB4B1B" w:rsidR="00765797" w:rsidRPr="00765797" w:rsidRDefault="00765797" w:rsidP="00B97063">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Interview with Wilhelm, WP2.13, CITES Secretariat, (Skype interview) February 2018</w:t>
      </w:r>
    </w:p>
  </w:footnote>
  <w:footnote w:id="108">
    <w:p w14:paraId="7F3E0839" w14:textId="3D5A2E19" w:rsidR="00765797" w:rsidRPr="00765797" w:rsidRDefault="00765797" w:rsidP="00B97063">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Yvar, WP2.16, Researcher, Netherlands, March 2018</w:t>
      </w:r>
    </w:p>
  </w:footnote>
  <w:footnote w:id="109">
    <w:p w14:paraId="09CE6354" w14:textId="3A48DA09" w:rsidR="00765797" w:rsidRPr="00765797" w:rsidRDefault="00765797" w:rsidP="00B97063">
      <w:pPr>
        <w:pStyle w:val="FootnoteText"/>
        <w:rPr>
          <w:rFonts w:ascii="Cambria" w:hAnsi="Cambria"/>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Oliya, WP2.04, Co-founder caviar company, Belgium, February 2018</w:t>
      </w:r>
    </w:p>
  </w:footnote>
  <w:footnote w:id="110">
    <w:p w14:paraId="4DC5414A" w14:textId="10820F41" w:rsidR="00765797" w:rsidRPr="00765797" w:rsidRDefault="00765797" w:rsidP="00B97063">
      <w:pPr>
        <w:pStyle w:val="FootnoteText"/>
        <w:rPr>
          <w:sz w:val="18"/>
          <w:szCs w:val="18"/>
          <w:lang w:val="en-US"/>
        </w:rPr>
      </w:pPr>
      <w:r w:rsidRPr="00765797">
        <w:rPr>
          <w:rStyle w:val="FootnoteReference"/>
          <w:sz w:val="18"/>
          <w:szCs w:val="18"/>
        </w:rPr>
        <w:footnoteRef/>
      </w:r>
      <w:r w:rsidRPr="00765797">
        <w:rPr>
          <w:sz w:val="18"/>
          <w:szCs w:val="18"/>
        </w:rPr>
        <w:t xml:space="preserve"> Interview with Sigrid, WP2.40, NGO Project Manager, Austria, May 2018</w:t>
      </w:r>
    </w:p>
  </w:footnote>
  <w:footnote w:id="111">
    <w:p w14:paraId="2366A16E" w14:textId="77777777" w:rsidR="00765797" w:rsidRPr="00765797" w:rsidRDefault="00765797" w:rsidP="00FD585E">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Interview with Qerene, WP2.09, Biologist and Caviar Producer, February 2018</w:t>
      </w:r>
    </w:p>
  </w:footnote>
  <w:footnote w:id="112">
    <w:p w14:paraId="160DCFDB" w14:textId="4237B35D" w:rsidR="00765797" w:rsidRPr="00765797" w:rsidRDefault="00765797" w:rsidP="00FD585E">
      <w:pPr>
        <w:spacing w:line="240" w:lineRule="auto"/>
        <w:rPr>
          <w:rFonts w:cs="Times New Roman"/>
          <w:sz w:val="18"/>
          <w:szCs w:val="18"/>
        </w:rPr>
      </w:pPr>
      <w:r w:rsidRPr="00765797">
        <w:rPr>
          <w:rStyle w:val="FootnoteReference"/>
          <w:rFonts w:cs="Times New Roman"/>
          <w:sz w:val="18"/>
          <w:szCs w:val="18"/>
        </w:rPr>
        <w:footnoteRef/>
      </w:r>
      <w:r w:rsidRPr="00765797">
        <w:rPr>
          <w:rFonts w:cs="Times New Roman"/>
          <w:sz w:val="18"/>
          <w:szCs w:val="18"/>
        </w:rPr>
        <w:t xml:space="preserve"> Interview with Oliya, WP2.04, Caviar Producer, Belgium, February 2018. In contrast famed caviar producer Armen Petrossian is quoted in the Financial Times (2019) as saying that “good farmed caviar is virtually indistinguishable from the wild” see ‘Why is Caviar so expensive?’ </w:t>
      </w:r>
      <w:hyperlink r:id="rId51" w:history="1">
        <w:r w:rsidRPr="00765797">
          <w:rPr>
            <w:rStyle w:val="Hyperlink"/>
            <w:rFonts w:cs="Times New Roman"/>
            <w:color w:val="auto"/>
            <w:sz w:val="18"/>
            <w:szCs w:val="18"/>
          </w:rPr>
          <w:t>https://www.ft.com/content/88463cae-2f22-11e9-8744-e7016697f225</w:t>
        </w:r>
      </w:hyperlink>
      <w:r w:rsidRPr="00765797">
        <w:rPr>
          <w:rStyle w:val="Hyperlink"/>
          <w:rFonts w:cs="Times New Roman"/>
          <w:color w:val="auto"/>
          <w:sz w:val="18"/>
          <w:szCs w:val="18"/>
        </w:rPr>
        <w:t xml:space="preserve"> </w:t>
      </w:r>
      <w:r w:rsidRPr="00765797">
        <w:rPr>
          <w:rStyle w:val="Hyperlink"/>
          <w:rFonts w:cs="Times New Roman"/>
          <w:color w:val="auto"/>
          <w:sz w:val="18"/>
          <w:szCs w:val="18"/>
          <w:u w:val="none"/>
        </w:rPr>
        <w:t>[last accessed: 30.05.20]</w:t>
      </w:r>
    </w:p>
  </w:footnote>
  <w:footnote w:id="113">
    <w:p w14:paraId="7C59315E" w14:textId="53E37454" w:rsidR="00765797" w:rsidRPr="00765797" w:rsidRDefault="00765797" w:rsidP="00B97063">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Tom, WP2.33a, Operations Manager, Testing laboratory, UK, July 2018</w:t>
      </w:r>
    </w:p>
  </w:footnote>
  <w:footnote w:id="114">
    <w:p w14:paraId="04C7ED8C" w14:textId="57F2A43D" w:rsidR="00765797" w:rsidRPr="00765797" w:rsidRDefault="00765797" w:rsidP="00B97063">
      <w:pPr>
        <w:pStyle w:val="FootnoteText"/>
        <w:rPr>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Tom, WP2.33a, Operations Manager, Testing laboratory, UK, July 2018</w:t>
      </w:r>
    </w:p>
  </w:footnote>
  <w:footnote w:id="115">
    <w:p w14:paraId="04F0B3DC" w14:textId="4D3F22D2" w:rsidR="00765797" w:rsidRPr="00765797" w:rsidRDefault="00765797" w:rsidP="00B97063">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Vince, WP2.08, CITES Officer, UK, February 2018</w:t>
      </w:r>
    </w:p>
  </w:footnote>
  <w:footnote w:id="116">
    <w:p w14:paraId="2130A18A" w14:textId="0A27C276" w:rsidR="00765797" w:rsidRPr="00765797" w:rsidRDefault="00765797" w:rsidP="00B97063">
      <w:pPr>
        <w:pStyle w:val="FootnoteText"/>
        <w:rPr>
          <w:rFonts w:ascii="Cambria" w:hAnsi="Cambria"/>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Oliver, WP2.03, Intelligence Officer, UK, December 2017</w:t>
      </w:r>
    </w:p>
  </w:footnote>
  <w:footnote w:id="117">
    <w:p w14:paraId="61B201D3" w14:textId="4975BCAB" w:rsidR="00765797" w:rsidRPr="00765797" w:rsidRDefault="00765797" w:rsidP="00B97063">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Trevor, WP2.05, Customs Investigation Officer, Belgium, February 2018</w:t>
      </w:r>
    </w:p>
  </w:footnote>
  <w:footnote w:id="118">
    <w:p w14:paraId="04FCDB91" w14:textId="44D3D09A" w:rsidR="00765797" w:rsidRPr="00765797" w:rsidRDefault="00765797" w:rsidP="00B97063">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Joseph, WP2.33b, CEO, Testing Laboratory, UK, July 2018</w:t>
      </w:r>
    </w:p>
  </w:footnote>
  <w:footnote w:id="119">
    <w:p w14:paraId="55BA09D9" w14:textId="5D376230" w:rsidR="00765797" w:rsidRPr="00765797" w:rsidRDefault="00765797">
      <w:pPr>
        <w:pStyle w:val="FootnoteText"/>
        <w:rPr>
          <w:sz w:val="18"/>
          <w:szCs w:val="18"/>
          <w:lang w:val="en-US"/>
        </w:rPr>
      </w:pPr>
      <w:r w:rsidRPr="00765797">
        <w:rPr>
          <w:rStyle w:val="FootnoteReference"/>
          <w:sz w:val="18"/>
          <w:szCs w:val="18"/>
        </w:rPr>
        <w:footnoteRef/>
      </w:r>
      <w:r w:rsidRPr="00765797">
        <w:rPr>
          <w:sz w:val="18"/>
          <w:szCs w:val="18"/>
        </w:rPr>
        <w:t xml:space="preserve"> </w:t>
      </w:r>
      <w:r w:rsidRPr="00765797">
        <w:rPr>
          <w:sz w:val="18"/>
          <w:szCs w:val="18"/>
          <w:lang w:val="en-US"/>
        </w:rPr>
        <w:t>See also 2013 report from TRAFFIC on illegal caviar trade in Romania and Bulgaria. This report identifies instances of mislabeling of caviar in these two countries, and calls for more widespread stable isotope testing of caviar.</w:t>
      </w:r>
    </w:p>
    <w:p w14:paraId="7227955B" w14:textId="1593ABED" w:rsidR="00765797" w:rsidRPr="00765797" w:rsidRDefault="00765797">
      <w:pPr>
        <w:pStyle w:val="FootnoteText"/>
        <w:rPr>
          <w:sz w:val="18"/>
          <w:szCs w:val="18"/>
          <w:lang w:val="en-US"/>
        </w:rPr>
      </w:pPr>
      <w:r w:rsidRPr="00765797">
        <w:rPr>
          <w:sz w:val="18"/>
          <w:szCs w:val="18"/>
          <w:lang w:val="en-US"/>
        </w:rPr>
        <w:t xml:space="preserve"> </w:t>
      </w:r>
      <w:hyperlink r:id="rId52" w:history="1">
        <w:r w:rsidRPr="00765797">
          <w:rPr>
            <w:rStyle w:val="Hyperlink"/>
            <w:color w:val="auto"/>
            <w:sz w:val="18"/>
            <w:szCs w:val="18"/>
            <w:lang w:val="en-US"/>
          </w:rPr>
          <w:t>https://www.traffic.org/site/assets/files/2593/illegal_caviar_trade_bulgaria_romania_report.pdf</w:t>
        </w:r>
      </w:hyperlink>
      <w:r w:rsidRPr="00765797">
        <w:rPr>
          <w:sz w:val="18"/>
          <w:szCs w:val="18"/>
          <w:lang w:val="en-US"/>
        </w:rPr>
        <w:t xml:space="preserve">  [last accessed: 30.05.20] </w:t>
      </w:r>
    </w:p>
  </w:footnote>
  <w:footnote w:id="120">
    <w:p w14:paraId="737FE9F8" w14:textId="64DA557F" w:rsidR="00765797" w:rsidRPr="00765797" w:rsidRDefault="00765797" w:rsidP="00B97063">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Irini, NGO National Project Coordinator, Romania, May 2018</w:t>
      </w:r>
    </w:p>
  </w:footnote>
  <w:footnote w:id="121">
    <w:p w14:paraId="0D3FB3F3" w14:textId="0CF66DAE" w:rsidR="00765797" w:rsidRPr="00765797" w:rsidRDefault="00765797" w:rsidP="00B97063">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Irini, NGO National Project Coordinator, Romania, May 2018</w:t>
      </w:r>
    </w:p>
    <w:p w14:paraId="13147BBC" w14:textId="37B1715F" w:rsidR="00765797" w:rsidRPr="00765797" w:rsidRDefault="00765797" w:rsidP="00B97063">
      <w:pPr>
        <w:pStyle w:val="FootnoteText"/>
        <w:rPr>
          <w:rFonts w:cs="Times New Roman"/>
          <w:sz w:val="18"/>
          <w:szCs w:val="18"/>
          <w:lang w:val="en-US"/>
        </w:rPr>
      </w:pPr>
      <w:r w:rsidRPr="00765797">
        <w:rPr>
          <w:rFonts w:cs="Times New Roman"/>
          <w:sz w:val="18"/>
          <w:szCs w:val="18"/>
          <w:lang w:val="en-US"/>
        </w:rPr>
        <w:t xml:space="preserve">See also, results regarding issues with caviar labeling in the joint WWF and TRAFFIC (2018) report ‘Understanding the Global caviar market’ </w:t>
      </w:r>
    </w:p>
    <w:p w14:paraId="50415130" w14:textId="7B499034" w:rsidR="00765797" w:rsidRPr="00765797" w:rsidRDefault="00765797" w:rsidP="00B97063">
      <w:pPr>
        <w:pStyle w:val="FootnoteText"/>
        <w:rPr>
          <w:rFonts w:cs="Times New Roman"/>
          <w:sz w:val="18"/>
          <w:szCs w:val="18"/>
          <w:lang w:val="en-US"/>
        </w:rPr>
      </w:pPr>
      <w:hyperlink r:id="rId53" w:history="1">
        <w:r w:rsidRPr="00765797">
          <w:rPr>
            <w:rStyle w:val="Hyperlink"/>
            <w:rFonts w:cs="Times New Roman"/>
            <w:color w:val="auto"/>
            <w:sz w:val="18"/>
            <w:szCs w:val="18"/>
            <w:lang w:val="en-US"/>
          </w:rPr>
          <w:t>https://c402277.ssl.cf1.rackcdn.com/publications/1166/files/original/global-caviar-market.pdf?1531850427</w:t>
        </w:r>
      </w:hyperlink>
      <w:r w:rsidRPr="00765797">
        <w:rPr>
          <w:rFonts w:cs="Times New Roman"/>
          <w:sz w:val="18"/>
          <w:szCs w:val="18"/>
          <w:lang w:val="en-US"/>
        </w:rPr>
        <w:t xml:space="preserve"> [Last accessed: 30.05.20] </w:t>
      </w:r>
    </w:p>
  </w:footnote>
  <w:footnote w:id="122">
    <w:p w14:paraId="7DC6835B" w14:textId="33B451C6" w:rsidR="00765797" w:rsidRPr="00765797" w:rsidRDefault="00765797">
      <w:pPr>
        <w:pStyle w:val="FootnoteText"/>
        <w:rPr>
          <w:lang w:val="en-US"/>
        </w:rPr>
      </w:pPr>
      <w:r w:rsidRPr="00765797">
        <w:rPr>
          <w:rStyle w:val="FootnoteReference"/>
          <w:sz w:val="18"/>
          <w:szCs w:val="18"/>
        </w:rPr>
        <w:footnoteRef/>
      </w:r>
      <w:r w:rsidRPr="00765797">
        <w:rPr>
          <w:sz w:val="18"/>
          <w:szCs w:val="18"/>
        </w:rPr>
        <w:t xml:space="preserve"> </w:t>
      </w:r>
      <w:r w:rsidRPr="00765797">
        <w:rPr>
          <w:rFonts w:cs="Times New Roman"/>
          <w:sz w:val="18"/>
          <w:szCs w:val="18"/>
          <w:lang w:val="en-US"/>
        </w:rPr>
        <w:t>Interview with Sigrid, WP2.40, Project Manager, NGO, Austria, May 2019</w:t>
      </w:r>
    </w:p>
  </w:footnote>
  <w:footnote w:id="123">
    <w:p w14:paraId="444E3132" w14:textId="53821093" w:rsidR="00765797" w:rsidRPr="00765797" w:rsidRDefault="00765797" w:rsidP="00B97063">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Vince, WP2.08, CITES Officer, UK, February 2018</w:t>
      </w:r>
    </w:p>
  </w:footnote>
  <w:footnote w:id="124">
    <w:p w14:paraId="6885C47C" w14:textId="45226438" w:rsidR="00765797" w:rsidRPr="00765797" w:rsidRDefault="00765797">
      <w:pPr>
        <w:pStyle w:val="FootnoteText"/>
        <w:rPr>
          <w:sz w:val="18"/>
          <w:szCs w:val="18"/>
          <w:lang w:val="en-US"/>
        </w:rPr>
      </w:pPr>
      <w:r w:rsidRPr="00765797">
        <w:rPr>
          <w:rStyle w:val="FootnoteReference"/>
          <w:sz w:val="18"/>
          <w:szCs w:val="18"/>
        </w:rPr>
        <w:footnoteRef/>
      </w:r>
      <w:r w:rsidRPr="00765797">
        <w:rPr>
          <w:sz w:val="18"/>
          <w:szCs w:val="18"/>
        </w:rPr>
        <w:t xml:space="preserve"> </w:t>
      </w:r>
      <w:r w:rsidRPr="00765797">
        <w:rPr>
          <w:rFonts w:cs="Times New Roman"/>
          <w:sz w:val="18"/>
          <w:szCs w:val="18"/>
          <w:lang w:val="en-US"/>
        </w:rPr>
        <w:t>Interview with Tom, WP2.33a, Operations Manager, Testing laboratory, UK, July 2018</w:t>
      </w:r>
    </w:p>
  </w:footnote>
  <w:footnote w:id="125">
    <w:p w14:paraId="23081926" w14:textId="78BC6334" w:rsidR="00765797" w:rsidRPr="00765797" w:rsidRDefault="00765797" w:rsidP="000B08BF">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Yvar, WP2.16, Researcher, Netherlands, March 2018</w:t>
      </w:r>
    </w:p>
  </w:footnote>
  <w:footnote w:id="126">
    <w:p w14:paraId="34B9531A" w14:textId="16283A97" w:rsidR="00765797" w:rsidRPr="00765797" w:rsidRDefault="00765797" w:rsidP="000B08BF">
      <w:pPr>
        <w:spacing w:line="240" w:lineRule="auto"/>
        <w:rPr>
          <w:rFonts w:eastAsia="Times New Roman" w:cs="Times New Roman"/>
          <w:sz w:val="18"/>
          <w:szCs w:val="18"/>
        </w:rPr>
      </w:pPr>
      <w:r w:rsidRPr="00765797">
        <w:rPr>
          <w:rStyle w:val="FootnoteReference"/>
          <w:sz w:val="18"/>
          <w:szCs w:val="18"/>
        </w:rPr>
        <w:footnoteRef/>
      </w:r>
      <w:r w:rsidRPr="00765797">
        <w:rPr>
          <w:rFonts w:cs="Times New Roman"/>
          <w:sz w:val="18"/>
          <w:szCs w:val="18"/>
        </w:rPr>
        <w:t xml:space="preserve"> </w:t>
      </w:r>
      <w:r w:rsidRPr="00765797">
        <w:rPr>
          <w:rFonts w:eastAsia="Times New Roman" w:cs="Times New Roman"/>
          <w:sz w:val="18"/>
          <w:szCs w:val="18"/>
        </w:rPr>
        <w:t xml:space="preserve">Interview with Tom, WP2.33a, Operations Manager, Testing Laboratory, UK, July 2018. Another illustrative example is trade in lions and lion bone. Lions are listed on Appendix II of CITES, so some forms of trade are legitimate with a CITES export permit. However, there are grey areas in the industry and suspected illegal practices. See following article: </w:t>
      </w:r>
      <w:hyperlink r:id="rId54" w:history="1">
        <w:r w:rsidRPr="00765797">
          <w:rPr>
            <w:rStyle w:val="Hyperlink"/>
            <w:rFonts w:eastAsia="Times New Roman" w:cs="Times New Roman"/>
            <w:color w:val="auto"/>
            <w:sz w:val="18"/>
            <w:szCs w:val="18"/>
          </w:rPr>
          <w:t>https://www.nationalgeographic.co.uk/animals/2019/11/exclusive-inside-controversial-south-african-lion-farm</w:t>
        </w:r>
      </w:hyperlink>
      <w:r w:rsidRPr="00765797">
        <w:rPr>
          <w:rFonts w:eastAsia="Times New Roman" w:cs="Times New Roman"/>
          <w:sz w:val="18"/>
          <w:szCs w:val="18"/>
        </w:rPr>
        <w:t xml:space="preserve">[last accessed: 30.05.20] </w:t>
      </w:r>
      <w:r w:rsidRPr="00765797">
        <w:rPr>
          <w:rFonts w:eastAsia="Times New Roman" w:cs="Times New Roman"/>
          <w:sz w:val="18"/>
          <w:szCs w:val="18"/>
        </w:rPr>
        <w:br/>
        <w:t xml:space="preserve">See also the following blog-post that describes some of the complexities of timber trade and illegal logging in the EU, where some forms of logging are criminalised, but others are not. This makes enforcement against illegal logging difficult, and illegal timber is able to enter legal EU markets without detection. </w:t>
      </w:r>
      <w:hyperlink r:id="rId55" w:history="1">
        <w:r w:rsidRPr="00765797">
          <w:rPr>
            <w:rStyle w:val="Hyperlink"/>
            <w:rFonts w:eastAsia="Times New Roman" w:cs="Times New Roman"/>
            <w:color w:val="auto"/>
            <w:sz w:val="18"/>
            <w:szCs w:val="18"/>
          </w:rPr>
          <w:t>https://biosecproject.org/2020/05/19/blog-criminalisation-crisis-narratives-and-the-commission-the-fight-against-deforestation-in-europe/</w:t>
        </w:r>
      </w:hyperlink>
      <w:r w:rsidRPr="00765797">
        <w:rPr>
          <w:rFonts w:eastAsia="Times New Roman" w:cs="Times New Roman"/>
          <w:sz w:val="18"/>
          <w:szCs w:val="18"/>
        </w:rPr>
        <w:t xml:space="preserve"> [last accessed: 30.05.20] </w:t>
      </w:r>
    </w:p>
  </w:footnote>
  <w:footnote w:id="127">
    <w:p w14:paraId="59BF5E64" w14:textId="23872EF4" w:rsidR="00765797" w:rsidRPr="00765797" w:rsidRDefault="00765797">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Interview with Sigrid, WP2.40, NGO Project Coordinator, Austria, May 2019. The ‘Blackwashing’ or ‘reverse-laundering’ of farmed caviar being sold as ‘wild’ is also reported by Van Uhm &amp; Siegel in their 2016 article: ‘The illegal trade in Black Caviar’ </w:t>
      </w:r>
      <w:hyperlink r:id="rId56" w:history="1">
        <w:r w:rsidRPr="00765797">
          <w:rPr>
            <w:rStyle w:val="Hyperlink"/>
            <w:rFonts w:cs="Times New Roman"/>
            <w:color w:val="auto"/>
            <w:sz w:val="18"/>
            <w:szCs w:val="18"/>
          </w:rPr>
          <w:t>https://link.springer.com/article/10.1007/s12117-016-9264-5</w:t>
        </w:r>
      </w:hyperlink>
      <w:r w:rsidRPr="00765797">
        <w:rPr>
          <w:rFonts w:cs="Times New Roman"/>
          <w:sz w:val="18"/>
          <w:szCs w:val="18"/>
        </w:rPr>
        <w:t xml:space="preserve"> [last accessed: 30.05.20] </w:t>
      </w:r>
    </w:p>
  </w:footnote>
  <w:footnote w:id="128">
    <w:p w14:paraId="63F49604" w14:textId="4CF77A8D" w:rsidR="00765797" w:rsidRPr="00765797" w:rsidRDefault="00765797" w:rsidP="005D27C5">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Yvar, WP2.16, Researcher, Netherlands, March 2018</w:t>
      </w:r>
    </w:p>
  </w:footnote>
  <w:footnote w:id="129">
    <w:p w14:paraId="392C0FDD" w14:textId="58662C58" w:rsidR="00765797" w:rsidRPr="00765797" w:rsidRDefault="00765797" w:rsidP="005D27C5">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Tom and Joseph, WP2.33, Testing Laboratory, UK, July 2018</w:t>
      </w:r>
    </w:p>
  </w:footnote>
  <w:footnote w:id="130">
    <w:p w14:paraId="6A696727" w14:textId="5F41AC08" w:rsidR="00765797" w:rsidRPr="00765797" w:rsidRDefault="00765797" w:rsidP="005D27C5">
      <w:pPr>
        <w:spacing w:line="240" w:lineRule="auto"/>
        <w:rPr>
          <w:rFonts w:eastAsia="Times New Roman" w:cs="Times New Roman"/>
          <w:sz w:val="18"/>
          <w:szCs w:val="18"/>
        </w:rPr>
      </w:pPr>
      <w:r w:rsidRPr="00765797">
        <w:rPr>
          <w:rStyle w:val="FootnoteReference"/>
          <w:sz w:val="18"/>
          <w:szCs w:val="18"/>
        </w:rPr>
        <w:footnoteRef/>
      </w:r>
      <w:r w:rsidRPr="00765797">
        <w:rPr>
          <w:rFonts w:cs="Times New Roman"/>
          <w:sz w:val="18"/>
          <w:szCs w:val="18"/>
        </w:rPr>
        <w:t xml:space="preserve"> </w:t>
      </w:r>
      <w:r w:rsidRPr="00765797">
        <w:rPr>
          <w:rFonts w:eastAsia="Times New Roman" w:cs="Times New Roman"/>
          <w:sz w:val="18"/>
          <w:szCs w:val="18"/>
        </w:rPr>
        <w:t xml:space="preserve">Interview with Qerene, WP2.09, Biologist and Caviar Producer, Belgium, February 2018. See also a 2013 TRAFFIC report into illegal caviar trade in Bulgaria and Romania. This report details allegations in Romania that wild sturgeon legally caught for breeding purposes are not released but unlawfully retained in farms and even killed to sell caviar. </w:t>
      </w:r>
      <w:hyperlink r:id="rId57" w:history="1">
        <w:r w:rsidRPr="00765797">
          <w:rPr>
            <w:rStyle w:val="Hyperlink"/>
            <w:rFonts w:eastAsia="Times New Roman" w:cs="Times New Roman"/>
            <w:color w:val="auto"/>
            <w:sz w:val="18"/>
            <w:szCs w:val="18"/>
          </w:rPr>
          <w:t>https://d2ouvy59p0dg6k.cloudfront.net/downloads/illegal_caviar_trade_in_bulgaria_and_romania__1_.pdf</w:t>
        </w:r>
      </w:hyperlink>
      <w:r w:rsidRPr="00765797">
        <w:rPr>
          <w:rFonts w:eastAsia="Times New Roman" w:cs="Times New Roman"/>
          <w:sz w:val="18"/>
          <w:szCs w:val="18"/>
        </w:rPr>
        <w:t xml:space="preserve"> [last accessed: 30.05.20] </w:t>
      </w:r>
    </w:p>
  </w:footnote>
  <w:footnote w:id="131">
    <w:p w14:paraId="68A72326" w14:textId="77777777" w:rsidR="00765797" w:rsidRPr="00765797" w:rsidRDefault="00765797" w:rsidP="00B97063">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Traditionally caviar is repackaged from 1.8kg or 1kg ‘Mother tins’ sent to repacking facilities straight from producers. These tins are also known colloquially as caviar’s ‘wine barrels’. </w:t>
      </w:r>
    </w:p>
  </w:footnote>
  <w:footnote w:id="132">
    <w:p w14:paraId="6EFC5CCB" w14:textId="7E99B694" w:rsidR="00765797" w:rsidRPr="00765797" w:rsidRDefault="00765797" w:rsidP="00B97063">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Irini, WP2.26, NGO National Project Coordinator, Romania May 2018</w:t>
      </w:r>
    </w:p>
  </w:footnote>
  <w:footnote w:id="133">
    <w:p w14:paraId="1D4A1910" w14:textId="72767DA5" w:rsidR="00765797" w:rsidRPr="00765797" w:rsidRDefault="00765797" w:rsidP="00B97063">
      <w:pPr>
        <w:pStyle w:val="FootnoteText"/>
        <w:rPr>
          <w:rFonts w:cs="Times New Roman"/>
          <w:sz w:val="18"/>
          <w:szCs w:val="18"/>
        </w:rPr>
      </w:pPr>
      <w:r w:rsidRPr="00765797">
        <w:rPr>
          <w:rStyle w:val="FootnoteReference"/>
          <w:sz w:val="18"/>
          <w:szCs w:val="18"/>
        </w:rPr>
        <w:footnoteRef/>
      </w:r>
      <w:r w:rsidRPr="00765797">
        <w:rPr>
          <w:rFonts w:cs="Times New Roman"/>
          <w:sz w:val="18"/>
          <w:szCs w:val="18"/>
        </w:rPr>
        <w:t xml:space="preserve"> A 2019 financial times report notes that “a lot of caviar is shipped and repackaged by middlemen and brokers in third or fourth countries and inevitably some is fraudulently described.”</w:t>
      </w:r>
    </w:p>
    <w:p w14:paraId="6280B87A" w14:textId="46BF131C" w:rsidR="00765797" w:rsidRPr="00765797" w:rsidRDefault="00765797" w:rsidP="00B97063">
      <w:pPr>
        <w:pStyle w:val="FootnoteText"/>
        <w:rPr>
          <w:rFonts w:cs="Times New Roman"/>
          <w:sz w:val="18"/>
          <w:szCs w:val="18"/>
          <w:lang w:val="en-US"/>
        </w:rPr>
      </w:pPr>
      <w:r w:rsidRPr="00765797">
        <w:rPr>
          <w:rFonts w:cs="Times New Roman"/>
          <w:sz w:val="18"/>
          <w:szCs w:val="18"/>
        </w:rPr>
        <w:t>See:‘Why is caviar so expensive?’</w:t>
      </w:r>
      <w:hyperlink r:id="rId58" w:history="1">
        <w:r w:rsidRPr="00765797">
          <w:rPr>
            <w:rStyle w:val="Hyperlink"/>
            <w:rFonts w:cs="Times New Roman"/>
            <w:color w:val="auto"/>
            <w:sz w:val="18"/>
            <w:szCs w:val="18"/>
          </w:rPr>
          <w:t>https://www.ft.com/content/88463cae-2f22-11e9-8744-e7016697f225</w:t>
        </w:r>
      </w:hyperlink>
      <w:r w:rsidRPr="00765797">
        <w:rPr>
          <w:rFonts w:cs="Times New Roman"/>
          <w:sz w:val="18"/>
          <w:szCs w:val="18"/>
        </w:rPr>
        <w:t xml:space="preserve"> [last accessed: 30.05.20]</w:t>
      </w:r>
    </w:p>
  </w:footnote>
  <w:footnote w:id="134">
    <w:p w14:paraId="7F320D56" w14:textId="6FCD1AF7" w:rsidR="00765797" w:rsidRPr="00765797" w:rsidRDefault="00765797" w:rsidP="00B97063">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Qerene, WP2.09, Biologist and Caviar Producer, Belgium, February 2018</w:t>
      </w:r>
    </w:p>
  </w:footnote>
  <w:footnote w:id="135">
    <w:p w14:paraId="3E36A776" w14:textId="2A905856" w:rsidR="00765797" w:rsidRPr="00765797" w:rsidRDefault="00765797" w:rsidP="00B97063">
      <w:pPr>
        <w:pStyle w:val="FootnoteText"/>
        <w:rPr>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Qerene, WP2.09, Biologist and Caviar Producer, Belgium, February 2018</w:t>
      </w:r>
    </w:p>
  </w:footnote>
  <w:footnote w:id="136">
    <w:p w14:paraId="1B383532" w14:textId="6C003A63" w:rsidR="00765797" w:rsidRPr="00765797" w:rsidRDefault="00765797">
      <w:pPr>
        <w:pStyle w:val="FootnoteText"/>
        <w:rPr>
          <w:sz w:val="18"/>
          <w:szCs w:val="18"/>
          <w:lang w:val="en-US"/>
        </w:rPr>
      </w:pPr>
      <w:r w:rsidRPr="00765797">
        <w:rPr>
          <w:rStyle w:val="FootnoteReference"/>
          <w:sz w:val="18"/>
          <w:szCs w:val="18"/>
        </w:rPr>
        <w:footnoteRef/>
      </w:r>
      <w:r w:rsidRPr="00765797">
        <w:rPr>
          <w:sz w:val="18"/>
          <w:szCs w:val="18"/>
        </w:rPr>
        <w:t xml:space="preserve"> Van Uhm &amp; Siegel (2016) note that illegal Russian caviar has been smuggled into Europe after being repackaged with legal Iranian caviar. </w:t>
      </w:r>
      <w:r w:rsidRPr="00765797">
        <w:rPr>
          <w:rFonts w:cs="Times New Roman"/>
          <w:sz w:val="18"/>
          <w:szCs w:val="18"/>
        </w:rPr>
        <w:t xml:space="preserve">‘The illegal trade in Black Caviar’ </w:t>
      </w:r>
      <w:hyperlink r:id="rId59" w:history="1">
        <w:r w:rsidRPr="00765797">
          <w:rPr>
            <w:rStyle w:val="Hyperlink"/>
            <w:rFonts w:cs="Times New Roman"/>
            <w:color w:val="auto"/>
            <w:sz w:val="18"/>
            <w:szCs w:val="18"/>
          </w:rPr>
          <w:t>https://link.springer.com/article/10.1007/s12117-016-9264-5</w:t>
        </w:r>
      </w:hyperlink>
      <w:r w:rsidRPr="00765797">
        <w:rPr>
          <w:rFonts w:cs="Times New Roman"/>
          <w:sz w:val="18"/>
          <w:szCs w:val="18"/>
        </w:rPr>
        <w:t xml:space="preserve"> [last accessed: 30.05.20]</w:t>
      </w:r>
    </w:p>
  </w:footnote>
  <w:footnote w:id="137">
    <w:p w14:paraId="51C32039" w14:textId="2A9CF566" w:rsidR="00765797" w:rsidRPr="00765797" w:rsidRDefault="00765797" w:rsidP="00B97063">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 xml:space="preserve">Interview with Yvar, WP2.16, Researcher, Netherlands, March 2018 </w:t>
      </w:r>
    </w:p>
  </w:footnote>
  <w:footnote w:id="138">
    <w:p w14:paraId="45B81A0D" w14:textId="42F85535" w:rsidR="00765797" w:rsidRPr="00765797" w:rsidRDefault="00765797" w:rsidP="00B97063">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 xml:space="preserve">Interview with Yvar, WP2.16, Researcher, Netherlands, March 2018 </w:t>
      </w:r>
    </w:p>
  </w:footnote>
  <w:footnote w:id="139">
    <w:p w14:paraId="42CC3B6A" w14:textId="413BA682" w:rsidR="00765797" w:rsidRPr="00765797" w:rsidRDefault="00765797" w:rsidP="00B97063">
      <w:pPr>
        <w:pStyle w:val="FootnoteText"/>
        <w:rPr>
          <w:sz w:val="18"/>
          <w:szCs w:val="18"/>
        </w:rPr>
      </w:pPr>
      <w:r w:rsidRPr="00765797">
        <w:rPr>
          <w:rStyle w:val="FootnoteReference"/>
          <w:sz w:val="18"/>
          <w:szCs w:val="18"/>
        </w:rPr>
        <w:footnoteRef/>
      </w:r>
      <w:r w:rsidRPr="00765797">
        <w:rPr>
          <w:rFonts w:cs="Times New Roman"/>
          <w:sz w:val="18"/>
          <w:szCs w:val="18"/>
        </w:rPr>
        <w:t xml:space="preserve"> Interview with Wilhelm, WP2.13, CITES Secretariat, (Skype interview), February 2018</w:t>
      </w:r>
    </w:p>
  </w:footnote>
  <w:footnote w:id="140">
    <w:p w14:paraId="3010316B" w14:textId="4EF1100A" w:rsidR="00765797" w:rsidRPr="00765797" w:rsidRDefault="00765797" w:rsidP="007D2A86">
      <w:pPr>
        <w:rPr>
          <w:sz w:val="18"/>
          <w:szCs w:val="18"/>
        </w:rPr>
      </w:pPr>
      <w:r w:rsidRPr="00765797">
        <w:rPr>
          <w:rStyle w:val="FootnoteReference"/>
          <w:sz w:val="18"/>
          <w:szCs w:val="18"/>
        </w:rPr>
        <w:footnoteRef/>
      </w:r>
      <w:r w:rsidRPr="00765797">
        <w:rPr>
          <w:rFonts w:cs="Times New Roman"/>
          <w:sz w:val="18"/>
          <w:szCs w:val="18"/>
        </w:rPr>
        <w:t xml:space="preserve"> </w:t>
      </w:r>
      <w:r w:rsidRPr="00765797">
        <w:rPr>
          <w:sz w:val="18"/>
          <w:szCs w:val="18"/>
        </w:rPr>
        <w:t>Interview with Vince, WP2.08, CITES Officer, UK, February 2018</w:t>
      </w:r>
    </w:p>
  </w:footnote>
  <w:footnote w:id="141">
    <w:p w14:paraId="78449C86" w14:textId="77329230" w:rsidR="00765797" w:rsidRPr="00765797" w:rsidRDefault="00765797" w:rsidP="00B97063">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 xml:space="preserve">Interview with Qerene, WP2.09, Biologist and Caviar producer, Belgium, February, 2018 </w:t>
      </w:r>
    </w:p>
  </w:footnote>
  <w:footnote w:id="142">
    <w:p w14:paraId="7B35CBE5" w14:textId="5F2E1E5F" w:rsidR="00765797" w:rsidRPr="00765797" w:rsidRDefault="00765797" w:rsidP="00B97063">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 xml:space="preserve">Interview with Yvar, WP2.16, Researcher, Netherlands, March 2018 </w:t>
      </w:r>
    </w:p>
  </w:footnote>
  <w:footnote w:id="143">
    <w:p w14:paraId="59DBFCE9" w14:textId="27E6FE6B" w:rsidR="00765797" w:rsidRPr="00765797" w:rsidRDefault="00765797" w:rsidP="00B97063">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Informal conversation with Sigrid, WP2.40 at ISS8, September 2017</w:t>
      </w:r>
    </w:p>
  </w:footnote>
  <w:footnote w:id="144">
    <w:p w14:paraId="67826610" w14:textId="5801CD9C" w:rsidR="00765797" w:rsidRPr="00765797" w:rsidRDefault="00765797" w:rsidP="00B97063">
      <w:pPr>
        <w:pStyle w:val="FootnoteText"/>
        <w:rPr>
          <w:rFonts w:cs="Times New Roman"/>
          <w:sz w:val="18"/>
          <w:szCs w:val="18"/>
        </w:rPr>
      </w:pPr>
      <w:r w:rsidRPr="00765797">
        <w:rPr>
          <w:rStyle w:val="FootnoteReference"/>
          <w:sz w:val="18"/>
          <w:szCs w:val="18"/>
        </w:rPr>
        <w:footnoteRef/>
      </w:r>
      <w:r w:rsidRPr="00765797">
        <w:rPr>
          <w:rFonts w:cs="Times New Roman"/>
          <w:sz w:val="18"/>
          <w:szCs w:val="18"/>
        </w:rPr>
        <w:t xml:space="preserve"> Interview with Oliya, WP2.04, Caviar Producer, Belgium, February 2018</w:t>
      </w:r>
    </w:p>
    <w:p w14:paraId="2738BE7A" w14:textId="0D08D14A" w:rsidR="00765797" w:rsidRPr="00765797" w:rsidRDefault="00765797" w:rsidP="00193622">
      <w:pPr>
        <w:pStyle w:val="FootnoteText"/>
        <w:rPr>
          <w:rFonts w:cs="Times New Roman"/>
          <w:sz w:val="18"/>
          <w:szCs w:val="18"/>
        </w:rPr>
      </w:pPr>
      <w:r w:rsidRPr="00765797">
        <w:rPr>
          <w:rFonts w:cs="Times New Roman"/>
          <w:sz w:val="18"/>
          <w:szCs w:val="18"/>
        </w:rPr>
        <w:t xml:space="preserve">The use of false company names on caviar tins is also mentioned in Van Uhm &amp; Siegel’s (2016) article, where they reference the ‘bogus’ </w:t>
      </w:r>
      <w:r w:rsidRPr="00765797">
        <w:rPr>
          <w:rFonts w:cs="Times New Roman"/>
          <w:i/>
          <w:sz w:val="18"/>
          <w:szCs w:val="18"/>
        </w:rPr>
        <w:t>Russian Ministry of Fishery</w:t>
      </w:r>
      <w:r w:rsidRPr="00765797">
        <w:rPr>
          <w:rFonts w:cs="Times New Roman"/>
          <w:sz w:val="18"/>
          <w:szCs w:val="18"/>
        </w:rPr>
        <w:t xml:space="preserve">, listed as the producer on the tins. ‘The illegal trade in Black Caviar’ </w:t>
      </w:r>
      <w:hyperlink r:id="rId60" w:history="1">
        <w:r w:rsidRPr="00765797">
          <w:rPr>
            <w:rStyle w:val="Hyperlink"/>
            <w:rFonts w:cs="Times New Roman"/>
            <w:color w:val="auto"/>
            <w:sz w:val="18"/>
            <w:szCs w:val="18"/>
          </w:rPr>
          <w:t>https://link.springer.com/article/10.1007/s12117-016-9264-5</w:t>
        </w:r>
      </w:hyperlink>
      <w:r w:rsidRPr="00765797">
        <w:rPr>
          <w:rFonts w:cs="Times New Roman"/>
          <w:sz w:val="18"/>
          <w:szCs w:val="18"/>
        </w:rPr>
        <w:t xml:space="preserve"> [last accessed: 30.05.20]</w:t>
      </w:r>
    </w:p>
    <w:p w14:paraId="6F0F29DF" w14:textId="47743E63" w:rsidR="00765797" w:rsidRPr="00765797" w:rsidRDefault="00765797" w:rsidP="00B97063">
      <w:pPr>
        <w:pStyle w:val="FootnoteText"/>
        <w:rPr>
          <w:sz w:val="18"/>
          <w:szCs w:val="18"/>
          <w:lang w:val="en-US"/>
        </w:rPr>
      </w:pPr>
      <w:r w:rsidRPr="00765797">
        <w:rPr>
          <w:rFonts w:cs="Times New Roman"/>
          <w:sz w:val="18"/>
          <w:szCs w:val="18"/>
        </w:rPr>
        <w:t xml:space="preserve">See also the following 2019 report on Corruption and the caviar trade, for examples of fake company labels, or label forgery. </w:t>
      </w:r>
      <w:hyperlink r:id="rId61" w:history="1">
        <w:r w:rsidRPr="00765797">
          <w:rPr>
            <w:rStyle w:val="Hyperlink"/>
            <w:rFonts w:cs="Times New Roman"/>
            <w:color w:val="auto"/>
            <w:sz w:val="18"/>
            <w:szCs w:val="18"/>
          </w:rPr>
          <w:t>https://www.traffic.org/site/assets/files/11818/corruption-and-caviar-final.pdf</w:t>
        </w:r>
      </w:hyperlink>
      <w:r w:rsidRPr="00765797">
        <w:rPr>
          <w:rFonts w:cs="Times New Roman"/>
          <w:sz w:val="18"/>
          <w:szCs w:val="18"/>
        </w:rPr>
        <w:t xml:space="preserve"> [last accessed: 30.05.20] </w:t>
      </w:r>
    </w:p>
  </w:footnote>
  <w:footnote w:id="145">
    <w:p w14:paraId="1092517A" w14:textId="5839C7F7" w:rsidR="00765797" w:rsidRPr="00765797" w:rsidRDefault="00765797" w:rsidP="00B97063">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Oliya, WP2.04, Caviar Producer, Belgium, February 2018</w:t>
      </w:r>
    </w:p>
  </w:footnote>
  <w:footnote w:id="146">
    <w:p w14:paraId="584C6ABE" w14:textId="2473C4A4" w:rsidR="00765797" w:rsidRPr="00765797" w:rsidRDefault="00765797" w:rsidP="00B97063">
      <w:pPr>
        <w:pStyle w:val="FootnoteText"/>
        <w:rPr>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Yvar, WP2.16, Researcher, Netherlands, March 2018</w:t>
      </w:r>
    </w:p>
  </w:footnote>
  <w:footnote w:id="147">
    <w:p w14:paraId="06A7E86C" w14:textId="579CFCBA" w:rsidR="00765797" w:rsidRPr="00765797" w:rsidRDefault="00765797" w:rsidP="00B97063">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 xml:space="preserve">Interview with Oliya, WP2.04, Caviar producer, Belgium, February 2018. Similar mechanisms also described in a 2019 multi-agency report on Corruption and the caviar trade. </w:t>
      </w:r>
      <w:hyperlink r:id="rId62" w:history="1">
        <w:r w:rsidRPr="00765797">
          <w:rPr>
            <w:rStyle w:val="Hyperlink"/>
            <w:rFonts w:cs="Times New Roman"/>
            <w:color w:val="auto"/>
            <w:sz w:val="18"/>
            <w:szCs w:val="18"/>
            <w:lang w:val="en-US"/>
          </w:rPr>
          <w:t>https://www.traffic.org/site/assets/files/11818/corruption-and-caviar-final.pdf</w:t>
        </w:r>
      </w:hyperlink>
      <w:r w:rsidRPr="00765797">
        <w:rPr>
          <w:rFonts w:cs="Times New Roman"/>
          <w:sz w:val="18"/>
          <w:szCs w:val="18"/>
          <w:lang w:val="en-US"/>
        </w:rPr>
        <w:t xml:space="preserve">  [last accessed: 30.05.20] </w:t>
      </w:r>
    </w:p>
  </w:footnote>
  <w:footnote w:id="148">
    <w:p w14:paraId="3D146D1C" w14:textId="58261B6C" w:rsidR="00765797" w:rsidRPr="00765797" w:rsidRDefault="00765797" w:rsidP="00B97063">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Yvar, WP2.16, Researcher, Netherlands, March 2019. See also a 2019 multi-agency report on Corruption and the caviar trade, which also describes the links between ‘upperworld’ actors in the caviar industry and criminal networks.</w:t>
      </w:r>
    </w:p>
    <w:p w14:paraId="728C3233" w14:textId="5364EE5E" w:rsidR="00765797" w:rsidRPr="00765797" w:rsidRDefault="00765797" w:rsidP="00B97063">
      <w:pPr>
        <w:pStyle w:val="FootnoteText"/>
        <w:rPr>
          <w:rFonts w:cs="Times New Roman"/>
          <w:sz w:val="18"/>
          <w:szCs w:val="18"/>
          <w:lang w:val="en-US"/>
        </w:rPr>
      </w:pPr>
      <w:r w:rsidRPr="00765797">
        <w:rPr>
          <w:rFonts w:cs="Times New Roman"/>
          <w:sz w:val="18"/>
          <w:szCs w:val="18"/>
          <w:lang w:val="en-US"/>
        </w:rPr>
        <w:t xml:space="preserve"> </w:t>
      </w:r>
      <w:hyperlink r:id="rId63" w:history="1">
        <w:r w:rsidRPr="00765797">
          <w:rPr>
            <w:rStyle w:val="Hyperlink"/>
            <w:rFonts w:cs="Times New Roman"/>
            <w:color w:val="auto"/>
            <w:sz w:val="18"/>
            <w:szCs w:val="18"/>
            <w:lang w:val="en-US"/>
          </w:rPr>
          <w:t>https://www.traffic.org/site/assets/files/11818/corruption-and-caviar-final.pdf</w:t>
        </w:r>
      </w:hyperlink>
      <w:r w:rsidRPr="00765797">
        <w:rPr>
          <w:rFonts w:cs="Times New Roman"/>
          <w:sz w:val="18"/>
          <w:szCs w:val="18"/>
          <w:lang w:val="en-US"/>
        </w:rPr>
        <w:t xml:space="preserve">  [last accessed: 30.05.20] </w:t>
      </w:r>
    </w:p>
  </w:footnote>
  <w:footnote w:id="149">
    <w:p w14:paraId="076ECCDC" w14:textId="098C52A0" w:rsidR="00765797" w:rsidRPr="00765797" w:rsidRDefault="00765797" w:rsidP="00B97063">
      <w:pPr>
        <w:pStyle w:val="FootnoteText"/>
        <w:rPr>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Sigrid, WP2.40, NGO project Coordinator, Austria, May 2019</w:t>
      </w:r>
    </w:p>
  </w:footnote>
  <w:footnote w:id="150">
    <w:p w14:paraId="40B5D0FD" w14:textId="4202949B" w:rsidR="00765797" w:rsidRPr="00765797" w:rsidRDefault="00765797" w:rsidP="00B97063">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Yvar, WP2.16, Researcher, Netherlands March 2018</w:t>
      </w:r>
    </w:p>
  </w:footnote>
  <w:footnote w:id="151">
    <w:p w14:paraId="1A1F552D" w14:textId="77777777" w:rsidR="00765797" w:rsidRPr="00765797" w:rsidRDefault="00765797" w:rsidP="00B97063">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‘Obama, Putin and Black Caviar’ a clip of a news report from news network RT published online 7</w:t>
      </w:r>
      <w:r w:rsidRPr="00765797">
        <w:rPr>
          <w:rFonts w:cs="Times New Roman"/>
          <w:sz w:val="18"/>
          <w:szCs w:val="18"/>
          <w:vertAlign w:val="superscript"/>
        </w:rPr>
        <w:t>th</w:t>
      </w:r>
      <w:r w:rsidRPr="00765797">
        <w:rPr>
          <w:rFonts w:cs="Times New Roman"/>
          <w:sz w:val="18"/>
          <w:szCs w:val="18"/>
        </w:rPr>
        <w:t xml:space="preserve"> July 2009 (formerly Russia Today. RT is funded by the Russian government) </w:t>
      </w:r>
      <w:hyperlink r:id="rId64" w:history="1">
        <w:r w:rsidRPr="00765797">
          <w:rPr>
            <w:rStyle w:val="Hyperlink"/>
            <w:rFonts w:cs="Times New Roman"/>
            <w:color w:val="auto"/>
            <w:sz w:val="18"/>
            <w:szCs w:val="18"/>
          </w:rPr>
          <w:t>https://www.youtube.com/watch?v=xYAJVgTjZAE</w:t>
        </w:r>
      </w:hyperlink>
      <w:r w:rsidRPr="00765797">
        <w:rPr>
          <w:rFonts w:cs="Times New Roman"/>
          <w:sz w:val="18"/>
          <w:szCs w:val="18"/>
        </w:rPr>
        <w:t xml:space="preserve"> [last accessed: 09.02.20] </w:t>
      </w:r>
    </w:p>
  </w:footnote>
  <w:footnote w:id="152">
    <w:p w14:paraId="2C5BAAF2" w14:textId="6B4D8D7F" w:rsidR="00765797" w:rsidRPr="00765797" w:rsidRDefault="00765797">
      <w:pPr>
        <w:pStyle w:val="FootnoteText"/>
        <w:rPr>
          <w:sz w:val="18"/>
          <w:szCs w:val="18"/>
        </w:rPr>
      </w:pPr>
      <w:r w:rsidRPr="00765797">
        <w:rPr>
          <w:rStyle w:val="FootnoteReference"/>
          <w:sz w:val="18"/>
          <w:szCs w:val="18"/>
        </w:rPr>
        <w:footnoteRef/>
      </w:r>
      <w:r w:rsidRPr="00765797">
        <w:rPr>
          <w:sz w:val="18"/>
          <w:szCs w:val="18"/>
        </w:rPr>
        <w:t xml:space="preserve"> ‘US bans beluga caviar imports to protect sturgeon’ </w:t>
      </w:r>
      <w:hyperlink r:id="rId65" w:history="1">
        <w:r w:rsidRPr="00765797">
          <w:rPr>
            <w:rStyle w:val="Hyperlink"/>
            <w:color w:val="auto"/>
            <w:sz w:val="18"/>
            <w:szCs w:val="18"/>
          </w:rPr>
          <w:t>https://www.ft.com/content/da6634ae-313d-11da-ac1b-00000e2511c8</w:t>
        </w:r>
      </w:hyperlink>
      <w:r w:rsidRPr="00765797">
        <w:rPr>
          <w:sz w:val="18"/>
          <w:szCs w:val="18"/>
        </w:rPr>
        <w:t xml:space="preserve"> [last accessed: 30.05.20] </w:t>
      </w:r>
    </w:p>
    <w:p w14:paraId="67E15B45" w14:textId="4800839E" w:rsidR="00765797" w:rsidRPr="00765797" w:rsidRDefault="00765797">
      <w:pPr>
        <w:pStyle w:val="FootnoteText"/>
        <w:rPr>
          <w:lang w:val="en-US"/>
        </w:rPr>
      </w:pPr>
      <w:r w:rsidRPr="00765797">
        <w:rPr>
          <w:sz w:val="18"/>
          <w:szCs w:val="18"/>
          <w:lang w:val="en-US"/>
        </w:rPr>
        <w:t xml:space="preserve">‘America to introduce ban on caviar’ </w:t>
      </w:r>
      <w:hyperlink r:id="rId66" w:history="1">
        <w:r w:rsidRPr="00765797">
          <w:rPr>
            <w:rStyle w:val="Hyperlink"/>
            <w:color w:val="auto"/>
            <w:sz w:val="18"/>
            <w:szCs w:val="18"/>
            <w:lang w:val="en-US"/>
          </w:rPr>
          <w:t>https://www.independent.co.uk/environment/america-to-introduce-ban-on-caviar-5347743.html</w:t>
        </w:r>
      </w:hyperlink>
      <w:r w:rsidRPr="00765797">
        <w:rPr>
          <w:sz w:val="18"/>
          <w:szCs w:val="18"/>
          <w:lang w:val="en-US"/>
        </w:rPr>
        <w:t xml:space="preserve"> [last accessed: 30.05.20]</w:t>
      </w:r>
      <w:r w:rsidRPr="00765797">
        <w:rPr>
          <w:lang w:val="en-US"/>
        </w:rPr>
        <w:t xml:space="preserve"> </w:t>
      </w:r>
    </w:p>
  </w:footnote>
  <w:footnote w:id="153">
    <w:p w14:paraId="773E9A85" w14:textId="77777777" w:rsidR="00765797" w:rsidRPr="00765797" w:rsidRDefault="00765797" w:rsidP="00967716">
      <w:pPr>
        <w:pStyle w:val="FootnoteText"/>
        <w:rPr>
          <w:sz w:val="18"/>
          <w:szCs w:val="18"/>
          <w:lang w:val="en-US"/>
        </w:rPr>
      </w:pPr>
      <w:r w:rsidRPr="00765797">
        <w:rPr>
          <w:rStyle w:val="FootnoteReference"/>
          <w:sz w:val="18"/>
          <w:szCs w:val="18"/>
        </w:rPr>
        <w:footnoteRef/>
      </w:r>
      <w:r w:rsidRPr="00765797">
        <w:rPr>
          <w:sz w:val="18"/>
          <w:szCs w:val="18"/>
        </w:rPr>
        <w:t xml:space="preserve"> Interview with Wilhelm, WP2.13, CITES Secretariat, February 2018</w:t>
      </w:r>
    </w:p>
  </w:footnote>
  <w:footnote w:id="154">
    <w:p w14:paraId="166F69A3" w14:textId="77777777" w:rsidR="00765797" w:rsidRPr="00765797" w:rsidRDefault="00765797" w:rsidP="00967716">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Interview with Danut, WP2.37, Sturgeon farmer and caviar producer, Romania, July 2018</w:t>
      </w:r>
    </w:p>
  </w:footnote>
  <w:footnote w:id="155">
    <w:p w14:paraId="4B344A43" w14:textId="77777777" w:rsidR="00765797" w:rsidRPr="00765797" w:rsidRDefault="00765797" w:rsidP="00967716">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Interview with Danut, WP2.37, Sturgeon farmer and caviar producer, Romania, July 2018</w:t>
      </w:r>
    </w:p>
  </w:footnote>
  <w:footnote w:id="156">
    <w:p w14:paraId="3011C116" w14:textId="4B23D9C7" w:rsidR="00765797" w:rsidRPr="00765797" w:rsidRDefault="00765797" w:rsidP="00967716">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Website for the Aller Aqua 9</w:t>
      </w:r>
      <w:r w:rsidRPr="00765797">
        <w:rPr>
          <w:rFonts w:cs="Times New Roman"/>
          <w:sz w:val="18"/>
          <w:szCs w:val="18"/>
          <w:vertAlign w:val="superscript"/>
        </w:rPr>
        <w:t>th</w:t>
      </w:r>
      <w:r w:rsidRPr="00765797">
        <w:rPr>
          <w:rFonts w:cs="Times New Roman"/>
          <w:sz w:val="18"/>
          <w:szCs w:val="18"/>
        </w:rPr>
        <w:t xml:space="preserve"> International Sturgeon Conference </w:t>
      </w:r>
      <w:hyperlink r:id="rId67" w:history="1">
        <w:r w:rsidRPr="00765797">
          <w:rPr>
            <w:rStyle w:val="Hyperlink"/>
            <w:rFonts w:cs="Times New Roman"/>
            <w:color w:val="auto"/>
            <w:sz w:val="18"/>
            <w:szCs w:val="18"/>
          </w:rPr>
          <w:t>http://www.sturgeoninternational.com/o-konferencji</w:t>
        </w:r>
      </w:hyperlink>
      <w:r w:rsidRPr="00765797">
        <w:rPr>
          <w:rFonts w:cs="Times New Roman"/>
          <w:sz w:val="18"/>
          <w:szCs w:val="18"/>
        </w:rPr>
        <w:t xml:space="preserve"> [last accessed: 31.05.20] </w:t>
      </w:r>
    </w:p>
  </w:footnote>
  <w:footnote w:id="157">
    <w:p w14:paraId="0EE18C7F" w14:textId="667AE581" w:rsidR="00765797" w:rsidRPr="00765797" w:rsidRDefault="00765797" w:rsidP="00967716">
      <w:pPr>
        <w:pStyle w:val="FootnoteText"/>
        <w:rPr>
          <w:rFonts w:cs="Times New Roman"/>
          <w:sz w:val="18"/>
          <w:szCs w:val="18"/>
        </w:rPr>
      </w:pPr>
      <w:r w:rsidRPr="00765797">
        <w:rPr>
          <w:rStyle w:val="FootnoteReference"/>
          <w:sz w:val="18"/>
          <w:szCs w:val="18"/>
        </w:rPr>
        <w:footnoteRef/>
      </w:r>
      <w:r w:rsidRPr="00765797">
        <w:rPr>
          <w:rFonts w:cs="Times New Roman"/>
          <w:sz w:val="18"/>
          <w:szCs w:val="18"/>
        </w:rPr>
        <w:t xml:space="preserve"> Representative of the World Sturgeon Conservation Society, speaking at the 9</w:t>
      </w:r>
      <w:r w:rsidRPr="00765797">
        <w:rPr>
          <w:rFonts w:cs="Times New Roman"/>
          <w:sz w:val="18"/>
          <w:szCs w:val="18"/>
          <w:vertAlign w:val="superscript"/>
        </w:rPr>
        <w:t>th</w:t>
      </w:r>
      <w:r w:rsidRPr="00765797">
        <w:rPr>
          <w:rFonts w:cs="Times New Roman"/>
          <w:sz w:val="18"/>
          <w:szCs w:val="18"/>
        </w:rPr>
        <w:t xml:space="preserve"> Aller Aqua International sturgeon conference, Warsaw, November 2018. See also a presentation shared online from the Danube Sturgeon Task Force (DSTF), which states that “Aquaculture is an indispensable tool for ex-situ conservation measures” and that “ex-situ rearing is the only means to prevent extinction”. ‘Aquaculture and Conservation breeding – conflict or concurrence?’</w:t>
      </w:r>
    </w:p>
    <w:p w14:paraId="34292D2E" w14:textId="533F0F70" w:rsidR="00765797" w:rsidRPr="00765797" w:rsidRDefault="00765797" w:rsidP="00967716">
      <w:pPr>
        <w:pStyle w:val="FootnoteText"/>
        <w:rPr>
          <w:rFonts w:cs="Times New Roman"/>
          <w:sz w:val="18"/>
          <w:szCs w:val="18"/>
        </w:rPr>
      </w:pPr>
      <w:r w:rsidRPr="00765797">
        <w:rPr>
          <w:rFonts w:cs="Times New Roman"/>
          <w:sz w:val="18"/>
          <w:szCs w:val="18"/>
        </w:rPr>
        <w:t xml:space="preserve"> </w:t>
      </w:r>
      <w:hyperlink r:id="rId68" w:history="1">
        <w:r w:rsidRPr="00765797">
          <w:rPr>
            <w:rStyle w:val="Hyperlink"/>
            <w:rFonts w:cs="Times New Roman"/>
            <w:color w:val="auto"/>
            <w:sz w:val="18"/>
            <w:szCs w:val="18"/>
          </w:rPr>
          <w:t>https://circabc.europa.eu/sd/a/1769f2ab-d17e-4189-b804-30c1fbb31b7c/Day%201%20Pres%206%20Aquaculture_WS_CEFAS_Sturgeons_Reinartz.pdf</w:t>
        </w:r>
      </w:hyperlink>
      <w:r w:rsidRPr="00765797">
        <w:rPr>
          <w:rFonts w:cs="Times New Roman"/>
          <w:sz w:val="18"/>
          <w:szCs w:val="18"/>
        </w:rPr>
        <w:t xml:space="preserve">  [last accessed: 31.05.20] </w:t>
      </w:r>
    </w:p>
  </w:footnote>
  <w:footnote w:id="158">
    <w:p w14:paraId="64EDC9D0" w14:textId="6EFD0EE5" w:rsidR="00765797" w:rsidRPr="00765797" w:rsidRDefault="00765797" w:rsidP="00967716">
      <w:pPr>
        <w:pStyle w:val="FootnoteText"/>
        <w:rPr>
          <w:rFonts w:cs="Times New Roman"/>
          <w:sz w:val="18"/>
          <w:szCs w:val="18"/>
        </w:rPr>
      </w:pPr>
      <w:r w:rsidRPr="00765797">
        <w:rPr>
          <w:rStyle w:val="FootnoteReference"/>
          <w:sz w:val="18"/>
          <w:szCs w:val="18"/>
        </w:rPr>
        <w:footnoteRef/>
      </w:r>
      <w:r w:rsidRPr="00765797">
        <w:rPr>
          <w:rFonts w:cs="Times New Roman"/>
          <w:sz w:val="18"/>
          <w:szCs w:val="18"/>
        </w:rPr>
        <w:t xml:space="preserve"> Sturgeon Geneticist speaking at the 9</w:t>
      </w:r>
      <w:r w:rsidRPr="00765797">
        <w:rPr>
          <w:rFonts w:cs="Times New Roman"/>
          <w:sz w:val="18"/>
          <w:szCs w:val="18"/>
          <w:vertAlign w:val="superscript"/>
        </w:rPr>
        <w:t>th</w:t>
      </w:r>
      <w:r w:rsidRPr="00765797">
        <w:rPr>
          <w:rFonts w:cs="Times New Roman"/>
          <w:sz w:val="18"/>
          <w:szCs w:val="18"/>
        </w:rPr>
        <w:t xml:space="preserve"> Aller Aqua International sturgeon conference, Warsaw, November 2018. </w:t>
      </w:r>
    </w:p>
  </w:footnote>
  <w:footnote w:id="159">
    <w:p w14:paraId="48FEBCB6" w14:textId="52084445" w:rsidR="00765797" w:rsidRPr="00765797" w:rsidRDefault="00765797" w:rsidP="00967716">
      <w:pPr>
        <w:pStyle w:val="FootnoteText"/>
        <w:rPr>
          <w:sz w:val="18"/>
          <w:szCs w:val="18"/>
          <w:lang w:val="en-US"/>
        </w:rPr>
      </w:pPr>
      <w:r w:rsidRPr="00765797">
        <w:rPr>
          <w:rStyle w:val="FootnoteReference"/>
          <w:sz w:val="18"/>
          <w:szCs w:val="18"/>
        </w:rPr>
        <w:footnoteRef/>
      </w:r>
      <w:r w:rsidRPr="00765797">
        <w:rPr>
          <w:sz w:val="18"/>
          <w:szCs w:val="18"/>
        </w:rPr>
        <w:t xml:space="preserve"> ‘Can Aquaculture Save Sturgeon?’</w:t>
      </w:r>
      <w:hyperlink r:id="rId69" w:history="1">
        <w:r w:rsidRPr="00765797">
          <w:rPr>
            <w:rStyle w:val="Hyperlink"/>
            <w:color w:val="auto"/>
            <w:sz w:val="18"/>
            <w:szCs w:val="18"/>
          </w:rPr>
          <w:t>https://www.seafoodsource.com/news/aquaculture/can-aquaculture-save-sturgeon</w:t>
        </w:r>
      </w:hyperlink>
      <w:r w:rsidRPr="00765797">
        <w:rPr>
          <w:sz w:val="18"/>
          <w:szCs w:val="18"/>
        </w:rPr>
        <w:t xml:space="preserve"> [last accessed: 31.03.20]</w:t>
      </w:r>
    </w:p>
  </w:footnote>
  <w:footnote w:id="160">
    <w:p w14:paraId="6F9A6729" w14:textId="00B99F3C" w:rsidR="00765797" w:rsidRPr="00765797" w:rsidRDefault="00765797" w:rsidP="00967716">
      <w:pPr>
        <w:pStyle w:val="FootnoteText"/>
        <w:rPr>
          <w:sz w:val="18"/>
          <w:szCs w:val="18"/>
          <w:lang w:val="en-US"/>
        </w:rPr>
      </w:pPr>
      <w:r w:rsidRPr="00765797">
        <w:rPr>
          <w:rStyle w:val="FootnoteReference"/>
          <w:sz w:val="18"/>
          <w:szCs w:val="18"/>
        </w:rPr>
        <w:footnoteRef/>
      </w:r>
      <w:r w:rsidRPr="00765797">
        <w:rPr>
          <w:sz w:val="18"/>
          <w:szCs w:val="18"/>
        </w:rPr>
        <w:t xml:space="preserve"> ‘</w:t>
      </w:r>
      <w:r w:rsidRPr="00765797">
        <w:rPr>
          <w:rFonts w:cs="Times New Roman"/>
          <w:sz w:val="18"/>
          <w:szCs w:val="18"/>
        </w:rPr>
        <w:t xml:space="preserve">Eight sturgeon aquaculture farms commit to protect sturgeons’. </w:t>
      </w:r>
      <w:hyperlink r:id="rId70" w:history="1">
        <w:r w:rsidRPr="00765797">
          <w:rPr>
            <w:rStyle w:val="Hyperlink"/>
            <w:color w:val="auto"/>
            <w:sz w:val="18"/>
            <w:szCs w:val="18"/>
          </w:rPr>
          <w:t>https://wwf.panda.org/wwf_news/?250975/Eight-sturgeon-aquaculture-farms-commit-to-protect-sturgeons</w:t>
        </w:r>
      </w:hyperlink>
      <w:r w:rsidRPr="00765797">
        <w:rPr>
          <w:sz w:val="18"/>
          <w:szCs w:val="18"/>
        </w:rPr>
        <w:t xml:space="preserve"> [last accessed: 01.04.20] </w:t>
      </w:r>
    </w:p>
  </w:footnote>
  <w:footnote w:id="161">
    <w:p w14:paraId="11746FF5" w14:textId="77777777" w:rsidR="00765797" w:rsidRPr="00765797" w:rsidRDefault="00765797" w:rsidP="00967716">
      <w:pPr>
        <w:pStyle w:val="FootnoteText"/>
        <w:rPr>
          <w:sz w:val="18"/>
          <w:szCs w:val="18"/>
          <w:lang w:val="en-US"/>
        </w:rPr>
      </w:pPr>
      <w:r w:rsidRPr="00765797">
        <w:rPr>
          <w:rStyle w:val="FootnoteReference"/>
          <w:sz w:val="18"/>
          <w:szCs w:val="18"/>
        </w:rPr>
        <w:footnoteRef/>
      </w:r>
      <w:r w:rsidRPr="00765797">
        <w:rPr>
          <w:sz w:val="18"/>
          <w:szCs w:val="18"/>
        </w:rPr>
        <w:t xml:space="preserve"> Representative of the World Sturgeon Conservation Society, speaking at the 9</w:t>
      </w:r>
      <w:r w:rsidRPr="00765797">
        <w:rPr>
          <w:sz w:val="18"/>
          <w:szCs w:val="18"/>
          <w:vertAlign w:val="superscript"/>
        </w:rPr>
        <w:t>th</w:t>
      </w:r>
      <w:r w:rsidRPr="00765797">
        <w:rPr>
          <w:sz w:val="18"/>
          <w:szCs w:val="18"/>
        </w:rPr>
        <w:t xml:space="preserve"> Aller Aqua International sturgeon conference, Warsaw, November 2018</w:t>
      </w:r>
    </w:p>
  </w:footnote>
  <w:footnote w:id="162">
    <w:p w14:paraId="3AF7B863" w14:textId="77777777" w:rsidR="00765797" w:rsidRPr="00765797" w:rsidRDefault="00765797" w:rsidP="00967716">
      <w:pPr>
        <w:pStyle w:val="FootnoteText"/>
        <w:rPr>
          <w:sz w:val="18"/>
          <w:szCs w:val="18"/>
          <w:lang w:val="en-US"/>
        </w:rPr>
      </w:pPr>
      <w:r w:rsidRPr="00765797">
        <w:rPr>
          <w:rStyle w:val="FootnoteReference"/>
          <w:sz w:val="18"/>
          <w:szCs w:val="18"/>
        </w:rPr>
        <w:footnoteRef/>
      </w:r>
      <w:r w:rsidRPr="00765797">
        <w:rPr>
          <w:sz w:val="18"/>
          <w:szCs w:val="18"/>
        </w:rPr>
        <w:t xml:space="preserve"> Interview with Danut, WP2.37, Sturgeon farmer and caviar producer, Romania, July 2018</w:t>
      </w:r>
    </w:p>
  </w:footnote>
  <w:footnote w:id="163">
    <w:p w14:paraId="4C697226" w14:textId="0CE7DE7E" w:rsidR="00765797" w:rsidRPr="00765797" w:rsidRDefault="00765797" w:rsidP="00967716">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Email correspondence with Graham, WP2.39, Sturgeon farmer and caviar producer, September 2018</w:t>
      </w:r>
    </w:p>
  </w:footnote>
  <w:footnote w:id="164">
    <w:p w14:paraId="044D00E3" w14:textId="5F13927E" w:rsidR="00765797" w:rsidRPr="00765797" w:rsidRDefault="00765797" w:rsidP="00967716">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Email correspondence with Graham, WP2.39, Sturgeon farmer and caviar producer, September 2018</w:t>
      </w:r>
    </w:p>
  </w:footnote>
  <w:footnote w:id="165">
    <w:p w14:paraId="0202C6D1" w14:textId="77777777" w:rsidR="00765797" w:rsidRPr="00765797" w:rsidRDefault="00765797" w:rsidP="00CD31D9">
      <w:pPr>
        <w:rPr>
          <w:rFonts w:cs="Times New Roman"/>
          <w:sz w:val="18"/>
          <w:szCs w:val="18"/>
        </w:rPr>
      </w:pPr>
      <w:r w:rsidRPr="00765797">
        <w:rPr>
          <w:rStyle w:val="FootnoteReference"/>
          <w:sz w:val="18"/>
          <w:szCs w:val="18"/>
        </w:rPr>
        <w:footnoteRef/>
      </w:r>
      <w:r w:rsidRPr="00765797">
        <w:rPr>
          <w:rFonts w:cs="Times New Roman"/>
          <w:sz w:val="18"/>
          <w:szCs w:val="18"/>
        </w:rPr>
        <w:t xml:space="preserve"> Interview with Oliya, WP2.04, Caviar Producer, Belgium, February 2018</w:t>
      </w:r>
    </w:p>
    <w:p w14:paraId="1927B938" w14:textId="621FDEBB" w:rsidR="00765797" w:rsidRPr="00765797" w:rsidRDefault="00765797" w:rsidP="00967716">
      <w:pPr>
        <w:pStyle w:val="FootnoteText"/>
        <w:rPr>
          <w:sz w:val="18"/>
          <w:szCs w:val="18"/>
          <w:lang w:val="en-US"/>
        </w:rPr>
      </w:pPr>
    </w:p>
  </w:footnote>
  <w:footnote w:id="166">
    <w:p w14:paraId="23F94807" w14:textId="646E47FF" w:rsidR="00765797" w:rsidRPr="00765797" w:rsidRDefault="00765797" w:rsidP="00967716">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Interview with Oliya, WP2.04, Caviar Producer, Belgium, February 2018</w:t>
      </w:r>
    </w:p>
  </w:footnote>
  <w:footnote w:id="167">
    <w:p w14:paraId="2F14C072" w14:textId="77777777" w:rsidR="00765797" w:rsidRPr="00765797" w:rsidRDefault="00765797">
      <w:pPr>
        <w:pStyle w:val="FootnoteText"/>
        <w:rPr>
          <w:rFonts w:cs="Times New Roman"/>
          <w:sz w:val="18"/>
          <w:szCs w:val="18"/>
        </w:rPr>
      </w:pPr>
      <w:r w:rsidRPr="00765797">
        <w:rPr>
          <w:rStyle w:val="FootnoteReference"/>
          <w:sz w:val="18"/>
          <w:szCs w:val="18"/>
        </w:rPr>
        <w:footnoteRef/>
      </w:r>
      <w:r w:rsidRPr="00765797">
        <w:rPr>
          <w:rFonts w:cs="Times New Roman"/>
          <w:sz w:val="18"/>
          <w:szCs w:val="18"/>
        </w:rPr>
        <w:t xml:space="preserve"> A 2013 TRAFFIC report on illegal caviar trade in Bulgaria and Romania states that illegal caviar prices considerably undercut those of farmed caviar. Poachers in Romania sell Sevruga caviar at 200 euros per kilo, whereas aquaculture operations must sell theirs at a cost of at least 500 euros per kilo due to the high investment in sturgeon farming.</w:t>
      </w:r>
    </w:p>
    <w:p w14:paraId="4E81CB86" w14:textId="017CEDBD" w:rsidR="00765797" w:rsidRPr="00765797" w:rsidRDefault="00765797">
      <w:pPr>
        <w:pStyle w:val="FootnoteText"/>
        <w:rPr>
          <w:rFonts w:cs="Times New Roman"/>
          <w:sz w:val="18"/>
          <w:szCs w:val="18"/>
          <w:lang w:val="en-US"/>
        </w:rPr>
      </w:pPr>
      <w:r w:rsidRPr="00765797">
        <w:rPr>
          <w:rFonts w:cs="Times New Roman"/>
          <w:sz w:val="18"/>
          <w:szCs w:val="18"/>
        </w:rPr>
        <w:t xml:space="preserve"> </w:t>
      </w:r>
      <w:hyperlink r:id="rId71" w:history="1">
        <w:r w:rsidRPr="00765797">
          <w:rPr>
            <w:rStyle w:val="Hyperlink"/>
            <w:rFonts w:cs="Times New Roman"/>
            <w:color w:val="auto"/>
            <w:sz w:val="18"/>
            <w:szCs w:val="18"/>
          </w:rPr>
          <w:t>https://d2ouvy59p0dg6k.cloudfront.net/downloads/illegal_caviar_trade_in_bulgaria_and_romania__1_.pdf</w:t>
        </w:r>
      </w:hyperlink>
      <w:r w:rsidRPr="00765797">
        <w:rPr>
          <w:rStyle w:val="Hyperlink"/>
          <w:rFonts w:cs="Times New Roman"/>
          <w:color w:val="auto"/>
          <w:sz w:val="18"/>
          <w:szCs w:val="18"/>
        </w:rPr>
        <w:t xml:space="preserve">  </w:t>
      </w:r>
      <w:r w:rsidRPr="00765797">
        <w:rPr>
          <w:rStyle w:val="Hyperlink"/>
          <w:rFonts w:cs="Times New Roman"/>
          <w:color w:val="auto"/>
          <w:sz w:val="18"/>
          <w:szCs w:val="18"/>
          <w:u w:val="none"/>
        </w:rPr>
        <w:t xml:space="preserve"> [last accessed: 30.05.20] </w:t>
      </w:r>
    </w:p>
  </w:footnote>
  <w:footnote w:id="168">
    <w:p w14:paraId="2D4CEE3D" w14:textId="10D8B9B4" w:rsidR="00765797" w:rsidRPr="00765797" w:rsidRDefault="00765797" w:rsidP="00967716">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Email correspondence with Graham, WP2.39, Sturgeon farmer and caviar producer, September 2018</w:t>
      </w:r>
    </w:p>
  </w:footnote>
  <w:footnote w:id="169">
    <w:p w14:paraId="7B5C6EC0" w14:textId="2D0B6734" w:rsidR="00765797" w:rsidRPr="00765797" w:rsidRDefault="00765797" w:rsidP="00967716">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Mollie, WP2.31, Caviar Importer and Wholesaler, UK, May 2018</w:t>
      </w:r>
    </w:p>
  </w:footnote>
  <w:footnote w:id="170">
    <w:p w14:paraId="2411BEBA" w14:textId="06EDD73F" w:rsidR="00765797" w:rsidRPr="00765797" w:rsidRDefault="00765797" w:rsidP="00967716">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Melanie, WP2.01, NGO Representative, Ukraine, November 2017</w:t>
      </w:r>
    </w:p>
  </w:footnote>
  <w:footnote w:id="171">
    <w:p w14:paraId="57CEAC87" w14:textId="77777777" w:rsidR="00765797" w:rsidRPr="00765797" w:rsidRDefault="00765797" w:rsidP="00967716">
      <w:pPr>
        <w:pStyle w:val="FootnoteText"/>
        <w:rPr>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 xml:space="preserve">Representative of World Sturgeon Conservation Society, speaking at Aller </w:t>
      </w:r>
      <w:r w:rsidRPr="00765797">
        <w:rPr>
          <w:rFonts w:cs="Times New Roman"/>
          <w:sz w:val="18"/>
          <w:szCs w:val="18"/>
        </w:rPr>
        <w:t>the 9</w:t>
      </w:r>
      <w:r w:rsidRPr="00765797">
        <w:rPr>
          <w:rFonts w:cs="Times New Roman"/>
          <w:sz w:val="18"/>
          <w:szCs w:val="18"/>
          <w:vertAlign w:val="superscript"/>
        </w:rPr>
        <w:t>th</w:t>
      </w:r>
      <w:r w:rsidRPr="00765797">
        <w:rPr>
          <w:rFonts w:cs="Times New Roman"/>
          <w:sz w:val="18"/>
          <w:szCs w:val="18"/>
        </w:rPr>
        <w:t xml:space="preserve"> Aller Aqua International sturgeon conference, Warsaw, November 2018</w:t>
      </w:r>
    </w:p>
  </w:footnote>
  <w:footnote w:id="172">
    <w:p w14:paraId="2EBD9168" w14:textId="775AE44A" w:rsidR="00765797" w:rsidRPr="00765797" w:rsidRDefault="00765797" w:rsidP="00967716">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Representative of WWF International, Speaking at ISS8, Vienna, September 2017</w:t>
      </w:r>
    </w:p>
  </w:footnote>
  <w:footnote w:id="173">
    <w:p w14:paraId="39801EDE" w14:textId="20526962" w:rsidR="00765797" w:rsidRPr="00765797" w:rsidRDefault="00765797" w:rsidP="00967716">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Bram, WP2.18, Ex-enforcement officer, Netherlands, March 2018</w:t>
      </w:r>
    </w:p>
  </w:footnote>
  <w:footnote w:id="174">
    <w:p w14:paraId="6F1F1A67" w14:textId="7DD216EF" w:rsidR="00765797" w:rsidRPr="00765797" w:rsidRDefault="00765797" w:rsidP="00EE3DC4">
      <w:pPr>
        <w:rPr>
          <w:sz w:val="18"/>
          <w:szCs w:val="18"/>
        </w:rPr>
      </w:pPr>
      <w:r w:rsidRPr="00765797">
        <w:rPr>
          <w:rStyle w:val="FootnoteReference"/>
          <w:sz w:val="18"/>
          <w:szCs w:val="18"/>
        </w:rPr>
        <w:footnoteRef/>
      </w:r>
      <w:r w:rsidRPr="00765797">
        <w:rPr>
          <w:rFonts w:cs="Times New Roman"/>
          <w:sz w:val="18"/>
          <w:szCs w:val="18"/>
        </w:rPr>
        <w:t xml:space="preserve"> Interview with Michael, WP.2.02, Ex-enforcement officer, UK, December 2017</w:t>
      </w:r>
    </w:p>
  </w:footnote>
  <w:footnote w:id="175">
    <w:p w14:paraId="032D0D8F" w14:textId="2C36F8BE" w:rsidR="00765797" w:rsidRPr="00765797" w:rsidRDefault="00765797" w:rsidP="00967716">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Interview with Oliya, WP2.04, Caviar producer, Belgium, February 2018</w:t>
      </w:r>
    </w:p>
  </w:footnote>
  <w:footnote w:id="176">
    <w:p w14:paraId="726DD16E" w14:textId="62AC3050" w:rsidR="00765797" w:rsidRPr="00765797" w:rsidRDefault="00765797" w:rsidP="00967716">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Interview with Ethan, WP2.38, Sturgeon farmer and caviar producer, UK September 2018</w:t>
      </w:r>
    </w:p>
  </w:footnote>
  <w:footnote w:id="177">
    <w:p w14:paraId="53B64591" w14:textId="77777777" w:rsidR="00765797" w:rsidRPr="00765797" w:rsidRDefault="00765797">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See also a 2019 multi-agency report on Caviar and corruption, which explains the links between the legal ‘upperworld’ and organised criminal groups involved in illegal caviar trade.</w:t>
      </w:r>
    </w:p>
    <w:p w14:paraId="4A12AE61" w14:textId="2C6961B2" w:rsidR="00765797" w:rsidRPr="00765797" w:rsidRDefault="00765797">
      <w:pPr>
        <w:pStyle w:val="FootnoteText"/>
        <w:rPr>
          <w:rFonts w:cs="Times New Roman"/>
          <w:sz w:val="18"/>
          <w:szCs w:val="18"/>
          <w:lang w:val="en-US"/>
        </w:rPr>
      </w:pPr>
      <w:r w:rsidRPr="00765797">
        <w:rPr>
          <w:rFonts w:cs="Times New Roman"/>
          <w:sz w:val="18"/>
          <w:szCs w:val="18"/>
          <w:lang w:val="en-US"/>
        </w:rPr>
        <w:t xml:space="preserve">  </w:t>
      </w:r>
      <w:hyperlink r:id="rId72" w:history="1">
        <w:r w:rsidRPr="00765797">
          <w:rPr>
            <w:rStyle w:val="Hyperlink"/>
            <w:rFonts w:cs="Times New Roman"/>
            <w:color w:val="auto"/>
            <w:sz w:val="18"/>
            <w:szCs w:val="18"/>
          </w:rPr>
          <w:t>https://www.traffic.org/site/assets/files/11818/corruption-and-caviar-final.pdf</w:t>
        </w:r>
      </w:hyperlink>
      <w:r w:rsidRPr="00765797">
        <w:rPr>
          <w:rStyle w:val="Hyperlink"/>
          <w:rFonts w:cs="Times New Roman"/>
          <w:color w:val="auto"/>
          <w:sz w:val="18"/>
          <w:szCs w:val="18"/>
        </w:rPr>
        <w:t xml:space="preserve"> </w:t>
      </w:r>
      <w:r w:rsidRPr="00765797">
        <w:rPr>
          <w:rStyle w:val="Hyperlink"/>
          <w:rFonts w:cs="Times New Roman"/>
          <w:color w:val="auto"/>
          <w:sz w:val="18"/>
          <w:szCs w:val="18"/>
          <w:u w:val="none"/>
        </w:rPr>
        <w:t xml:space="preserve"> [last accessed: 31.05.20] </w:t>
      </w:r>
    </w:p>
  </w:footnote>
  <w:footnote w:id="178">
    <w:p w14:paraId="7A0868CA" w14:textId="53076F33" w:rsidR="00765797" w:rsidRPr="00765797" w:rsidRDefault="00765797" w:rsidP="00967716">
      <w:pPr>
        <w:pStyle w:val="FootnoteText"/>
        <w:rPr>
          <w:sz w:val="18"/>
          <w:szCs w:val="18"/>
          <w:lang w:val="en-US"/>
        </w:rPr>
      </w:pPr>
      <w:r w:rsidRPr="00765797">
        <w:rPr>
          <w:rStyle w:val="FootnoteReference"/>
          <w:rFonts w:cs="Times New Roman"/>
          <w:sz w:val="18"/>
          <w:szCs w:val="18"/>
        </w:rPr>
        <w:footnoteRef/>
      </w:r>
      <w:r w:rsidRPr="00765797">
        <w:rPr>
          <w:rFonts w:cs="Times New Roman"/>
          <w:sz w:val="18"/>
          <w:szCs w:val="18"/>
        </w:rPr>
        <w:t xml:space="preserve"> Interview with Ethan, WP2.38, Sturgeon farmer and caviar producer, UK September 2018</w:t>
      </w:r>
    </w:p>
  </w:footnote>
  <w:footnote w:id="179">
    <w:p w14:paraId="2FA8F9A8" w14:textId="0B39474A" w:rsidR="00765797" w:rsidRPr="00765797" w:rsidRDefault="00765797" w:rsidP="00967716">
      <w:pPr>
        <w:pStyle w:val="FootnoteText"/>
        <w:rPr>
          <w:sz w:val="18"/>
          <w:szCs w:val="18"/>
          <w:lang w:val="en-US"/>
        </w:rPr>
      </w:pPr>
      <w:r w:rsidRPr="00765797">
        <w:rPr>
          <w:rStyle w:val="FootnoteReference"/>
          <w:sz w:val="18"/>
          <w:szCs w:val="18"/>
        </w:rPr>
        <w:footnoteRef/>
      </w:r>
      <w:r w:rsidRPr="00765797">
        <w:rPr>
          <w:sz w:val="18"/>
          <w:szCs w:val="18"/>
        </w:rPr>
        <w:t xml:space="preserve"> Interview with Ethan, WP2.38, Sturgeon farmer and caviar producer, UK September 2018</w:t>
      </w:r>
    </w:p>
  </w:footnote>
  <w:footnote w:id="180">
    <w:p w14:paraId="007E67A5" w14:textId="77777777" w:rsidR="00765797" w:rsidRPr="00765797" w:rsidRDefault="00765797" w:rsidP="00967716">
      <w:pPr>
        <w:pStyle w:val="FootnoteText"/>
        <w:rPr>
          <w:sz w:val="18"/>
          <w:szCs w:val="18"/>
          <w:lang w:val="en-US"/>
        </w:rPr>
      </w:pPr>
      <w:r w:rsidRPr="00765797">
        <w:rPr>
          <w:rStyle w:val="FootnoteReference"/>
          <w:sz w:val="18"/>
          <w:szCs w:val="18"/>
        </w:rPr>
        <w:footnoteRef/>
      </w:r>
      <w:r w:rsidRPr="00765797">
        <w:rPr>
          <w:sz w:val="18"/>
          <w:szCs w:val="18"/>
        </w:rPr>
        <w:t xml:space="preserve"> </w:t>
      </w:r>
      <w:r w:rsidRPr="00765797">
        <w:rPr>
          <w:sz w:val="18"/>
          <w:szCs w:val="18"/>
          <w:lang w:val="en-US"/>
        </w:rPr>
        <w:t>Notes taken from personal research diary. Entry date 31</w:t>
      </w:r>
      <w:r w:rsidRPr="00765797">
        <w:rPr>
          <w:sz w:val="18"/>
          <w:szCs w:val="18"/>
          <w:vertAlign w:val="superscript"/>
          <w:lang w:val="en-US"/>
        </w:rPr>
        <w:t>st</w:t>
      </w:r>
      <w:r w:rsidRPr="00765797">
        <w:rPr>
          <w:sz w:val="18"/>
          <w:szCs w:val="18"/>
          <w:lang w:val="en-US"/>
        </w:rPr>
        <w:t xml:space="preserve"> July 2018</w:t>
      </w:r>
    </w:p>
  </w:footnote>
  <w:footnote w:id="181">
    <w:p w14:paraId="0C5ACE9B" w14:textId="77777777" w:rsidR="00765797" w:rsidRPr="00765797" w:rsidRDefault="00765797" w:rsidP="00967716">
      <w:pPr>
        <w:pStyle w:val="FootnoteText"/>
        <w:rPr>
          <w:sz w:val="18"/>
          <w:szCs w:val="18"/>
          <w:lang w:val="en-US"/>
        </w:rPr>
      </w:pPr>
      <w:r w:rsidRPr="00765797">
        <w:rPr>
          <w:rStyle w:val="FootnoteReference"/>
          <w:sz w:val="18"/>
          <w:szCs w:val="18"/>
        </w:rPr>
        <w:footnoteRef/>
      </w:r>
      <w:r w:rsidRPr="00765797">
        <w:rPr>
          <w:sz w:val="18"/>
          <w:szCs w:val="18"/>
        </w:rPr>
        <w:t xml:space="preserve"> Name of the owner of the competitor caviar company. Removed for anonymity purposes. </w:t>
      </w:r>
    </w:p>
  </w:footnote>
  <w:footnote w:id="182">
    <w:p w14:paraId="12B4C37D" w14:textId="539148DE" w:rsidR="00765797" w:rsidRPr="00765797" w:rsidRDefault="00765797" w:rsidP="00967716">
      <w:pPr>
        <w:pStyle w:val="FootnoteText"/>
        <w:rPr>
          <w:sz w:val="18"/>
          <w:szCs w:val="18"/>
          <w:lang w:val="en-US"/>
        </w:rPr>
      </w:pPr>
      <w:r w:rsidRPr="00765797">
        <w:rPr>
          <w:rStyle w:val="FootnoteReference"/>
          <w:sz w:val="18"/>
          <w:szCs w:val="18"/>
        </w:rPr>
        <w:footnoteRef/>
      </w:r>
      <w:r w:rsidRPr="00765797">
        <w:rPr>
          <w:sz w:val="18"/>
          <w:szCs w:val="18"/>
        </w:rPr>
        <w:t>Interview with Ethan, WP2.38, Sturgeon farmer and caviar producer, UK September 2018</w:t>
      </w:r>
    </w:p>
  </w:footnote>
  <w:footnote w:id="183">
    <w:p w14:paraId="3BBC53B6" w14:textId="6AB63945" w:rsidR="00765797" w:rsidRPr="00765797" w:rsidRDefault="00765797" w:rsidP="00967716">
      <w:pPr>
        <w:pStyle w:val="FootnoteText"/>
        <w:rPr>
          <w:sz w:val="18"/>
          <w:szCs w:val="18"/>
          <w:lang w:val="en-US"/>
        </w:rPr>
      </w:pPr>
      <w:r w:rsidRPr="00765797">
        <w:rPr>
          <w:rStyle w:val="FootnoteReference"/>
          <w:sz w:val="18"/>
          <w:szCs w:val="18"/>
        </w:rPr>
        <w:footnoteRef/>
      </w:r>
      <w:r w:rsidRPr="00765797">
        <w:rPr>
          <w:sz w:val="18"/>
          <w:szCs w:val="18"/>
        </w:rPr>
        <w:t xml:space="preserve"> Interview with Ethan, WP2.38, Sturgeon farmer and caviar producer, UK September 2018</w:t>
      </w:r>
    </w:p>
  </w:footnote>
  <w:footnote w:id="184">
    <w:p w14:paraId="42E43F47" w14:textId="6CB56B28" w:rsidR="00765797" w:rsidRPr="00765797" w:rsidRDefault="00765797" w:rsidP="00967716">
      <w:pPr>
        <w:pStyle w:val="FootnoteText"/>
        <w:rPr>
          <w:lang w:val="en-US"/>
        </w:rPr>
      </w:pPr>
      <w:r w:rsidRPr="00765797">
        <w:rPr>
          <w:rStyle w:val="FootnoteReference"/>
          <w:sz w:val="18"/>
          <w:szCs w:val="18"/>
        </w:rPr>
        <w:footnoteRef/>
      </w:r>
      <w:r w:rsidRPr="00765797">
        <w:rPr>
          <w:sz w:val="18"/>
          <w:szCs w:val="18"/>
        </w:rPr>
        <w:t xml:space="preserve"> </w:t>
      </w:r>
      <w:r w:rsidRPr="00765797">
        <w:rPr>
          <w:sz w:val="18"/>
          <w:szCs w:val="18"/>
          <w:lang w:val="en-US"/>
        </w:rPr>
        <w:t>Interview with Bram, WP2.18, Ex-enforcement officer, Netherlands, March 2018</w:t>
      </w:r>
    </w:p>
  </w:footnote>
  <w:footnote w:id="185">
    <w:p w14:paraId="495C53F8" w14:textId="30FBFEC7" w:rsidR="00765797" w:rsidRPr="00765797" w:rsidRDefault="00765797" w:rsidP="00967716">
      <w:pPr>
        <w:pStyle w:val="FootnoteText"/>
        <w:rPr>
          <w:sz w:val="18"/>
          <w:szCs w:val="18"/>
          <w:lang w:val="en-US"/>
        </w:rPr>
      </w:pPr>
      <w:r w:rsidRPr="00765797">
        <w:rPr>
          <w:rStyle w:val="FootnoteReference"/>
          <w:sz w:val="18"/>
          <w:szCs w:val="18"/>
        </w:rPr>
        <w:footnoteRef/>
      </w:r>
      <w:r w:rsidRPr="00765797">
        <w:rPr>
          <w:sz w:val="18"/>
          <w:szCs w:val="18"/>
        </w:rPr>
        <w:t xml:space="preserve"> </w:t>
      </w:r>
      <w:r w:rsidRPr="00765797">
        <w:rPr>
          <w:rFonts w:cs="Times New Roman"/>
          <w:sz w:val="18"/>
          <w:szCs w:val="18"/>
        </w:rPr>
        <w:t>Interview with Oliya, WP2.04, Caviar producer, Belgium, February 2018</w:t>
      </w:r>
    </w:p>
  </w:footnote>
  <w:footnote w:id="186">
    <w:p w14:paraId="760E2E60" w14:textId="6139677B" w:rsidR="00765797" w:rsidRPr="00765797" w:rsidRDefault="00765797" w:rsidP="00967716">
      <w:pPr>
        <w:pStyle w:val="FootnoteText"/>
        <w:rPr>
          <w:sz w:val="18"/>
          <w:szCs w:val="18"/>
          <w:lang w:val="en-US"/>
        </w:rPr>
      </w:pPr>
      <w:r w:rsidRPr="00765797">
        <w:rPr>
          <w:rStyle w:val="FootnoteReference"/>
          <w:sz w:val="18"/>
          <w:szCs w:val="18"/>
        </w:rPr>
        <w:footnoteRef/>
      </w:r>
      <w:r w:rsidRPr="00765797">
        <w:rPr>
          <w:sz w:val="18"/>
          <w:szCs w:val="18"/>
        </w:rPr>
        <w:t xml:space="preserve"> Interview with Ethan, WP2.38, Sturgeon farmer and caviar producer, UK September 2018</w:t>
      </w:r>
    </w:p>
  </w:footnote>
  <w:footnote w:id="187">
    <w:p w14:paraId="19161E8D" w14:textId="5084C193" w:rsidR="00765797" w:rsidRPr="00765797" w:rsidRDefault="00765797" w:rsidP="00967716">
      <w:pPr>
        <w:pStyle w:val="FootnoteText"/>
        <w:rPr>
          <w:sz w:val="18"/>
          <w:szCs w:val="18"/>
          <w:lang w:val="en-US"/>
        </w:rPr>
      </w:pPr>
      <w:r w:rsidRPr="00765797">
        <w:rPr>
          <w:rStyle w:val="FootnoteReference"/>
          <w:sz w:val="18"/>
          <w:szCs w:val="18"/>
        </w:rPr>
        <w:footnoteRef/>
      </w:r>
      <w:r w:rsidRPr="00765797">
        <w:rPr>
          <w:sz w:val="18"/>
          <w:szCs w:val="18"/>
        </w:rPr>
        <w:t xml:space="preserve">For example see the website of DariQus Caviar, a company which advocated no-kill methods and calls itself ‘the new gold standard’ in caviar production. The website emphasises their conservation ethos.  </w:t>
      </w:r>
      <w:hyperlink r:id="rId73" w:history="1">
        <w:r w:rsidRPr="00765797">
          <w:rPr>
            <w:rStyle w:val="Hyperlink"/>
            <w:color w:val="auto"/>
            <w:sz w:val="18"/>
            <w:szCs w:val="18"/>
          </w:rPr>
          <w:t>https://dariqus.com/</w:t>
        </w:r>
      </w:hyperlink>
      <w:r w:rsidRPr="00765797">
        <w:rPr>
          <w:sz w:val="18"/>
          <w:szCs w:val="18"/>
        </w:rPr>
        <w:t xml:space="preserve"> [last accessed: 05.05.20] </w:t>
      </w:r>
    </w:p>
  </w:footnote>
  <w:footnote w:id="188">
    <w:p w14:paraId="3FABE3F0" w14:textId="4C482F34" w:rsidR="00765797" w:rsidRPr="00765797" w:rsidRDefault="00765797">
      <w:pPr>
        <w:pStyle w:val="FootnoteText"/>
        <w:rPr>
          <w:sz w:val="18"/>
          <w:szCs w:val="18"/>
          <w:lang w:val="en-US"/>
        </w:rPr>
      </w:pPr>
      <w:r w:rsidRPr="00765797">
        <w:rPr>
          <w:rStyle w:val="FootnoteReference"/>
          <w:sz w:val="18"/>
          <w:szCs w:val="18"/>
        </w:rPr>
        <w:footnoteRef/>
      </w:r>
      <w:r w:rsidRPr="00765797">
        <w:rPr>
          <w:sz w:val="18"/>
          <w:szCs w:val="18"/>
        </w:rPr>
        <w:t xml:space="preserve"> Interview with Ethan, WP2.38, Sturgeon farmer and caviar producer, UK September 2018</w:t>
      </w:r>
    </w:p>
  </w:footnote>
  <w:footnote w:id="189">
    <w:p w14:paraId="009EBC80" w14:textId="64AA5A27" w:rsidR="00765797" w:rsidRPr="00765797" w:rsidRDefault="00765797" w:rsidP="00967716">
      <w:pPr>
        <w:pStyle w:val="FootnoteText"/>
        <w:rPr>
          <w:sz w:val="18"/>
          <w:szCs w:val="18"/>
          <w:lang w:val="en-US"/>
        </w:rPr>
      </w:pPr>
      <w:r w:rsidRPr="00765797">
        <w:rPr>
          <w:rStyle w:val="FootnoteReference"/>
          <w:sz w:val="18"/>
          <w:szCs w:val="18"/>
        </w:rPr>
        <w:footnoteRef/>
      </w:r>
      <w:r w:rsidRPr="00765797">
        <w:rPr>
          <w:rFonts w:cs="Times New Roman"/>
          <w:sz w:val="18"/>
          <w:szCs w:val="18"/>
        </w:rPr>
        <w:t>Interview with Oliya, WP2.04, Caviar producer, Belgium, February 2018</w:t>
      </w:r>
      <w:r w:rsidRPr="00765797">
        <w:rPr>
          <w:sz w:val="18"/>
          <w:szCs w:val="18"/>
        </w:rPr>
        <w:t xml:space="preserve"> </w:t>
      </w:r>
    </w:p>
  </w:footnote>
  <w:footnote w:id="190">
    <w:p w14:paraId="64B23398" w14:textId="77777777" w:rsidR="00765797" w:rsidRPr="00765797" w:rsidRDefault="00765797" w:rsidP="00967716">
      <w:pPr>
        <w:pStyle w:val="FootnoteText"/>
        <w:rPr>
          <w:sz w:val="18"/>
          <w:szCs w:val="18"/>
          <w:lang w:val="en-US"/>
        </w:rPr>
      </w:pPr>
      <w:r w:rsidRPr="00765797">
        <w:rPr>
          <w:rStyle w:val="FootnoteReference"/>
          <w:sz w:val="18"/>
          <w:szCs w:val="18"/>
        </w:rPr>
        <w:footnoteRef/>
      </w:r>
      <w:r w:rsidRPr="00765797">
        <w:rPr>
          <w:sz w:val="18"/>
          <w:szCs w:val="18"/>
        </w:rPr>
        <w:t xml:space="preserve"> Interview with caviar producer, name removed for anonymity purposes </w:t>
      </w:r>
    </w:p>
  </w:footnote>
  <w:footnote w:id="191">
    <w:p w14:paraId="237237CC" w14:textId="77777777" w:rsidR="00765797" w:rsidRPr="00765797" w:rsidRDefault="00765797" w:rsidP="00967716">
      <w:pPr>
        <w:pStyle w:val="FootnoteText"/>
        <w:rPr>
          <w:lang w:val="en-US"/>
        </w:rPr>
      </w:pPr>
      <w:r w:rsidRPr="00765797">
        <w:rPr>
          <w:rStyle w:val="FootnoteReference"/>
          <w:sz w:val="18"/>
          <w:szCs w:val="18"/>
        </w:rPr>
        <w:footnoteRef/>
      </w:r>
      <w:r w:rsidRPr="00765797">
        <w:rPr>
          <w:sz w:val="18"/>
          <w:szCs w:val="18"/>
        </w:rPr>
        <w:t xml:space="preserve"> Interview with caviar producer, name removed for anonymity purposes</w:t>
      </w:r>
    </w:p>
  </w:footnote>
  <w:footnote w:id="192">
    <w:p w14:paraId="6FD3496D" w14:textId="77777777" w:rsidR="00765797" w:rsidRPr="00765797" w:rsidRDefault="00765797" w:rsidP="00967716">
      <w:pPr>
        <w:pStyle w:val="FootnoteText"/>
        <w:rPr>
          <w:rFonts w:cs="Times New Roman"/>
          <w:sz w:val="18"/>
          <w:szCs w:val="18"/>
        </w:rPr>
      </w:pPr>
      <w:r w:rsidRPr="00765797">
        <w:rPr>
          <w:rStyle w:val="FootnoteReference"/>
          <w:sz w:val="18"/>
          <w:szCs w:val="18"/>
        </w:rPr>
        <w:footnoteRef/>
      </w:r>
      <w:r w:rsidRPr="00765797">
        <w:rPr>
          <w:rFonts w:cs="Times New Roman"/>
          <w:sz w:val="18"/>
          <w:szCs w:val="18"/>
        </w:rPr>
        <w:t xml:space="preserve"> Brood-stock is the term for a group of mature individuals used in aquaculture for breeding purposes. Brood-stock can be ‘captive’ brood-stock, i.e. fish originally taken from the wild, or ‘domestic’ brood-stock, i.e. fish raised in captivity for breeding purposes. </w:t>
      </w:r>
    </w:p>
  </w:footnote>
  <w:footnote w:id="193">
    <w:p w14:paraId="17B4BCE8" w14:textId="0912E454" w:rsidR="00765797" w:rsidRPr="00765797" w:rsidRDefault="00765797" w:rsidP="00967716">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Danut, WP2.37, Sturgeon farmer and caviar producer, Romania, July 2018</w:t>
      </w:r>
    </w:p>
  </w:footnote>
  <w:footnote w:id="194">
    <w:p w14:paraId="759A6D14" w14:textId="12EC7366" w:rsidR="00765797" w:rsidRPr="00765797" w:rsidRDefault="00765797">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 xml:space="preserve">A recent journalistic investigation notes in line with Danut, that sturgeon restocking initiatives previously happened annually in Romania, but have become fragmented due to the expense associated with such restocking. ‘Decimated Danube: sturgeon revival efforts neglect roots of poaching’ </w:t>
      </w:r>
      <w:hyperlink r:id="rId74" w:history="1">
        <w:r w:rsidRPr="00765797">
          <w:rPr>
            <w:rStyle w:val="Hyperlink"/>
            <w:rFonts w:cs="Times New Roman"/>
            <w:color w:val="auto"/>
            <w:sz w:val="18"/>
            <w:szCs w:val="18"/>
            <w:lang w:val="en-US"/>
          </w:rPr>
          <w:t>https://balkaninsight.com/2020/05/20/decimated-danube-sturgeon-revival-efforts-neglect-roots-of-poaching/</w:t>
        </w:r>
      </w:hyperlink>
      <w:r w:rsidRPr="00765797">
        <w:rPr>
          <w:rFonts w:cs="Times New Roman"/>
          <w:sz w:val="18"/>
          <w:szCs w:val="18"/>
          <w:lang w:val="en-US"/>
        </w:rPr>
        <w:t xml:space="preserve"> [last accessed: 30.05.20] </w:t>
      </w:r>
    </w:p>
  </w:footnote>
  <w:footnote w:id="195">
    <w:p w14:paraId="0BBFCFC0" w14:textId="64E726B5" w:rsidR="00765797" w:rsidRPr="00765797" w:rsidRDefault="00765797" w:rsidP="00967716">
      <w:pPr>
        <w:pStyle w:val="FootnoteText"/>
        <w:rPr>
          <w:sz w:val="18"/>
          <w:szCs w:val="18"/>
          <w:lang w:val="en-US"/>
        </w:rPr>
      </w:pPr>
      <w:r w:rsidRPr="00765797">
        <w:rPr>
          <w:rStyle w:val="FootnoteReference"/>
          <w:sz w:val="18"/>
          <w:szCs w:val="18"/>
        </w:rPr>
        <w:footnoteRef/>
      </w:r>
      <w:r w:rsidRPr="00765797">
        <w:rPr>
          <w:rFonts w:cs="Times New Roman"/>
          <w:sz w:val="18"/>
          <w:szCs w:val="18"/>
        </w:rPr>
        <w:t xml:space="preserve"> Representative of the World Sturgeon Conservation Society, speaking at the 9</w:t>
      </w:r>
      <w:r w:rsidRPr="00765797">
        <w:rPr>
          <w:rFonts w:cs="Times New Roman"/>
          <w:sz w:val="18"/>
          <w:szCs w:val="18"/>
          <w:vertAlign w:val="superscript"/>
        </w:rPr>
        <w:t>th</w:t>
      </w:r>
      <w:r w:rsidRPr="00765797">
        <w:rPr>
          <w:rFonts w:cs="Times New Roman"/>
          <w:sz w:val="18"/>
          <w:szCs w:val="18"/>
        </w:rPr>
        <w:t xml:space="preserve"> Aller Aqua International sturgeon conference, Warsaw, November 2018</w:t>
      </w:r>
    </w:p>
  </w:footnote>
  <w:footnote w:id="196">
    <w:p w14:paraId="5891A675" w14:textId="49BE73A6" w:rsidR="00765797" w:rsidRPr="00765797" w:rsidRDefault="00765797" w:rsidP="00967716">
      <w:pPr>
        <w:pStyle w:val="FootnoteText"/>
        <w:rPr>
          <w:sz w:val="18"/>
          <w:szCs w:val="18"/>
          <w:lang w:val="en-US"/>
        </w:rPr>
      </w:pPr>
      <w:r w:rsidRPr="00765797">
        <w:rPr>
          <w:rStyle w:val="FootnoteReference"/>
          <w:sz w:val="18"/>
          <w:szCs w:val="18"/>
        </w:rPr>
        <w:footnoteRef/>
      </w:r>
      <w:r w:rsidRPr="00765797">
        <w:rPr>
          <w:sz w:val="18"/>
          <w:szCs w:val="18"/>
        </w:rPr>
        <w:t xml:space="preserve"> Interview with Ethan, WP2.38, Sturgeon farmer and caviar producer, UK September 2018</w:t>
      </w:r>
    </w:p>
  </w:footnote>
  <w:footnote w:id="197">
    <w:p w14:paraId="508D1842" w14:textId="27A5BA70" w:rsidR="00765797" w:rsidRPr="00765797" w:rsidRDefault="00765797" w:rsidP="00F90322">
      <w:pPr>
        <w:pStyle w:val="FootnoteText"/>
        <w:rPr>
          <w:rFonts w:cs="Times New Roman"/>
          <w:sz w:val="18"/>
          <w:szCs w:val="18"/>
        </w:rPr>
      </w:pPr>
      <w:r w:rsidRPr="00765797">
        <w:rPr>
          <w:rStyle w:val="FootnoteReference"/>
          <w:sz w:val="18"/>
          <w:szCs w:val="18"/>
        </w:rPr>
        <w:footnoteRef/>
      </w:r>
      <w:r w:rsidRPr="00765797">
        <w:rPr>
          <w:rFonts w:cs="Times New Roman"/>
          <w:sz w:val="18"/>
          <w:szCs w:val="18"/>
        </w:rPr>
        <w:t xml:space="preserve"> Interview with Yvar, WP2.16, Researcher, March 2018. See also Van Uhm &amp; Siegel (2016), which notes that poachers in the Caspian have Garmin GPS systems, and state-of-the-art Baida boats. ‘The illegal trade in Black Caviar’ </w:t>
      </w:r>
      <w:hyperlink r:id="rId75" w:history="1">
        <w:r w:rsidRPr="00765797">
          <w:rPr>
            <w:rStyle w:val="Hyperlink"/>
            <w:rFonts w:cs="Times New Roman"/>
            <w:color w:val="auto"/>
            <w:sz w:val="18"/>
            <w:szCs w:val="18"/>
          </w:rPr>
          <w:t>https://link.springer.com/article/10.1007/s12117-016-9264-5</w:t>
        </w:r>
      </w:hyperlink>
      <w:r w:rsidRPr="00765797">
        <w:rPr>
          <w:rFonts w:cs="Times New Roman"/>
          <w:sz w:val="18"/>
          <w:szCs w:val="18"/>
        </w:rPr>
        <w:t xml:space="preserve"> [last accessed: 30.05.20] </w:t>
      </w:r>
    </w:p>
  </w:footnote>
  <w:footnote w:id="198">
    <w:p w14:paraId="2770D5FA" w14:textId="7D2A5BC2" w:rsidR="00765797" w:rsidRPr="00765797" w:rsidRDefault="00765797" w:rsidP="00F90322">
      <w:pPr>
        <w:pStyle w:val="FootnoteText"/>
        <w:rPr>
          <w:sz w:val="18"/>
          <w:szCs w:val="18"/>
        </w:rPr>
      </w:pPr>
      <w:r w:rsidRPr="00765797">
        <w:rPr>
          <w:rStyle w:val="FootnoteReference"/>
          <w:sz w:val="18"/>
          <w:szCs w:val="18"/>
        </w:rPr>
        <w:footnoteRef/>
      </w:r>
      <w:r w:rsidRPr="00765797">
        <w:rPr>
          <w:rFonts w:cs="Times New Roman"/>
          <w:sz w:val="18"/>
          <w:szCs w:val="18"/>
        </w:rPr>
        <w:t xml:space="preserve"> </w:t>
      </w:r>
      <w:r w:rsidRPr="00765797">
        <w:rPr>
          <w:sz w:val="18"/>
          <w:szCs w:val="18"/>
        </w:rPr>
        <w:t>Interview with Rose, WP2.10, NGO Representative, Austria, February 2018</w:t>
      </w:r>
    </w:p>
  </w:footnote>
  <w:footnote w:id="199">
    <w:p w14:paraId="2ECDAC91" w14:textId="41E43457" w:rsidR="00765797" w:rsidRPr="00765797" w:rsidRDefault="00765797" w:rsidP="00F90322">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Interview with Joseph, WP2.33b, CEO Testing Laboratory, UK, July 2018 </w:t>
      </w:r>
    </w:p>
  </w:footnote>
  <w:footnote w:id="200">
    <w:p w14:paraId="2361FADD" w14:textId="618354C6" w:rsidR="00765797" w:rsidRPr="00765797" w:rsidRDefault="00765797" w:rsidP="00F90322">
      <w:pPr>
        <w:pStyle w:val="FootnoteText"/>
        <w:rPr>
          <w:sz w:val="18"/>
          <w:szCs w:val="18"/>
          <w:lang w:val="en-US"/>
        </w:rPr>
      </w:pPr>
      <w:r w:rsidRPr="00765797">
        <w:rPr>
          <w:rStyle w:val="FootnoteReference"/>
          <w:sz w:val="18"/>
          <w:szCs w:val="18"/>
        </w:rPr>
        <w:footnoteRef/>
      </w:r>
      <w:r w:rsidRPr="00765797">
        <w:rPr>
          <w:rFonts w:cs="Times New Roman"/>
          <w:sz w:val="18"/>
          <w:szCs w:val="18"/>
        </w:rPr>
        <w:t xml:space="preserve"> Interview with Yvar, WP2.16, Researcher, Netherlands, March 2018</w:t>
      </w:r>
      <w:r w:rsidRPr="00765797">
        <w:rPr>
          <w:sz w:val="18"/>
          <w:szCs w:val="18"/>
        </w:rPr>
        <w:t xml:space="preserve"> </w:t>
      </w:r>
    </w:p>
  </w:footnote>
  <w:footnote w:id="201">
    <w:p w14:paraId="00E1AF01" w14:textId="1626C5DA" w:rsidR="00765797" w:rsidRPr="00765797" w:rsidRDefault="00765797" w:rsidP="00F90322">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Interview with Vince, WP2.08, CITES officer, UK, February 2018</w:t>
      </w:r>
    </w:p>
  </w:footnote>
  <w:footnote w:id="202">
    <w:p w14:paraId="6D036E1C" w14:textId="44F7868D" w:rsidR="00765797" w:rsidRPr="00765797" w:rsidRDefault="00765797" w:rsidP="00F90322">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sz w:val="18"/>
          <w:szCs w:val="18"/>
        </w:rPr>
        <w:t>Interview with Rose, WP2.10, NGO Representative, Austria, February 2018</w:t>
      </w:r>
    </w:p>
  </w:footnote>
  <w:footnote w:id="203">
    <w:p w14:paraId="0B707AA4" w14:textId="44A52D7B" w:rsidR="00765797" w:rsidRPr="00765797" w:rsidRDefault="00765797">
      <w:pPr>
        <w:pStyle w:val="FootnoteText"/>
        <w:rPr>
          <w:sz w:val="18"/>
          <w:szCs w:val="18"/>
          <w:lang w:val="en-US"/>
        </w:rPr>
      </w:pPr>
      <w:r w:rsidRPr="00765797">
        <w:rPr>
          <w:rStyle w:val="FootnoteReference"/>
          <w:sz w:val="18"/>
          <w:szCs w:val="18"/>
        </w:rPr>
        <w:footnoteRef/>
      </w:r>
      <w:r w:rsidRPr="00765797">
        <w:rPr>
          <w:sz w:val="18"/>
          <w:szCs w:val="18"/>
        </w:rPr>
        <w:t xml:space="preserve"> The Directorate General for Environment, European Commission. DG-ENV is the European Commission department responsible for leading on wildlife trade policy in the EU, and are currently undertaking an evaluation of the EU Action Plan against Wildlife Trafficking (2016), which clearly situates wildlife crime as a security issue. See the action plan: </w:t>
      </w:r>
      <w:hyperlink r:id="rId76" w:history="1">
        <w:r w:rsidRPr="00765797">
          <w:rPr>
            <w:rStyle w:val="Hyperlink"/>
            <w:color w:val="auto"/>
            <w:sz w:val="18"/>
            <w:szCs w:val="18"/>
          </w:rPr>
          <w:t>https://ec.europa.eu/environment/cites/pdf/WAP_EN_WEB.PDF</w:t>
        </w:r>
      </w:hyperlink>
      <w:r w:rsidRPr="00765797">
        <w:rPr>
          <w:sz w:val="18"/>
          <w:szCs w:val="18"/>
        </w:rPr>
        <w:t xml:space="preserve"> [last accessed: 01.06.20] </w:t>
      </w:r>
    </w:p>
  </w:footnote>
  <w:footnote w:id="204">
    <w:p w14:paraId="6D07CDFD" w14:textId="0F4D324D" w:rsidR="00765797" w:rsidRPr="00765797" w:rsidRDefault="00765797">
      <w:pPr>
        <w:pStyle w:val="FootnoteText"/>
        <w:rPr>
          <w:sz w:val="18"/>
          <w:szCs w:val="18"/>
          <w:lang w:val="en-US"/>
        </w:rPr>
      </w:pPr>
      <w:r w:rsidRPr="00765797">
        <w:rPr>
          <w:rStyle w:val="FootnoteReference"/>
          <w:sz w:val="18"/>
          <w:szCs w:val="18"/>
        </w:rPr>
        <w:footnoteRef/>
      </w:r>
      <w:r w:rsidRPr="00765797">
        <w:rPr>
          <w:sz w:val="18"/>
          <w:szCs w:val="18"/>
        </w:rPr>
        <w:t xml:space="preserve"> The Directorate General for International Cooperation and Development, European Commission. In 2019 DG-DEVCO published a ‘Study on the Interaction between security and wildlife conservation in Sub-Saharan Africa’:</w:t>
      </w:r>
      <w:hyperlink r:id="rId77" w:history="1">
        <w:r w:rsidRPr="00765797">
          <w:rPr>
            <w:rStyle w:val="Hyperlink"/>
            <w:color w:val="auto"/>
            <w:sz w:val="18"/>
            <w:szCs w:val="18"/>
          </w:rPr>
          <w:t>https://op.europa.eu/en/publication-detail/-/publication/53ed0515-de76-11e9-9c4e-01aa75ed71a1/language-en/format-PDF/source-search</w:t>
        </w:r>
      </w:hyperlink>
      <w:r w:rsidRPr="00765797">
        <w:rPr>
          <w:sz w:val="18"/>
          <w:szCs w:val="18"/>
        </w:rPr>
        <w:t xml:space="preserve">  [last accessed: 01.06.20] </w:t>
      </w:r>
    </w:p>
  </w:footnote>
  <w:footnote w:id="205">
    <w:p w14:paraId="58E805DA" w14:textId="5B0D7D9F" w:rsidR="00765797" w:rsidRPr="00765797" w:rsidRDefault="00765797">
      <w:pPr>
        <w:pStyle w:val="FootnoteText"/>
        <w:rPr>
          <w:sz w:val="18"/>
          <w:szCs w:val="18"/>
          <w:lang w:val="en-US"/>
        </w:rPr>
      </w:pPr>
      <w:r w:rsidRPr="00765797">
        <w:rPr>
          <w:rStyle w:val="FootnoteReference"/>
          <w:sz w:val="18"/>
          <w:szCs w:val="18"/>
        </w:rPr>
        <w:footnoteRef/>
      </w:r>
      <w:r w:rsidRPr="00765797">
        <w:rPr>
          <w:sz w:val="18"/>
          <w:szCs w:val="18"/>
        </w:rPr>
        <w:t xml:space="preserve"> The Directorate General for Regional and Urban policy, European Commission. </w:t>
      </w:r>
    </w:p>
  </w:footnote>
  <w:footnote w:id="206">
    <w:p w14:paraId="629A7A7B" w14:textId="77777777" w:rsidR="00765797" w:rsidRPr="00765797" w:rsidRDefault="00765797">
      <w:pPr>
        <w:pStyle w:val="FootnoteText"/>
        <w:rPr>
          <w:sz w:val="18"/>
          <w:szCs w:val="18"/>
        </w:rPr>
      </w:pPr>
      <w:r w:rsidRPr="00765797">
        <w:rPr>
          <w:rStyle w:val="FootnoteReference"/>
          <w:sz w:val="18"/>
          <w:szCs w:val="18"/>
        </w:rPr>
        <w:footnoteRef/>
      </w:r>
      <w:r w:rsidRPr="00765797">
        <w:rPr>
          <w:sz w:val="18"/>
          <w:szCs w:val="18"/>
        </w:rPr>
        <w:t xml:space="preserve"> The European External Action Service is the diplomatic service and combined foreign and defence ministry of the European Union. See a 2017 report entitled: ‘One year after – Overview of actions and initiatives taken by EU Member States and European Commission’, which details how the EEAS worked with DG DEVCO to “address the security dimensions of wildlife trafficking”. This included organising 2 workshops on conservation and security in the DRC-CAR Garamba-Chinko corridor. </w:t>
      </w:r>
    </w:p>
    <w:p w14:paraId="0CB0EBCA" w14:textId="5B599B7F" w:rsidR="00765797" w:rsidRPr="00765797" w:rsidRDefault="00765797">
      <w:pPr>
        <w:pStyle w:val="FootnoteText"/>
        <w:rPr>
          <w:sz w:val="18"/>
          <w:szCs w:val="18"/>
        </w:rPr>
      </w:pPr>
      <w:hyperlink r:id="rId78" w:history="1">
        <w:r w:rsidRPr="00765797">
          <w:rPr>
            <w:rStyle w:val="Hyperlink"/>
            <w:color w:val="auto"/>
            <w:sz w:val="18"/>
            <w:szCs w:val="18"/>
          </w:rPr>
          <w:t>https://ec.europa.eu/environment/cites/pdf/Achievements_WAP_overview.pdf</w:t>
        </w:r>
      </w:hyperlink>
      <w:r w:rsidRPr="00765797">
        <w:rPr>
          <w:sz w:val="18"/>
          <w:szCs w:val="18"/>
        </w:rPr>
        <w:t xml:space="preserve"> [last accessed: 01.06.20] </w:t>
      </w:r>
    </w:p>
  </w:footnote>
  <w:footnote w:id="207">
    <w:p w14:paraId="63EB2AAF" w14:textId="40CDEBAB" w:rsidR="00765797" w:rsidRPr="00765797" w:rsidRDefault="00765797">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 xml:space="preserve">See the Council of Europe (2018) report: ‘The EU policy cycle to tackle organised and serious international crime’ </w:t>
      </w:r>
      <w:hyperlink r:id="rId79" w:history="1">
        <w:r w:rsidRPr="00765797">
          <w:rPr>
            <w:rStyle w:val="Hyperlink"/>
            <w:rFonts w:cs="Times New Roman"/>
            <w:color w:val="auto"/>
            <w:sz w:val="18"/>
            <w:szCs w:val="18"/>
            <w:lang w:val="en-US"/>
          </w:rPr>
          <w:t>https://www.consilium.europa.eu/media/37340/20185274_qc0418775enn_pdf.pdf</w:t>
        </w:r>
      </w:hyperlink>
      <w:r w:rsidRPr="00765797">
        <w:rPr>
          <w:rFonts w:cs="Times New Roman"/>
          <w:sz w:val="18"/>
          <w:szCs w:val="18"/>
          <w:lang w:val="en-US"/>
        </w:rPr>
        <w:t xml:space="preserve"> [last accessed: 01.06.20] </w:t>
      </w:r>
    </w:p>
  </w:footnote>
  <w:footnote w:id="208">
    <w:p w14:paraId="354E0789" w14:textId="3948B0D1" w:rsidR="00765797" w:rsidRPr="00765797" w:rsidRDefault="00765797">
      <w:pPr>
        <w:pStyle w:val="FootnoteText"/>
        <w:rPr>
          <w:sz w:val="18"/>
          <w:szCs w:val="18"/>
          <w:lang w:val="en-US"/>
        </w:rPr>
      </w:pPr>
      <w:r w:rsidRPr="00765797">
        <w:rPr>
          <w:rStyle w:val="FootnoteReference"/>
          <w:sz w:val="18"/>
          <w:szCs w:val="18"/>
        </w:rPr>
        <w:footnoteRef/>
      </w:r>
      <w:r w:rsidRPr="00765797">
        <w:rPr>
          <w:sz w:val="18"/>
          <w:szCs w:val="18"/>
        </w:rPr>
        <w:t xml:space="preserve"> </w:t>
      </w:r>
      <w:r w:rsidRPr="00765797">
        <w:rPr>
          <w:sz w:val="18"/>
          <w:szCs w:val="18"/>
          <w:lang w:val="en-US"/>
        </w:rPr>
        <w:t>Interview with Ulmer, WP2.06, DG ENV, European Commission, February 2018</w:t>
      </w:r>
    </w:p>
  </w:footnote>
  <w:footnote w:id="209">
    <w:p w14:paraId="2EF5D070" w14:textId="28D20BF5" w:rsidR="00765797" w:rsidRPr="00765797" w:rsidRDefault="00765797" w:rsidP="00F90322">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Interview with Rose, WP2.10, NGO representative, Austria, February 2018</w:t>
      </w:r>
    </w:p>
  </w:footnote>
  <w:footnote w:id="210">
    <w:p w14:paraId="274A3334" w14:textId="34B41552" w:rsidR="00765797" w:rsidRPr="00765797" w:rsidRDefault="00765797" w:rsidP="00F90322">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Ulmer, WP2.06, DG ENV, European Commission, February, 2018</w:t>
      </w:r>
    </w:p>
  </w:footnote>
  <w:footnote w:id="211">
    <w:p w14:paraId="387E5B3D" w14:textId="50E6297A" w:rsidR="00765797" w:rsidRPr="00765797" w:rsidRDefault="00765797">
      <w:pPr>
        <w:pStyle w:val="FootnoteText"/>
        <w:rPr>
          <w:lang w:val="en-US"/>
        </w:rPr>
      </w:pPr>
      <w:r w:rsidRPr="00765797">
        <w:rPr>
          <w:rStyle w:val="FootnoteReference"/>
          <w:sz w:val="18"/>
          <w:szCs w:val="18"/>
        </w:rPr>
        <w:footnoteRef/>
      </w:r>
      <w:r w:rsidRPr="00765797">
        <w:rPr>
          <w:sz w:val="18"/>
          <w:szCs w:val="18"/>
        </w:rPr>
        <w:t xml:space="preserve"> </w:t>
      </w:r>
      <w:r w:rsidRPr="00765797">
        <w:rPr>
          <w:sz w:val="18"/>
          <w:szCs w:val="18"/>
          <w:lang w:val="en-US"/>
        </w:rPr>
        <w:t>Interview with Yvar, WP2.16, Researcher, Netherlands, March 2018</w:t>
      </w:r>
    </w:p>
  </w:footnote>
  <w:footnote w:id="212">
    <w:p w14:paraId="2C969CE3" w14:textId="1FCFF25A" w:rsidR="00765797" w:rsidRPr="00765797" w:rsidRDefault="00765797" w:rsidP="00F90322">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Ulmer, WP2.06, DG ENV, European Commission, February 2018</w:t>
      </w:r>
    </w:p>
  </w:footnote>
  <w:footnote w:id="213">
    <w:p w14:paraId="290D8210" w14:textId="6610711A" w:rsidR="00765797" w:rsidRPr="00765797" w:rsidRDefault="00765797" w:rsidP="00F90322">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Interview with </w:t>
      </w:r>
      <w:r w:rsidRPr="00765797">
        <w:rPr>
          <w:rFonts w:eastAsia="Times New Roman" w:cs="Times New Roman"/>
          <w:sz w:val="18"/>
          <w:szCs w:val="18"/>
        </w:rPr>
        <w:t>Čelan</w:t>
      </w:r>
      <w:r w:rsidRPr="00765797">
        <w:rPr>
          <w:rFonts w:cs="Times New Roman"/>
          <w:sz w:val="18"/>
          <w:szCs w:val="18"/>
        </w:rPr>
        <w:t xml:space="preserve"> WP2.19, Europol, Netherlands, March 2018</w:t>
      </w:r>
    </w:p>
  </w:footnote>
  <w:footnote w:id="214">
    <w:p w14:paraId="25C32915" w14:textId="7B1A9155" w:rsidR="00765797" w:rsidRPr="00765797" w:rsidRDefault="00765797" w:rsidP="00593F4E">
      <w:pPr>
        <w:pStyle w:val="FootnoteText"/>
        <w:rPr>
          <w:rFonts w:cs="Times New Roman"/>
          <w:sz w:val="18"/>
          <w:szCs w:val="18"/>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 xml:space="preserve">Interview with Yvar, WP2.16, Researcher, March 2018. See also Van Uhm &amp; Siegel (2016) </w:t>
      </w:r>
      <w:r w:rsidRPr="00765797">
        <w:rPr>
          <w:rFonts w:cs="Times New Roman"/>
          <w:sz w:val="18"/>
          <w:szCs w:val="18"/>
        </w:rPr>
        <w:t xml:space="preserve">‘The illegal trade in Black Caviar’, which details how Russian entrepreneurs deliver wild caviar taken from the Caspian Sea, by refrigerated trucks to Hamburg and Dusseldorf; and how caviar is trafficked by road from Azerbaijan through Georgia and Turkey, into the EU.  </w:t>
      </w:r>
      <w:hyperlink r:id="rId80" w:history="1">
        <w:r w:rsidRPr="00765797">
          <w:rPr>
            <w:rStyle w:val="Hyperlink"/>
            <w:rFonts w:cs="Times New Roman"/>
            <w:color w:val="auto"/>
            <w:sz w:val="18"/>
            <w:szCs w:val="18"/>
          </w:rPr>
          <w:t>https://link.springer.com/article/10.1007/s12117-016-9264-5</w:t>
        </w:r>
      </w:hyperlink>
      <w:r w:rsidRPr="00765797">
        <w:rPr>
          <w:rFonts w:cs="Times New Roman"/>
          <w:sz w:val="18"/>
          <w:szCs w:val="18"/>
        </w:rPr>
        <w:t xml:space="preserve"> [last accessed: 30.05.20] </w:t>
      </w:r>
    </w:p>
    <w:p w14:paraId="0643723D" w14:textId="527887DE" w:rsidR="00765797" w:rsidRPr="00765797" w:rsidRDefault="00765797" w:rsidP="00F90322">
      <w:pPr>
        <w:pStyle w:val="FootnoteText"/>
        <w:rPr>
          <w:rFonts w:cs="Times New Roman"/>
          <w:sz w:val="18"/>
          <w:szCs w:val="18"/>
          <w:lang w:val="en-US"/>
        </w:rPr>
      </w:pPr>
    </w:p>
  </w:footnote>
  <w:footnote w:id="215">
    <w:p w14:paraId="64823A24" w14:textId="712B9210" w:rsidR="00765797" w:rsidRPr="00765797" w:rsidRDefault="00765797" w:rsidP="00F90322">
      <w:pPr>
        <w:pStyle w:val="normal0"/>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Ulmer, WP2.06, DG-ENV, European Commission, February 2018 </w:t>
      </w:r>
    </w:p>
  </w:footnote>
  <w:footnote w:id="216">
    <w:p w14:paraId="533EBB9C" w14:textId="77777777" w:rsidR="00765797" w:rsidRPr="00765797" w:rsidRDefault="00765797" w:rsidP="00F90322">
      <w:pPr>
        <w:pStyle w:val="FootnoteText"/>
        <w:rPr>
          <w:rFonts w:cs="Times New Roman"/>
          <w:sz w:val="18"/>
          <w:szCs w:val="18"/>
        </w:rPr>
      </w:pPr>
      <w:r w:rsidRPr="00765797">
        <w:rPr>
          <w:rStyle w:val="FootnoteReference"/>
          <w:rFonts w:cs="Times New Roman"/>
          <w:sz w:val="18"/>
          <w:szCs w:val="18"/>
        </w:rPr>
        <w:footnoteRef/>
      </w:r>
      <w:r w:rsidRPr="00765797">
        <w:rPr>
          <w:rFonts w:cs="Times New Roman"/>
          <w:sz w:val="18"/>
          <w:szCs w:val="18"/>
        </w:rPr>
        <w:t xml:space="preserve"> Interview with Rose, WP2.10, NGO representative, Austria, February 2018. See also the 2017 multi-agency report on ‘Combatting Wildlife and Forest Crime in the Danube-Carpathian Region’, which outlines issues of corruption in fuelling wildlife crime in the region.  </w:t>
      </w:r>
    </w:p>
    <w:p w14:paraId="72FD68D1" w14:textId="28B03D85" w:rsidR="00765797" w:rsidRPr="00765797" w:rsidRDefault="00765797" w:rsidP="00F90322">
      <w:pPr>
        <w:pStyle w:val="FootnoteText"/>
        <w:rPr>
          <w:rFonts w:cs="Times New Roman"/>
          <w:sz w:val="18"/>
          <w:szCs w:val="18"/>
        </w:rPr>
      </w:pPr>
      <w:hyperlink r:id="rId81" w:history="1">
        <w:r w:rsidRPr="00765797">
          <w:rPr>
            <w:rStyle w:val="Hyperlink"/>
            <w:rFonts w:cs="Times New Roman"/>
            <w:color w:val="auto"/>
            <w:sz w:val="18"/>
            <w:szCs w:val="18"/>
          </w:rPr>
          <w:t>https://wedocs.unep.org/bitstream/handle/20.500.11822/22225/Combating_WildlifeCrime_Danube.pdf?sequence=1&amp;isAllowed=y</w:t>
        </w:r>
      </w:hyperlink>
      <w:r w:rsidRPr="00765797">
        <w:rPr>
          <w:rFonts w:cs="Times New Roman"/>
          <w:sz w:val="18"/>
          <w:szCs w:val="18"/>
        </w:rPr>
        <w:t xml:space="preserve"> [last accessed: 30.05.20]  </w:t>
      </w:r>
    </w:p>
  </w:footnote>
  <w:footnote w:id="217">
    <w:p w14:paraId="7EAB0FC9" w14:textId="28EF277C" w:rsidR="00765797" w:rsidRPr="00765797" w:rsidRDefault="00765797" w:rsidP="00F90322">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Interview with Michael, WP2.02, ex-enforcement officer, UK, December 2017</w:t>
      </w:r>
    </w:p>
  </w:footnote>
  <w:footnote w:id="218">
    <w:p w14:paraId="422E3ACA" w14:textId="4F53BAE0" w:rsidR="00765797" w:rsidRPr="00765797" w:rsidRDefault="00765797">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For example see the 2019 DG-DEVCO ‘Study on the Interaction between security and wildlife conservation in Sub-Saharan Africa’:</w:t>
      </w:r>
      <w:hyperlink r:id="rId82" w:history="1">
        <w:r w:rsidRPr="00765797">
          <w:rPr>
            <w:rStyle w:val="Hyperlink"/>
            <w:rFonts w:cs="Times New Roman"/>
            <w:color w:val="auto"/>
            <w:sz w:val="18"/>
            <w:szCs w:val="18"/>
          </w:rPr>
          <w:t>https://op.europa.eu/en/publication-detail/-/publication/53ed0515-de76-11e9-9c4e-01aa75ed71a1/language-en/format-PDF/source-search</w:t>
        </w:r>
      </w:hyperlink>
      <w:r w:rsidRPr="00765797">
        <w:rPr>
          <w:rFonts w:cs="Times New Roman"/>
          <w:sz w:val="18"/>
          <w:szCs w:val="18"/>
        </w:rPr>
        <w:t xml:space="preserve">  [last accessed: 01.06.20]</w:t>
      </w:r>
    </w:p>
  </w:footnote>
  <w:footnote w:id="219">
    <w:p w14:paraId="03898796" w14:textId="2B7FCE79" w:rsidR="00765797" w:rsidRPr="00765797" w:rsidRDefault="00765797" w:rsidP="00F90322">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eastAsia="Cambria" w:cs="Times New Roman"/>
          <w:sz w:val="18"/>
          <w:szCs w:val="18"/>
        </w:rPr>
        <w:t>Interview with Michael, WP2.02 ex-enforcement officer, UK, December 2017</w:t>
      </w:r>
    </w:p>
  </w:footnote>
  <w:footnote w:id="220">
    <w:p w14:paraId="4E2338D1" w14:textId="0195B6E0" w:rsidR="00765797" w:rsidRPr="00765797" w:rsidRDefault="00765797" w:rsidP="00F90322">
      <w:pPr>
        <w:pStyle w:val="normal0"/>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Oliya, WP2.04, Caviar Producer, Belgium, February 2018</w:t>
      </w:r>
    </w:p>
  </w:footnote>
  <w:footnote w:id="221">
    <w:p w14:paraId="38479406" w14:textId="77777777" w:rsidR="00765797" w:rsidRPr="00765797" w:rsidRDefault="00765797" w:rsidP="00F90322">
      <w:pPr>
        <w:pStyle w:val="normal0"/>
        <w:spacing w:line="240" w:lineRule="auto"/>
        <w:rPr>
          <w:rFonts w:ascii="Times New Roman" w:eastAsia="Cambria"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w:t>
      </w:r>
      <w:r w:rsidRPr="00765797">
        <w:rPr>
          <w:rFonts w:ascii="Times New Roman" w:hAnsi="Times New Roman" w:cs="Times New Roman"/>
          <w:sz w:val="18"/>
          <w:szCs w:val="18"/>
          <w:lang w:val="en-US"/>
        </w:rPr>
        <w:t xml:space="preserve">Informal discussion with Sigrid, WP2.40 </w:t>
      </w:r>
      <w:r w:rsidRPr="00765797">
        <w:rPr>
          <w:rFonts w:ascii="Times New Roman" w:eastAsia="Cambria" w:hAnsi="Times New Roman" w:cs="Times New Roman"/>
          <w:sz w:val="18"/>
          <w:szCs w:val="18"/>
        </w:rPr>
        <w:t xml:space="preserve">at the Aller-Aqua 9th International Sturgeon Conference, Warsaw, November 2018 </w:t>
      </w:r>
    </w:p>
    <w:p w14:paraId="2D068BD0" w14:textId="77777777" w:rsidR="00765797" w:rsidRPr="00765797" w:rsidRDefault="00765797" w:rsidP="00F90322">
      <w:pPr>
        <w:pStyle w:val="FootnoteText"/>
        <w:rPr>
          <w:lang w:val="en-US"/>
        </w:rPr>
      </w:pPr>
    </w:p>
  </w:footnote>
  <w:footnote w:id="222">
    <w:p w14:paraId="49C0509E" w14:textId="6F7A7C4D" w:rsidR="00765797" w:rsidRPr="00765797" w:rsidRDefault="00765797">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The LIFE programme is the EU’s funding instrument for the environment and climate action, created in 1992. To date more than 5,400 projects have been co-funded under the EU LIFE programme. </w:t>
      </w:r>
      <w:hyperlink r:id="rId83" w:history="1">
        <w:r w:rsidRPr="00765797">
          <w:rPr>
            <w:rStyle w:val="Hyperlink"/>
            <w:rFonts w:cs="Times New Roman"/>
            <w:color w:val="auto"/>
            <w:sz w:val="18"/>
            <w:szCs w:val="18"/>
          </w:rPr>
          <w:t>https://ec.europa.eu/easme/en/life</w:t>
        </w:r>
      </w:hyperlink>
    </w:p>
  </w:footnote>
  <w:footnote w:id="223">
    <w:p w14:paraId="55E5CD66" w14:textId="105656C8" w:rsidR="00765797" w:rsidRPr="00765797" w:rsidRDefault="00765797" w:rsidP="00E12ED4">
      <w:pPr>
        <w:pStyle w:val="FootnoteText"/>
        <w:rPr>
          <w:rFonts w:cs="Times New Roman"/>
          <w:sz w:val="18"/>
          <w:szCs w:val="18"/>
        </w:rPr>
      </w:pPr>
      <w:r w:rsidRPr="00765797">
        <w:rPr>
          <w:rStyle w:val="FootnoteReference"/>
          <w:rFonts w:cs="Times New Roman"/>
          <w:sz w:val="18"/>
          <w:szCs w:val="18"/>
        </w:rPr>
        <w:footnoteRef/>
      </w:r>
      <w:r w:rsidRPr="00765797">
        <w:rPr>
          <w:rFonts w:cs="Times New Roman"/>
          <w:sz w:val="18"/>
          <w:szCs w:val="18"/>
        </w:rPr>
        <w:t xml:space="preserve"> The European Commission provided in excess of 1.1 million euro in funding to LIFE for Danube Sturgeons project:</w:t>
      </w:r>
    </w:p>
    <w:p w14:paraId="6F2E7809" w14:textId="6C05A8C7" w:rsidR="00765797" w:rsidRPr="00765797" w:rsidRDefault="00765797" w:rsidP="00E12ED4">
      <w:pPr>
        <w:pStyle w:val="FootnoteText"/>
        <w:rPr>
          <w:rFonts w:cs="Times New Roman"/>
          <w:sz w:val="18"/>
          <w:szCs w:val="18"/>
        </w:rPr>
      </w:pPr>
      <w:hyperlink r:id="rId84">
        <w:r w:rsidRPr="00765797">
          <w:rPr>
            <w:rFonts w:cs="Times New Roman"/>
            <w:sz w:val="18"/>
            <w:szCs w:val="18"/>
            <w:u w:val="single"/>
          </w:rPr>
          <w:t>http://ec.europa.eu/environment/life/project/Projects/index.cfm?fuseaction=search.dspPage&amp;n_proj_id=5818&amp;docType=pdf</w:t>
        </w:r>
      </w:hyperlink>
      <w:r w:rsidRPr="00765797">
        <w:rPr>
          <w:rFonts w:cs="Times New Roman"/>
          <w:sz w:val="18"/>
          <w:szCs w:val="18"/>
        </w:rPr>
        <w:t xml:space="preserve"> [accessed: 05.02.19]</w:t>
      </w:r>
    </w:p>
  </w:footnote>
  <w:footnote w:id="224">
    <w:p w14:paraId="64BFEA6D" w14:textId="042CAA62" w:rsidR="00765797" w:rsidRPr="00765797" w:rsidRDefault="00765797" w:rsidP="00E12ED4">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Interview with Rose, WP2.10, NGO representative, Austria, February 2018</w:t>
      </w:r>
    </w:p>
  </w:footnote>
  <w:footnote w:id="225">
    <w:p w14:paraId="31914CDD" w14:textId="196557AB" w:rsidR="00765797" w:rsidRPr="00765797" w:rsidRDefault="00765797" w:rsidP="00E12ED4">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eastAsia="Cambria" w:cs="Times New Roman"/>
          <w:sz w:val="18"/>
          <w:szCs w:val="18"/>
        </w:rPr>
        <w:t>Interview with Irini, WP2.26, NGO Representative, Romania, May 2018</w:t>
      </w:r>
    </w:p>
  </w:footnote>
  <w:footnote w:id="226">
    <w:p w14:paraId="2E3E7807" w14:textId="599E26AB" w:rsidR="00765797" w:rsidRPr="00765797" w:rsidRDefault="00765797" w:rsidP="00F90322">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WWF-Network, Sturgeon Strategy: </w:t>
      </w:r>
      <w:hyperlink r:id="rId85">
        <w:r w:rsidRPr="00765797">
          <w:rPr>
            <w:rFonts w:cs="Times New Roman"/>
            <w:sz w:val="18"/>
            <w:szCs w:val="18"/>
            <w:u w:val="single"/>
          </w:rPr>
          <w:t>https://danube-sturgeons.org/wp-content/uploads/2017/10/WWF-Global-Sturgeon-Strategy-2017.pdf</w:t>
        </w:r>
      </w:hyperlink>
      <w:r w:rsidRPr="00765797">
        <w:rPr>
          <w:rFonts w:cs="Times New Roman"/>
          <w:sz w:val="18"/>
          <w:szCs w:val="18"/>
        </w:rPr>
        <w:t xml:space="preserve"> [last accessed: 20.02.20]</w:t>
      </w:r>
    </w:p>
  </w:footnote>
  <w:footnote w:id="227">
    <w:p w14:paraId="6D68A186" w14:textId="1627E141" w:rsidR="00765797" w:rsidRPr="00765797" w:rsidRDefault="00765797" w:rsidP="00F90322">
      <w:pPr>
        <w:pStyle w:val="FootnoteText"/>
        <w:rPr>
          <w:rFonts w:cs="Times New Roman"/>
          <w:sz w:val="18"/>
          <w:szCs w:val="18"/>
          <w:lang w:val="en-US"/>
        </w:rPr>
      </w:pPr>
      <w:r w:rsidRPr="00765797">
        <w:rPr>
          <w:rStyle w:val="FootnoteReference"/>
          <w:rFonts w:cs="Times New Roman"/>
          <w:sz w:val="18"/>
          <w:szCs w:val="18"/>
        </w:rPr>
        <w:footnoteRef/>
      </w:r>
      <w:r w:rsidRPr="00765797">
        <w:rPr>
          <w:rFonts w:eastAsia="Cambria" w:cs="Times New Roman"/>
          <w:sz w:val="18"/>
          <w:szCs w:val="18"/>
        </w:rPr>
        <w:t>The DSTF is a volunteer coalition and network of scientists, NGOs, activists and others concerned about sturgeon conservation and illegal trade (the WWF offices who are parties to the EU-LIFE project are also listed as ‘supporting partners’ of DSTF). Notably, DSTF does not have legal NGO status.</w:t>
      </w:r>
    </w:p>
  </w:footnote>
  <w:footnote w:id="228">
    <w:p w14:paraId="7EE07050" w14:textId="35F5D5FC" w:rsidR="00765797" w:rsidRPr="00765797" w:rsidRDefault="00765797">
      <w:pPr>
        <w:pStyle w:val="FootnoteText"/>
        <w:rPr>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eastAsia="Times New Roman" w:cs="Times New Roman"/>
          <w:sz w:val="18"/>
          <w:szCs w:val="18"/>
          <w:shd w:val="clear" w:color="auto" w:fill="FFFFFF"/>
          <w:lang w:eastAsia="en-US"/>
        </w:rPr>
        <w:t xml:space="preserve">The EU Strategy for the Danube Region (EUSDR) is a macro-regional strategy adopted by the European Commission in December 2010 and endorsed by the European Council in 2011. The Strategy was jointly developed by the Commission, together with the Danube Region countries and stakeholders, in order to address common challenges together. The Strategy seeks to create synergies and coordination between existing policies and initiatives taking place across the Danube Region. </w:t>
      </w:r>
      <w:hyperlink r:id="rId86" w:history="1">
        <w:r w:rsidRPr="00765797">
          <w:rPr>
            <w:rStyle w:val="Hyperlink"/>
            <w:rFonts w:eastAsia="Times New Roman" w:cs="Times New Roman"/>
            <w:color w:val="auto"/>
            <w:sz w:val="18"/>
            <w:szCs w:val="18"/>
            <w:shd w:val="clear" w:color="auto" w:fill="FFFFFF"/>
            <w:lang w:eastAsia="en-US"/>
          </w:rPr>
          <w:t>https://danube-region.eu/about/</w:t>
        </w:r>
      </w:hyperlink>
      <w:r w:rsidRPr="00765797">
        <w:rPr>
          <w:rFonts w:eastAsia="Times New Roman" w:cs="Times New Roman"/>
          <w:sz w:val="18"/>
          <w:szCs w:val="18"/>
          <w:shd w:val="clear" w:color="auto" w:fill="FFFFFF"/>
          <w:lang w:eastAsia="en-US"/>
        </w:rPr>
        <w:t xml:space="preserve"> </w:t>
      </w:r>
    </w:p>
  </w:footnote>
  <w:footnote w:id="229">
    <w:p w14:paraId="62097495" w14:textId="77777777" w:rsidR="00765797" w:rsidRPr="00765797" w:rsidRDefault="00765797" w:rsidP="00F90322">
      <w:pPr>
        <w:pStyle w:val="normal0"/>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DTSF - Sturgeon 2020: A strategy for the protection and rehabilitation of Danube sturgeons</w:t>
      </w:r>
    </w:p>
    <w:p w14:paraId="1FCA6F58" w14:textId="77777777" w:rsidR="00765797" w:rsidRPr="00765797" w:rsidRDefault="00765797" w:rsidP="00F90322">
      <w:pPr>
        <w:pStyle w:val="normal0"/>
        <w:spacing w:line="240" w:lineRule="auto"/>
        <w:rPr>
          <w:rFonts w:ascii="Times New Roman" w:hAnsi="Times New Roman" w:cs="Times New Roman"/>
          <w:sz w:val="18"/>
          <w:szCs w:val="18"/>
        </w:rPr>
      </w:pPr>
      <w:hyperlink r:id="rId87">
        <w:r w:rsidRPr="00765797">
          <w:rPr>
            <w:rFonts w:ascii="Times New Roman" w:hAnsi="Times New Roman" w:cs="Times New Roman"/>
            <w:sz w:val="18"/>
            <w:szCs w:val="18"/>
            <w:u w:val="single"/>
          </w:rPr>
          <w:t>https://danube-sturgeons.org/wp-content/uploads/2017/07/sturgeon2020-final.pdf</w:t>
        </w:r>
      </w:hyperlink>
      <w:r w:rsidRPr="00765797">
        <w:rPr>
          <w:rFonts w:ascii="Times New Roman" w:hAnsi="Times New Roman" w:cs="Times New Roman"/>
          <w:sz w:val="18"/>
          <w:szCs w:val="18"/>
        </w:rPr>
        <w:t xml:space="preserve"> [last accessed: 06.02.19]</w:t>
      </w:r>
    </w:p>
  </w:footnote>
  <w:footnote w:id="230">
    <w:p w14:paraId="0E34797B" w14:textId="3F52E518" w:rsidR="00765797" w:rsidRPr="00765797" w:rsidRDefault="00765797">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Interview with Danut, WP2.37, Sturgeon Farmer and caviar producer, Romania, July 2018. See also a 2019 multi-agency report entitled ‘Corruption and wildlife crime: A focus on caviar trade’, which states that caviar trafficking does not always occur in isolation, and in some cases has been linked to other forms of organised crime including weapons trafficking. </w:t>
      </w:r>
      <w:hyperlink r:id="rId88" w:history="1">
        <w:r w:rsidRPr="00765797">
          <w:rPr>
            <w:rStyle w:val="Hyperlink"/>
            <w:rFonts w:cs="Times New Roman"/>
            <w:color w:val="auto"/>
            <w:sz w:val="18"/>
            <w:szCs w:val="18"/>
          </w:rPr>
          <w:t>https://www.traffic.org/site/assets/files/11818/corruption-and-caviar-final.pdf</w:t>
        </w:r>
      </w:hyperlink>
      <w:r w:rsidRPr="00765797">
        <w:rPr>
          <w:rFonts w:cs="Times New Roman"/>
          <w:sz w:val="18"/>
          <w:szCs w:val="18"/>
        </w:rPr>
        <w:t xml:space="preserve"> [last accessed: 30.05.20] </w:t>
      </w:r>
    </w:p>
  </w:footnote>
  <w:footnote w:id="231">
    <w:p w14:paraId="341E3612" w14:textId="04103FDA" w:rsidR="00765797" w:rsidRPr="00765797" w:rsidRDefault="00765797" w:rsidP="00F90322">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eastAsia="Cambria" w:cs="Times New Roman"/>
          <w:sz w:val="18"/>
          <w:szCs w:val="18"/>
        </w:rPr>
        <w:t>Interview with Danut, WP2.37, Sturgeon Farmer and caviar producer, Romania, July 2018</w:t>
      </w:r>
    </w:p>
  </w:footnote>
  <w:footnote w:id="232">
    <w:p w14:paraId="060D25BD" w14:textId="49106598" w:rsidR="00765797" w:rsidRPr="00765797" w:rsidRDefault="00765797" w:rsidP="00F90322">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Interview with Yvar, WP2.16, Researcher, Netherlands, March 2018</w:t>
      </w:r>
    </w:p>
  </w:footnote>
  <w:footnote w:id="233">
    <w:p w14:paraId="67C8CA6C" w14:textId="3427C4A9" w:rsidR="00765797" w:rsidRPr="00765797" w:rsidRDefault="00765797" w:rsidP="00F90322">
      <w:pPr>
        <w:pStyle w:val="FootnoteText"/>
        <w:rPr>
          <w:rFonts w:cs="Times New Roman"/>
          <w:sz w:val="18"/>
          <w:szCs w:val="18"/>
        </w:rPr>
      </w:pPr>
      <w:r w:rsidRPr="00765797">
        <w:rPr>
          <w:rStyle w:val="FootnoteReference"/>
          <w:sz w:val="18"/>
          <w:szCs w:val="18"/>
        </w:rPr>
        <w:footnoteRef/>
      </w:r>
      <w:r w:rsidRPr="00765797">
        <w:rPr>
          <w:rFonts w:cs="Times New Roman"/>
          <w:sz w:val="18"/>
          <w:szCs w:val="18"/>
        </w:rPr>
        <w:t xml:space="preserve"> More than 170 Romanian Law Enforcement Officials trained how to detect Illegal sturgeon trade:</w:t>
      </w:r>
    </w:p>
    <w:p w14:paraId="416D64EE" w14:textId="1D0A6DEC" w:rsidR="00765797" w:rsidRPr="00765797" w:rsidRDefault="00765797" w:rsidP="00F90322">
      <w:pPr>
        <w:pStyle w:val="FootnoteText"/>
        <w:rPr>
          <w:sz w:val="18"/>
          <w:szCs w:val="18"/>
          <w:lang w:val="en-US"/>
        </w:rPr>
      </w:pPr>
      <w:r w:rsidRPr="00765797">
        <w:rPr>
          <w:rFonts w:cs="Times New Roman"/>
          <w:sz w:val="18"/>
          <w:szCs w:val="18"/>
        </w:rPr>
        <w:t xml:space="preserve"> </w:t>
      </w:r>
      <w:hyperlink r:id="rId89" w:history="1">
        <w:r w:rsidRPr="00765797">
          <w:rPr>
            <w:rStyle w:val="Hyperlink"/>
            <w:rFonts w:cs="Times New Roman"/>
            <w:color w:val="auto"/>
            <w:sz w:val="18"/>
            <w:szCs w:val="18"/>
          </w:rPr>
          <w:t>http://www.wwfmmi.org/boat/?uNewsID=358253</w:t>
        </w:r>
      </w:hyperlink>
      <w:r w:rsidRPr="00765797">
        <w:rPr>
          <w:rFonts w:cs="Times New Roman"/>
          <w:sz w:val="18"/>
          <w:szCs w:val="18"/>
        </w:rPr>
        <w:t xml:space="preserve"> [last accessed: 24.02.20]</w:t>
      </w:r>
    </w:p>
  </w:footnote>
  <w:footnote w:id="234">
    <w:p w14:paraId="1CC5CAD1" w14:textId="4F2CDB49" w:rsidR="00765797" w:rsidRPr="00765797" w:rsidRDefault="00765797" w:rsidP="00F90322">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eastAsia="Cambria" w:cs="Times New Roman"/>
          <w:sz w:val="18"/>
          <w:szCs w:val="18"/>
        </w:rPr>
        <w:t>Interview with Irini, WP2.26, NGO Representative, Romania, May 2018</w:t>
      </w:r>
    </w:p>
  </w:footnote>
  <w:footnote w:id="235">
    <w:p w14:paraId="6B026AEC" w14:textId="77777777" w:rsidR="00765797" w:rsidRPr="00765797" w:rsidRDefault="00765797" w:rsidP="00F90322">
      <w:pPr>
        <w:pStyle w:val="normal0"/>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w:t>
      </w:r>
      <w:hyperlink r:id="rId90">
        <w:r w:rsidRPr="00765797">
          <w:rPr>
            <w:rFonts w:ascii="Times New Roman" w:hAnsi="Times New Roman" w:cs="Times New Roman"/>
            <w:sz w:val="18"/>
            <w:szCs w:val="18"/>
            <w:u w:val="single"/>
          </w:rPr>
          <w:t>https://wwf.panda.org/?314210/The-photo-shooting-season-on-illegal-sturgeon-fishing-is-open-in-Ukraine</w:t>
        </w:r>
      </w:hyperlink>
      <w:r w:rsidRPr="00765797">
        <w:rPr>
          <w:rFonts w:ascii="Times New Roman" w:hAnsi="Times New Roman" w:cs="Times New Roman"/>
          <w:sz w:val="18"/>
          <w:szCs w:val="18"/>
        </w:rPr>
        <w:t xml:space="preserve"> [last accessed 07.02.19]</w:t>
      </w:r>
    </w:p>
  </w:footnote>
  <w:footnote w:id="236">
    <w:p w14:paraId="6D8ECE64" w14:textId="29D23662" w:rsidR="00765797" w:rsidRPr="00765797" w:rsidRDefault="00765797">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The Romanian initiative is a coastal surveillance system called SCOMAR – Integrated System for Observation, Surveillance and Control of the Traffic at the Black Sea. The system is manned by Romanian Border Police, and is not specifically designed to monitor sturgeon poaching, but to observe and control illegal immigration, smuggling and trafficking of contraband goods, and other crimes more generally. The system is made up of local ‘surveillance centres’ along the coast: units which are made up of radars, electronic and optical sensors, and radio sensors which record information of the surveilled area 24/7. https://www.politiadefrontiera.ro/en/main/pg-integrated-system-for-observation-surveillance-and-control-of-the-traffic-at-the-black-sea-scomar-161.html</w:t>
      </w:r>
    </w:p>
  </w:footnote>
  <w:footnote w:id="237">
    <w:p w14:paraId="56CCC603" w14:textId="77777777" w:rsidR="00765797" w:rsidRPr="00765797" w:rsidRDefault="00765797" w:rsidP="00F90322">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hyperlink r:id="rId91">
        <w:r w:rsidRPr="00765797">
          <w:rPr>
            <w:rFonts w:cs="Times New Roman"/>
            <w:sz w:val="18"/>
            <w:szCs w:val="18"/>
            <w:u w:val="single"/>
          </w:rPr>
          <w:t>https://wwf.panda.org/?314210/The-photo-shooting-season-on-illegal-sturgeon-fishing-is-open-in-Ukraine</w:t>
        </w:r>
      </w:hyperlink>
      <w:r w:rsidRPr="00765797">
        <w:rPr>
          <w:rFonts w:cs="Times New Roman"/>
          <w:sz w:val="18"/>
          <w:szCs w:val="18"/>
        </w:rPr>
        <w:t xml:space="preserve"> [last accessed 07.02.19]</w:t>
      </w:r>
    </w:p>
  </w:footnote>
  <w:footnote w:id="238">
    <w:p w14:paraId="08D538AF" w14:textId="263464B0" w:rsidR="00765797" w:rsidRPr="00765797" w:rsidRDefault="00765797" w:rsidP="00C20FDB">
      <w:pPr>
        <w:rPr>
          <w:sz w:val="18"/>
          <w:szCs w:val="18"/>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Interview with Melanie, WP2.01, NGO Representative, Ukraine, November 2017</w:t>
      </w:r>
    </w:p>
  </w:footnote>
  <w:footnote w:id="239">
    <w:p w14:paraId="76EC5202" w14:textId="77EC3CDD" w:rsidR="00765797" w:rsidRPr="00765797" w:rsidRDefault="00765797" w:rsidP="00F90322">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Melanie, WP2.01, NGO Representative, Ukraine, November 2017</w:t>
      </w:r>
    </w:p>
  </w:footnote>
  <w:footnote w:id="240">
    <w:p w14:paraId="63131F05" w14:textId="4E2EE0D5" w:rsidR="00765797" w:rsidRPr="00765797" w:rsidRDefault="00765797" w:rsidP="00F90322">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The following WWF article from January 2020, positions illegal sturgeon trade as a direct threat to the well-being, businesses, national institutions and local economies of European citizens: ‘More than 170 Romanian Law enforcement officials trained how to detect illegal sturgeon trade’ </w:t>
      </w:r>
      <w:hyperlink r:id="rId92" w:history="1">
        <w:r w:rsidRPr="00765797">
          <w:rPr>
            <w:rStyle w:val="Hyperlink"/>
            <w:rFonts w:cs="Times New Roman"/>
            <w:color w:val="auto"/>
            <w:sz w:val="18"/>
            <w:szCs w:val="18"/>
          </w:rPr>
          <w:t>http://www.wwfmmi.org/boat/?uNewsID=358253</w:t>
        </w:r>
      </w:hyperlink>
      <w:r w:rsidRPr="00765797">
        <w:rPr>
          <w:rFonts w:cs="Times New Roman"/>
          <w:sz w:val="18"/>
          <w:szCs w:val="18"/>
        </w:rPr>
        <w:t xml:space="preserve"> [last accessed 24.02.20]</w:t>
      </w:r>
    </w:p>
  </w:footnote>
  <w:footnote w:id="241">
    <w:p w14:paraId="6F99EC3D" w14:textId="27160664" w:rsidR="00765797" w:rsidRPr="00765797" w:rsidRDefault="00765797" w:rsidP="00F90322">
      <w:pPr>
        <w:pStyle w:val="FootnoteText"/>
        <w:rPr>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Melanie, WP2.01, NGO Representative, Ukraine, November 2017</w:t>
      </w:r>
    </w:p>
  </w:footnote>
  <w:footnote w:id="242">
    <w:p w14:paraId="7F08CFCD" w14:textId="65487450" w:rsidR="00765797" w:rsidRPr="00765797" w:rsidRDefault="00765797" w:rsidP="00F90322">
      <w:pPr>
        <w:pStyle w:val="normal0"/>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Rose, WP2.10, NGO Representative, Austria, February 2018</w:t>
      </w:r>
    </w:p>
  </w:footnote>
  <w:footnote w:id="243">
    <w:p w14:paraId="0F59B5E6" w14:textId="09DB01BB" w:rsidR="00765797" w:rsidRPr="00765797" w:rsidRDefault="00765797" w:rsidP="00E25260">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Other forms of </w:t>
      </w:r>
      <w:r w:rsidRPr="00765797">
        <w:rPr>
          <w:rFonts w:cs="Times New Roman"/>
          <w:sz w:val="18"/>
          <w:szCs w:val="18"/>
          <w:lang w:val="en-US"/>
        </w:rPr>
        <w:t xml:space="preserve">heavy-handed enforcement directed at fishing communities in Romania and Bulgaria, has been met with resistance, hostility, and further alienated some fishermen from authorities. This is discussed in a number of recent journalistic investigations. See </w:t>
      </w:r>
      <w:r w:rsidRPr="00765797">
        <w:rPr>
          <w:rFonts w:cs="Times New Roman"/>
          <w:sz w:val="18"/>
          <w:szCs w:val="18"/>
        </w:rPr>
        <w:t xml:space="preserve">‘Decimated Danube: Sturgeon revival efforts neglect roots of poaching’: </w:t>
      </w:r>
      <w:hyperlink r:id="rId93" w:history="1">
        <w:r w:rsidRPr="00765797">
          <w:rPr>
            <w:rStyle w:val="Hyperlink"/>
            <w:rFonts w:cs="Times New Roman"/>
            <w:color w:val="auto"/>
            <w:sz w:val="18"/>
            <w:szCs w:val="18"/>
            <w:lang w:val="en-US"/>
          </w:rPr>
          <w:t>https://balkaninsight.com/2020/05/20/decimated-danube-sturgeon-revival-efforts-neglect-roots-of-poaching/</w:t>
        </w:r>
      </w:hyperlink>
      <w:r w:rsidRPr="00765797">
        <w:rPr>
          <w:rFonts w:cs="Times New Roman"/>
          <w:sz w:val="18"/>
          <w:szCs w:val="18"/>
          <w:lang w:val="en-US"/>
        </w:rPr>
        <w:t xml:space="preserve"> [last accessed: 28.05.20]; </w:t>
      </w:r>
      <w:r w:rsidRPr="00765797">
        <w:rPr>
          <w:rFonts w:cs="Times New Roman"/>
          <w:sz w:val="18"/>
          <w:szCs w:val="18"/>
        </w:rPr>
        <w:t xml:space="preserve">‘Caviar, Crime and Corruption’ </w:t>
      </w:r>
      <w:hyperlink r:id="rId94" w:history="1">
        <w:r w:rsidRPr="00765797">
          <w:rPr>
            <w:rStyle w:val="Hyperlink"/>
            <w:rFonts w:cs="Times New Roman"/>
            <w:color w:val="auto"/>
            <w:sz w:val="18"/>
            <w:szCs w:val="18"/>
          </w:rPr>
          <w:t>https://oxpeckers.org/2019/10/caviar-crime-and-corruption/</w:t>
        </w:r>
      </w:hyperlink>
      <w:r w:rsidRPr="00765797">
        <w:rPr>
          <w:rFonts w:cs="Times New Roman"/>
          <w:sz w:val="18"/>
          <w:szCs w:val="18"/>
        </w:rPr>
        <w:t xml:space="preserve"> [last accessed: 28.05.20]; and ‘Craving for Caviar is driving the Danube River’s sturgeon to extinction’ </w:t>
      </w:r>
      <w:hyperlink r:id="rId95" w:history="1">
        <w:r w:rsidRPr="00765797">
          <w:rPr>
            <w:rStyle w:val="Hyperlink"/>
            <w:rFonts w:cs="Times New Roman"/>
            <w:color w:val="auto"/>
            <w:sz w:val="18"/>
            <w:szCs w:val="18"/>
          </w:rPr>
          <w:t>https://www.latimes.com/world-nation/story/2019-08-21/craving-for-caviar-is-driving-the-danube-rivers-sturgeon-to-extinction</w:t>
        </w:r>
      </w:hyperlink>
      <w:r w:rsidRPr="00765797">
        <w:rPr>
          <w:rFonts w:cs="Times New Roman"/>
          <w:sz w:val="18"/>
          <w:szCs w:val="18"/>
        </w:rPr>
        <w:t xml:space="preserve"> [last accessed: 01.06.20] </w:t>
      </w:r>
    </w:p>
    <w:p w14:paraId="0D7631CC" w14:textId="48ED77D8" w:rsidR="00765797" w:rsidRPr="00765797" w:rsidRDefault="00765797" w:rsidP="00E25260">
      <w:pPr>
        <w:pStyle w:val="FootnoteText"/>
        <w:rPr>
          <w:sz w:val="18"/>
          <w:szCs w:val="18"/>
        </w:rPr>
      </w:pPr>
    </w:p>
    <w:p w14:paraId="3F66FC32" w14:textId="08ED2A23" w:rsidR="00765797" w:rsidRPr="00765797" w:rsidRDefault="00765797">
      <w:pPr>
        <w:pStyle w:val="FootnoteText"/>
        <w:rPr>
          <w:lang w:val="en-US"/>
        </w:rPr>
      </w:pPr>
    </w:p>
  </w:footnote>
  <w:footnote w:id="244">
    <w:p w14:paraId="4B3F410B" w14:textId="1BA33147" w:rsidR="00765797" w:rsidRPr="00765797" w:rsidRDefault="00765797" w:rsidP="00F90322">
      <w:pPr>
        <w:pStyle w:val="FootnoteText"/>
        <w:rPr>
          <w:rFonts w:cs="Times New Roman"/>
          <w:sz w:val="18"/>
          <w:szCs w:val="18"/>
        </w:rPr>
      </w:pPr>
      <w:r w:rsidRPr="00765797">
        <w:rPr>
          <w:rStyle w:val="FootnoteReference"/>
          <w:rFonts w:cs="Times New Roman"/>
          <w:sz w:val="18"/>
          <w:szCs w:val="18"/>
        </w:rPr>
        <w:footnoteRef/>
      </w:r>
      <w:r w:rsidRPr="00765797">
        <w:rPr>
          <w:rFonts w:cs="Times New Roman"/>
          <w:sz w:val="18"/>
          <w:szCs w:val="18"/>
        </w:rPr>
        <w:t xml:space="preserve"> </w:t>
      </w:r>
      <w:r w:rsidRPr="00765797">
        <w:rPr>
          <w:rFonts w:eastAsia="Cambria" w:cs="Times New Roman"/>
          <w:sz w:val="18"/>
          <w:szCs w:val="18"/>
        </w:rPr>
        <w:t xml:space="preserve">Interview with Irini, WP2.26, WWF-Romania, Bucharest, May 2018. The corruption of enforcement agencies in the Romanian Danube Delta is also outlined in the following article: </w:t>
      </w:r>
      <w:r w:rsidRPr="00765797">
        <w:rPr>
          <w:rFonts w:cs="Times New Roman"/>
          <w:sz w:val="18"/>
          <w:szCs w:val="18"/>
        </w:rPr>
        <w:t xml:space="preserve">‘Caviar, Crime and Corruption’ </w:t>
      </w:r>
      <w:hyperlink r:id="rId96" w:history="1">
        <w:r w:rsidRPr="00765797">
          <w:rPr>
            <w:rStyle w:val="Hyperlink"/>
            <w:rFonts w:cs="Times New Roman"/>
            <w:color w:val="auto"/>
            <w:sz w:val="18"/>
            <w:szCs w:val="18"/>
          </w:rPr>
          <w:t>https://oxpeckers.org/2019/10/caviar-crime-and-corruption/</w:t>
        </w:r>
      </w:hyperlink>
      <w:r w:rsidRPr="00765797">
        <w:rPr>
          <w:rFonts w:cs="Times New Roman"/>
          <w:sz w:val="18"/>
          <w:szCs w:val="18"/>
        </w:rPr>
        <w:t xml:space="preserve"> [last accessed: 28.05.20] </w:t>
      </w:r>
    </w:p>
  </w:footnote>
  <w:footnote w:id="245">
    <w:p w14:paraId="3F014ADA" w14:textId="77777777" w:rsidR="00765797" w:rsidRPr="00765797" w:rsidRDefault="00765797" w:rsidP="00F90322">
      <w:pPr>
        <w:pStyle w:val="FootnoteText"/>
        <w:rPr>
          <w:rFonts w:cs="Times New Roman"/>
          <w:sz w:val="18"/>
          <w:szCs w:val="18"/>
        </w:rPr>
      </w:pPr>
      <w:r w:rsidRPr="00765797">
        <w:rPr>
          <w:rStyle w:val="FootnoteReference"/>
          <w:rFonts w:cs="Times New Roman"/>
          <w:sz w:val="18"/>
          <w:szCs w:val="18"/>
        </w:rPr>
        <w:footnoteRef/>
      </w:r>
      <w:r w:rsidRPr="00765797">
        <w:rPr>
          <w:rFonts w:cs="Times New Roman"/>
          <w:sz w:val="18"/>
          <w:szCs w:val="18"/>
        </w:rPr>
        <w:t xml:space="preserve"> ‘Violence escalates as Romania cracks down on illegal timber trade.’ </w:t>
      </w:r>
    </w:p>
    <w:p w14:paraId="2510B4E0" w14:textId="4A737AEA" w:rsidR="00765797" w:rsidRPr="00765797" w:rsidRDefault="00765797" w:rsidP="00F90322">
      <w:pPr>
        <w:pStyle w:val="FootnoteText"/>
        <w:rPr>
          <w:rFonts w:cs="Times New Roman"/>
          <w:sz w:val="18"/>
          <w:szCs w:val="18"/>
        </w:rPr>
      </w:pPr>
      <w:hyperlink r:id="rId97" w:history="1">
        <w:r w:rsidRPr="00765797">
          <w:rPr>
            <w:rStyle w:val="Hyperlink"/>
            <w:rFonts w:cs="Times New Roman"/>
            <w:color w:val="auto"/>
            <w:sz w:val="18"/>
            <w:szCs w:val="18"/>
          </w:rPr>
          <w:t>https://www.theguardian.com/world/2020/jan/08/violence-escalates-as-romania-cracks-down-on-illegal-timber-trade</w:t>
        </w:r>
      </w:hyperlink>
      <w:r w:rsidRPr="00765797">
        <w:rPr>
          <w:rFonts w:cs="Times New Roman"/>
          <w:sz w:val="18"/>
          <w:szCs w:val="18"/>
        </w:rPr>
        <w:t xml:space="preserve"> [last accessed: 24.02.20]</w:t>
      </w:r>
    </w:p>
  </w:footnote>
  <w:footnote w:id="246">
    <w:p w14:paraId="0CF7BC43" w14:textId="2958E95C" w:rsidR="00765797" w:rsidRPr="00765797" w:rsidRDefault="00765797" w:rsidP="00F90322">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Interview with Ulmer, WP2.06, DG Environment, European Commission February 2018</w:t>
      </w:r>
    </w:p>
  </w:footnote>
  <w:footnote w:id="247">
    <w:p w14:paraId="16FE0360" w14:textId="046CBA92" w:rsidR="00765797" w:rsidRPr="00765797" w:rsidRDefault="00765797" w:rsidP="00D74A11">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Juliani, WP2.27, NGO Coordinator, Romania, May 2018</w:t>
      </w:r>
    </w:p>
  </w:footnote>
  <w:footnote w:id="248">
    <w:p w14:paraId="29D433B9" w14:textId="32E31D0D" w:rsidR="00765797" w:rsidRPr="00765797" w:rsidRDefault="00765797" w:rsidP="00F90322">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Interview with Danut, WP2.37, Sturgeon farmer and caviar producer, Romania, July 2018</w:t>
      </w:r>
    </w:p>
  </w:footnote>
  <w:footnote w:id="249">
    <w:p w14:paraId="4CD0FC60" w14:textId="0B0B6D14" w:rsidR="00765797" w:rsidRPr="00765797" w:rsidRDefault="00765797" w:rsidP="00D74A11">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Juliani, WP2.27, NGO Coordinator, Romania, May 2018</w:t>
      </w:r>
    </w:p>
  </w:footnote>
  <w:footnote w:id="250">
    <w:p w14:paraId="086EC33F" w14:textId="46EEDED2" w:rsidR="00765797" w:rsidRPr="00765797" w:rsidRDefault="00765797" w:rsidP="00D74A11">
      <w:pPr>
        <w:pStyle w:val="Normal1"/>
        <w:spacing w:line="240" w:lineRule="auto"/>
        <w:rPr>
          <w:rFonts w:ascii="Times New Roman" w:hAnsi="Times New Roman" w:cs="Times New Roman"/>
          <w:sz w:val="18"/>
          <w:szCs w:val="18"/>
        </w:rPr>
      </w:pPr>
      <w:r w:rsidRPr="00765797">
        <w:rPr>
          <w:rStyle w:val="FootnoteReference"/>
          <w:rFonts w:ascii="Times New Roman" w:hAnsi="Times New Roman" w:cs="Times New Roman"/>
          <w:sz w:val="18"/>
          <w:szCs w:val="18"/>
        </w:rPr>
        <w:footnoteRef/>
      </w:r>
      <w:r w:rsidRPr="00765797">
        <w:rPr>
          <w:rFonts w:ascii="Times New Roman" w:hAnsi="Times New Roman" w:cs="Times New Roman"/>
          <w:sz w:val="18"/>
          <w:szCs w:val="18"/>
        </w:rPr>
        <w:t xml:space="preserve"> Interview with Juliani, WP2.27, NGO Coordinator, Romania, May 2018</w:t>
      </w:r>
    </w:p>
  </w:footnote>
  <w:footnote w:id="251">
    <w:p w14:paraId="1C450F98" w14:textId="39A48C4A" w:rsidR="00765797" w:rsidRPr="00765797" w:rsidRDefault="00765797" w:rsidP="00F90322">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Interview with Danut, WP2.37, Sturgeon farmer and caviar producer, Romania, July 2018</w:t>
      </w:r>
    </w:p>
  </w:footnote>
  <w:footnote w:id="252">
    <w:p w14:paraId="0723E0AE" w14:textId="314CEF7C" w:rsidR="00765797" w:rsidRPr="00765797" w:rsidRDefault="00765797">
      <w:pPr>
        <w:pStyle w:val="FootnoteText"/>
        <w:rPr>
          <w:sz w:val="18"/>
          <w:szCs w:val="18"/>
          <w:lang w:val="en-US"/>
        </w:rPr>
      </w:pPr>
      <w:r w:rsidRPr="00765797">
        <w:rPr>
          <w:rStyle w:val="FootnoteReference"/>
          <w:sz w:val="18"/>
          <w:szCs w:val="18"/>
        </w:rPr>
        <w:footnoteRef/>
      </w:r>
      <w:r w:rsidRPr="00765797">
        <w:rPr>
          <w:sz w:val="18"/>
          <w:szCs w:val="18"/>
        </w:rPr>
        <w:t xml:space="preserve"> </w:t>
      </w:r>
      <w:r w:rsidRPr="00765797">
        <w:rPr>
          <w:rFonts w:cs="Times New Roman"/>
          <w:sz w:val="18"/>
          <w:szCs w:val="18"/>
        </w:rPr>
        <w:t>Interview with Juliani, WP2.27, NGO Coordinator, Romania, May 2018</w:t>
      </w:r>
    </w:p>
  </w:footnote>
  <w:footnote w:id="253">
    <w:p w14:paraId="4E76F7B4" w14:textId="3B921444" w:rsidR="00765797" w:rsidRPr="00765797" w:rsidRDefault="00765797">
      <w:pPr>
        <w:pStyle w:val="FootnoteText"/>
        <w:rPr>
          <w:rStyle w:val="FootnoteReference"/>
        </w:rPr>
      </w:pPr>
    </w:p>
  </w:footnote>
  <w:footnote w:id="254">
    <w:p w14:paraId="4C0A632A" w14:textId="5EFAA9F6" w:rsidR="00765797" w:rsidRPr="00765797" w:rsidRDefault="00765797" w:rsidP="00F90322">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Yvar, WP2.16, Researcher, Netherlands, March 2018</w:t>
      </w:r>
    </w:p>
  </w:footnote>
  <w:footnote w:id="255">
    <w:p w14:paraId="62810898" w14:textId="730DFB2F" w:rsidR="00765797" w:rsidRPr="00765797" w:rsidRDefault="00765797" w:rsidP="00C9106B">
      <w:pPr>
        <w:pStyle w:val="FootnoteText"/>
        <w:jc w:val="lef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Representative of WWF International, Speaking at ISS8, Vienna, September 2017</w:t>
      </w:r>
    </w:p>
  </w:footnote>
  <w:footnote w:id="256">
    <w:p w14:paraId="31F43679" w14:textId="28AAF7B2" w:rsidR="00765797" w:rsidRPr="00765797" w:rsidRDefault="00765797" w:rsidP="00C9106B">
      <w:pPr>
        <w:spacing w:line="240" w:lineRule="auto"/>
        <w:jc w:val="left"/>
        <w:rPr>
          <w:rFonts w:eastAsia="Times New Roman" w:cs="Times New Roman"/>
          <w:sz w:val="18"/>
          <w:szCs w:val="18"/>
        </w:rPr>
      </w:pPr>
      <w:r w:rsidRPr="00765797">
        <w:rPr>
          <w:rStyle w:val="FootnoteReference"/>
          <w:sz w:val="18"/>
          <w:szCs w:val="18"/>
        </w:rPr>
        <w:footnoteRef/>
      </w:r>
      <w:r w:rsidRPr="00765797">
        <w:rPr>
          <w:rFonts w:cs="Times New Roman"/>
          <w:sz w:val="18"/>
          <w:szCs w:val="18"/>
        </w:rPr>
        <w:t xml:space="preserve"> </w:t>
      </w:r>
      <w:r w:rsidRPr="00765797">
        <w:rPr>
          <w:rFonts w:eastAsia="Times New Roman" w:cs="Times New Roman"/>
          <w:sz w:val="18"/>
          <w:szCs w:val="18"/>
        </w:rPr>
        <w:t xml:space="preserve">See for example, ICPDR (2013) ‘A home for living fossils – protecting the sturgeons habitat’: </w:t>
      </w:r>
      <w:hyperlink r:id="rId98" w:history="1">
        <w:r w:rsidRPr="00765797">
          <w:rPr>
            <w:rFonts w:eastAsia="Times New Roman" w:cs="Times New Roman"/>
            <w:sz w:val="18"/>
            <w:szCs w:val="18"/>
            <w:u w:val="single"/>
          </w:rPr>
          <w:t>https://www.icpdr.org/main/publications/home-living-fossils-protecting-sturgeons-habitats</w:t>
        </w:r>
      </w:hyperlink>
      <w:r w:rsidRPr="00765797">
        <w:rPr>
          <w:rFonts w:eastAsia="Times New Roman" w:cs="Times New Roman"/>
          <w:sz w:val="18"/>
          <w:szCs w:val="18"/>
        </w:rPr>
        <w:t xml:space="preserve"> [last accessed: 02.06.20] </w:t>
      </w:r>
    </w:p>
  </w:footnote>
  <w:footnote w:id="257">
    <w:p w14:paraId="00DA8F3C" w14:textId="24DE28AD" w:rsidR="00765797" w:rsidRPr="00765797" w:rsidRDefault="00765797" w:rsidP="00FE14D7">
      <w:pPr>
        <w:pStyle w:val="FootnoteText"/>
        <w:rPr>
          <w:rFonts w:cs="Times New Roman"/>
          <w:b/>
          <w:sz w:val="18"/>
          <w:szCs w:val="18"/>
        </w:rPr>
      </w:pPr>
      <w:r w:rsidRPr="00765797">
        <w:rPr>
          <w:rStyle w:val="FootnoteReference"/>
          <w:rFonts w:cs="Times New Roman"/>
          <w:sz w:val="18"/>
          <w:szCs w:val="18"/>
        </w:rPr>
        <w:footnoteRef/>
      </w:r>
      <w:r w:rsidRPr="00765797">
        <w:rPr>
          <w:rFonts w:cs="Times New Roman"/>
          <w:sz w:val="18"/>
          <w:szCs w:val="18"/>
        </w:rPr>
        <w:t xml:space="preserve">Other important regulatory frameworks which affect sturgeon include: The EU Habitats Directive - </w:t>
      </w:r>
      <w:hyperlink r:id="rId99" w:history="1">
        <w:r w:rsidRPr="00765797">
          <w:rPr>
            <w:rStyle w:val="Hyperlink"/>
            <w:rFonts w:cs="Times New Roman"/>
            <w:color w:val="auto"/>
            <w:sz w:val="18"/>
            <w:szCs w:val="18"/>
          </w:rPr>
          <w:t>https://ec.europa.eu/environment/nature/legislation/habitatsdirective/index_en.htm</w:t>
        </w:r>
      </w:hyperlink>
      <w:r w:rsidRPr="00765797">
        <w:rPr>
          <w:rFonts w:cs="Times New Roman"/>
          <w:sz w:val="18"/>
          <w:szCs w:val="18"/>
        </w:rPr>
        <w:t xml:space="preserve">; The EU Water Framework Directive - </w:t>
      </w:r>
      <w:hyperlink r:id="rId100" w:history="1">
        <w:r w:rsidRPr="00765797">
          <w:rPr>
            <w:rStyle w:val="Hyperlink"/>
            <w:rFonts w:cs="Times New Roman"/>
            <w:color w:val="auto"/>
            <w:sz w:val="18"/>
            <w:szCs w:val="18"/>
          </w:rPr>
          <w:t>https://ec.europa.eu/environment/water/water-framework/index_en.html</w:t>
        </w:r>
      </w:hyperlink>
      <w:r w:rsidRPr="00765797">
        <w:rPr>
          <w:rFonts w:cs="Times New Roman"/>
          <w:sz w:val="18"/>
          <w:szCs w:val="18"/>
        </w:rPr>
        <w:t xml:space="preserve">; the UN Convention on the Conservation of Migratory species of Wild Animals - </w:t>
      </w:r>
      <w:hyperlink r:id="rId101" w:history="1">
        <w:r w:rsidRPr="00765797">
          <w:rPr>
            <w:rStyle w:val="Hyperlink"/>
            <w:rFonts w:cs="Times New Roman"/>
            <w:color w:val="auto"/>
            <w:sz w:val="18"/>
            <w:szCs w:val="18"/>
          </w:rPr>
          <w:t>https://www.cms.int</w:t>
        </w:r>
      </w:hyperlink>
      <w:r w:rsidRPr="00765797">
        <w:rPr>
          <w:rFonts w:cs="Times New Roman"/>
          <w:sz w:val="18"/>
          <w:szCs w:val="18"/>
        </w:rPr>
        <w:t xml:space="preserve">; The Council of Europe Bern Convention on the Conservation of European Wildlife and Natural habits - </w:t>
      </w:r>
      <w:hyperlink r:id="rId102" w:history="1">
        <w:r w:rsidRPr="00765797">
          <w:rPr>
            <w:rStyle w:val="Hyperlink"/>
            <w:rFonts w:cs="Times New Roman"/>
            <w:color w:val="auto"/>
            <w:sz w:val="18"/>
            <w:szCs w:val="18"/>
          </w:rPr>
          <w:t>https://www.coe.int/en/web/bern-convention</w:t>
        </w:r>
      </w:hyperlink>
      <w:r w:rsidRPr="00765797">
        <w:rPr>
          <w:rFonts w:cs="Times New Roman"/>
          <w:sz w:val="18"/>
          <w:szCs w:val="18"/>
        </w:rPr>
        <w:t xml:space="preserve">; and the EU Wildlife Trade Regulations - </w:t>
      </w:r>
      <w:hyperlink r:id="rId103" w:history="1">
        <w:r w:rsidRPr="00765797">
          <w:rPr>
            <w:rStyle w:val="Hyperlink"/>
            <w:rFonts w:cs="Times New Roman"/>
            <w:color w:val="auto"/>
            <w:sz w:val="18"/>
            <w:szCs w:val="18"/>
          </w:rPr>
          <w:t>https://ec.europa.eu/environment/cites/legislation_en.htm</w:t>
        </w:r>
      </w:hyperlink>
      <w:r w:rsidRPr="00765797">
        <w:rPr>
          <w:rFonts w:cs="Times New Roman"/>
          <w:sz w:val="18"/>
          <w:szCs w:val="18"/>
        </w:rPr>
        <w:t xml:space="preserve"> </w:t>
      </w:r>
    </w:p>
  </w:footnote>
  <w:footnote w:id="258">
    <w:p w14:paraId="5BB5AB04" w14:textId="7F1CEE9E" w:rsidR="00765797" w:rsidRPr="00765797" w:rsidRDefault="00765797" w:rsidP="00FE14D7">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Representative  of the World Sturgeon Conservation Society, speaking at </w:t>
      </w:r>
      <w:r w:rsidRPr="00765797">
        <w:rPr>
          <w:rFonts w:cs="Times New Roman"/>
          <w:sz w:val="18"/>
          <w:szCs w:val="18"/>
          <w:lang w:val="en-US"/>
        </w:rPr>
        <w:t>speaking at ISS8, Vienna, September 2017</w:t>
      </w:r>
    </w:p>
  </w:footnote>
  <w:footnote w:id="259">
    <w:p w14:paraId="636E9776" w14:textId="2EE0F038" w:rsidR="00765797" w:rsidRPr="00765797" w:rsidRDefault="00765797" w:rsidP="00FE14D7">
      <w:pPr>
        <w:pStyle w:val="FootnoteText"/>
        <w:rPr>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Interview with Avram, WP2.36a, Researcher, Romania, July 2018</w:t>
      </w:r>
    </w:p>
  </w:footnote>
  <w:footnote w:id="260">
    <w:p w14:paraId="24B57B76" w14:textId="0759EF61" w:rsidR="00765797" w:rsidRPr="00765797" w:rsidRDefault="00765797" w:rsidP="00FE14D7">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The exception to this ban on wild sturgeon fishing was authorised fishing for restocking initiatives. For more details on the legislative history of sturgeon management in Romania, see Rogin (2011) ‘Conservation and sustainable use of wild sturgeon populations of the North-West Black Sea and Lower Danube River in Romania’ </w:t>
      </w:r>
      <w:hyperlink r:id="rId104" w:history="1">
        <w:r w:rsidRPr="00765797">
          <w:rPr>
            <w:rStyle w:val="Hyperlink"/>
            <w:rFonts w:cs="Times New Roman"/>
            <w:color w:val="auto"/>
            <w:sz w:val="18"/>
            <w:szCs w:val="18"/>
          </w:rPr>
          <w:t>http://d2ouvy59p0dg6k.cloudfront.net/downloads/14_2011_conservation_use_of_sturgeon_l_danube_and_black_sea_rogin_norway.pdf</w:t>
        </w:r>
      </w:hyperlink>
      <w:r w:rsidRPr="00765797">
        <w:rPr>
          <w:rFonts w:cs="Times New Roman"/>
          <w:sz w:val="18"/>
          <w:szCs w:val="18"/>
        </w:rPr>
        <w:t xml:space="preserve"> [last accessed: 02.06.20] </w:t>
      </w:r>
    </w:p>
  </w:footnote>
  <w:footnote w:id="261">
    <w:p w14:paraId="614E1F6E" w14:textId="77777777" w:rsidR="00765797" w:rsidRPr="00765797" w:rsidRDefault="00765797" w:rsidP="00FE14D7">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Email correspondence with Juliani, WP2.27, Chair of Danube regional NGO</w:t>
      </w:r>
    </w:p>
  </w:footnote>
  <w:footnote w:id="262">
    <w:p w14:paraId="611DA952" w14:textId="185F64D8" w:rsidR="00765797" w:rsidRPr="00765797" w:rsidRDefault="00765797">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See WWF article - </w:t>
      </w:r>
      <w:r w:rsidRPr="00765797">
        <w:rPr>
          <w:rFonts w:eastAsia="Times New Roman" w:cs="Times New Roman"/>
          <w:sz w:val="18"/>
          <w:szCs w:val="18"/>
        </w:rPr>
        <w:t xml:space="preserve">‘Ban until at least 2021 also in place in Bulgaria,’ </w:t>
      </w:r>
      <w:hyperlink r:id="rId105" w:history="1">
        <w:r w:rsidRPr="00765797">
          <w:rPr>
            <w:rStyle w:val="Hyperlink"/>
            <w:rFonts w:eastAsia="Times New Roman" w:cs="Times New Roman"/>
            <w:color w:val="auto"/>
            <w:sz w:val="18"/>
            <w:szCs w:val="18"/>
          </w:rPr>
          <w:t>http://wwf.panda.org/?269190/</w:t>
        </w:r>
      </w:hyperlink>
      <w:r w:rsidRPr="00765797">
        <w:rPr>
          <w:rFonts w:eastAsia="Times New Roman" w:cs="Times New Roman"/>
          <w:sz w:val="18"/>
          <w:szCs w:val="18"/>
        </w:rPr>
        <w:t xml:space="preserve"> [last accessed: 20.05.19]</w:t>
      </w:r>
    </w:p>
  </w:footnote>
  <w:footnote w:id="263">
    <w:p w14:paraId="296DAD75" w14:textId="2B403593" w:rsidR="00765797" w:rsidRPr="00765797" w:rsidRDefault="00765797">
      <w:pPr>
        <w:pStyle w:val="FootnoteText"/>
        <w:rPr>
          <w:lang w:val="en-US"/>
        </w:rPr>
      </w:pPr>
      <w:r w:rsidRPr="00765797">
        <w:rPr>
          <w:rStyle w:val="FootnoteReference"/>
          <w:rFonts w:cs="Times New Roman"/>
          <w:sz w:val="18"/>
          <w:szCs w:val="18"/>
        </w:rPr>
        <w:footnoteRef/>
      </w:r>
      <w:r w:rsidRPr="00765797">
        <w:rPr>
          <w:rFonts w:cs="Times New Roman"/>
          <w:sz w:val="18"/>
          <w:szCs w:val="18"/>
        </w:rPr>
        <w:t xml:space="preserve"> The Romanian National Fisheries and aquaculture agency, ANPA is housed under the Romanian government’s Ministry of Agriculture. The acronym NAFA refers to the English translation, and ANPA refers to the Romanian title of the agency. Interviewees switched interchangeably between the terms NAFA and ANPA. For consistency I use ANPA.  </w:t>
      </w:r>
    </w:p>
  </w:footnote>
  <w:footnote w:id="264">
    <w:p w14:paraId="49B1C644" w14:textId="1E517A08" w:rsidR="00765797" w:rsidRPr="00765797" w:rsidRDefault="00765797" w:rsidP="001D64B0">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lang w:val="en-US"/>
        </w:rPr>
        <w:t xml:space="preserve">For example see the EU-funded MEASURES project: </w:t>
      </w:r>
      <w:hyperlink r:id="rId106" w:history="1">
        <w:r w:rsidRPr="00765797">
          <w:rPr>
            <w:rStyle w:val="Hyperlink"/>
            <w:rFonts w:cs="Times New Roman"/>
            <w:color w:val="auto"/>
            <w:sz w:val="18"/>
            <w:szCs w:val="18"/>
            <w:lang w:val="en-US"/>
          </w:rPr>
          <w:t>http://www.interreg-danube.eu/approved-projects/measures</w:t>
        </w:r>
      </w:hyperlink>
      <w:r w:rsidRPr="00765797">
        <w:rPr>
          <w:rFonts w:cs="Times New Roman"/>
          <w:sz w:val="18"/>
          <w:szCs w:val="18"/>
          <w:lang w:val="en-US"/>
        </w:rPr>
        <w:t xml:space="preserve"> [last accessed: 02.06.20] </w:t>
      </w:r>
    </w:p>
  </w:footnote>
  <w:footnote w:id="265">
    <w:p w14:paraId="11D33871" w14:textId="154F4C5E" w:rsidR="00765797" w:rsidRPr="00765797" w:rsidRDefault="00765797" w:rsidP="001D64B0">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Email correspondence with Juliani, WP2.27, NGO Coordinator, Romania, May 2018</w:t>
      </w:r>
    </w:p>
  </w:footnote>
  <w:footnote w:id="266">
    <w:p w14:paraId="6F2908EA" w14:textId="77777777" w:rsidR="00765797" w:rsidRPr="00765797" w:rsidRDefault="00765797" w:rsidP="001D64B0">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 xml:space="preserve">DG Regio is the Directorate General for Regional and Urban Policy in the European Commission </w:t>
      </w:r>
    </w:p>
  </w:footnote>
  <w:footnote w:id="267">
    <w:p w14:paraId="1447DCE4" w14:textId="44F9E8D6" w:rsidR="00765797" w:rsidRPr="00765797" w:rsidRDefault="00765797" w:rsidP="001D64B0">
      <w:pPr>
        <w:spacing w:line="240" w:lineRule="auto"/>
        <w:rPr>
          <w:rFonts w:eastAsia="Times New Roman" w:cs="Times New Roman"/>
          <w:sz w:val="18"/>
          <w:szCs w:val="18"/>
        </w:rPr>
      </w:pPr>
      <w:r w:rsidRPr="00765797">
        <w:rPr>
          <w:rStyle w:val="FootnoteReference"/>
          <w:sz w:val="18"/>
          <w:szCs w:val="18"/>
        </w:rPr>
        <w:footnoteRef/>
      </w:r>
      <w:r w:rsidRPr="00765797">
        <w:rPr>
          <w:rFonts w:cs="Times New Roman"/>
          <w:sz w:val="18"/>
          <w:szCs w:val="18"/>
        </w:rPr>
        <w:t xml:space="preserve"> </w:t>
      </w:r>
      <w:r w:rsidRPr="00765797">
        <w:rPr>
          <w:rFonts w:eastAsia="Times New Roman" w:cs="Times New Roman"/>
          <w:sz w:val="18"/>
          <w:szCs w:val="18"/>
        </w:rPr>
        <w:t xml:space="preserve">Taken from letter sent by representative of DG REGIO to the General Director of the Romanian Ministry of Regional Development, Public Administration and European Funds, dated 15.01.18. I have chosen not to include this letter as an Appendix to this dissertation, because the content of this letter would contravene the anonymity agreements made as part of the ethical procedures of this PhD research.  </w:t>
      </w:r>
    </w:p>
  </w:footnote>
  <w:footnote w:id="268">
    <w:p w14:paraId="23F1CF40" w14:textId="5AA05627" w:rsidR="00765797" w:rsidRPr="00765797" w:rsidRDefault="00765797" w:rsidP="001D64B0">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Interview with Juliani, WP2.27, NGO Coordinator, Romania, May 2018</w:t>
      </w:r>
    </w:p>
  </w:footnote>
  <w:footnote w:id="269">
    <w:p w14:paraId="0EA89B7A" w14:textId="6B3790C8" w:rsidR="00765797" w:rsidRPr="00765797" w:rsidRDefault="00765797" w:rsidP="00FE14D7">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Interview with Avram, WP2.36a, Researcher, May, July 2018</w:t>
      </w:r>
    </w:p>
  </w:footnote>
  <w:footnote w:id="270">
    <w:p w14:paraId="756146E6" w14:textId="77777777" w:rsidR="00765797" w:rsidRPr="00765797" w:rsidRDefault="00765797" w:rsidP="00FE14D7">
      <w:pPr>
        <w:pStyle w:val="NormalWeb"/>
        <w:spacing w:before="0" w:beforeAutospacing="0" w:after="0" w:afterAutospacing="0"/>
        <w:rPr>
          <w:sz w:val="18"/>
          <w:szCs w:val="18"/>
        </w:rPr>
      </w:pPr>
      <w:r w:rsidRPr="00765797">
        <w:rPr>
          <w:rStyle w:val="FootnoteReference"/>
          <w:sz w:val="18"/>
          <w:szCs w:val="18"/>
        </w:rPr>
        <w:footnoteRef/>
      </w:r>
      <w:r w:rsidRPr="00765797">
        <w:rPr>
          <w:sz w:val="18"/>
          <w:szCs w:val="18"/>
        </w:rPr>
        <w:t xml:space="preserve"> JASPERS stands for Joint Assistance to Support Projects in European Regions. It is a technical assistance partnership between the European Commission, European Investment Bank, and European Bank for Reconstruction and Development. JASPERS provides independent advice to beneficiary countries to help prepare high quality major projects to be co-financed by two EU Structural and Investment funds (European Regional Development Fund and Cohesion Fund) </w:t>
      </w:r>
      <w:hyperlink r:id="rId107" w:history="1">
        <w:r w:rsidRPr="00765797">
          <w:rPr>
            <w:rStyle w:val="Hyperlink"/>
            <w:color w:val="auto"/>
            <w:sz w:val="18"/>
            <w:szCs w:val="18"/>
          </w:rPr>
          <w:t>https://ec.europa.eu/regional_policy/en/funding/special-support-instruments/jaspers/</w:t>
        </w:r>
      </w:hyperlink>
      <w:r w:rsidRPr="00765797">
        <w:rPr>
          <w:sz w:val="18"/>
          <w:szCs w:val="18"/>
        </w:rPr>
        <w:t xml:space="preserve"> </w:t>
      </w:r>
    </w:p>
  </w:footnote>
  <w:footnote w:id="271">
    <w:p w14:paraId="2FE9CC82" w14:textId="7B75BB4E" w:rsidR="00765797" w:rsidRPr="00765797" w:rsidRDefault="00765797" w:rsidP="00FE14D7">
      <w:pPr>
        <w:pStyle w:val="FootnoteText"/>
        <w:rPr>
          <w:rFonts w:cs="Times New Roman"/>
          <w:sz w:val="18"/>
          <w:szCs w:val="18"/>
          <w:lang w:val="en-US"/>
        </w:rPr>
      </w:pPr>
      <w:r w:rsidRPr="00765797">
        <w:rPr>
          <w:rStyle w:val="FootnoteReference"/>
          <w:rFonts w:cs="Times New Roman"/>
          <w:sz w:val="18"/>
          <w:szCs w:val="18"/>
        </w:rPr>
        <w:footnoteRef/>
      </w:r>
      <w:r w:rsidRPr="00765797">
        <w:rPr>
          <w:rFonts w:eastAsia="Times New Roman" w:cs="Times New Roman"/>
          <w:sz w:val="18"/>
          <w:szCs w:val="18"/>
        </w:rPr>
        <w:t>Phrase taken from letter sent by representative of DG REGIO to the General Director of the Romanian Ministry of Regional Development, Public Administration and European Funds, dated 15.01.18. I have chosen not to include this letter as an Appendix to this dissertation, because the content of this letter would contravene the anonymity agreements made as part of the ethical procedures of this PhD research.</w:t>
      </w:r>
    </w:p>
  </w:footnote>
  <w:footnote w:id="272">
    <w:p w14:paraId="375760E2" w14:textId="223CC810" w:rsidR="00765797" w:rsidRPr="00765797" w:rsidRDefault="00765797" w:rsidP="00FE14D7">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Email Correspondence with Juliani, WP2.27, NGO Coordinator, Romania, May 2018</w:t>
      </w:r>
    </w:p>
  </w:footnote>
  <w:footnote w:id="273">
    <w:p w14:paraId="6583D8C1" w14:textId="52A626E4" w:rsidR="00765797" w:rsidRPr="00765797" w:rsidRDefault="00765797">
      <w:pPr>
        <w:pStyle w:val="FootnoteText"/>
        <w:rPr>
          <w:sz w:val="18"/>
          <w:szCs w:val="18"/>
          <w:lang w:val="en-US"/>
        </w:rPr>
      </w:pPr>
      <w:r w:rsidRPr="00765797">
        <w:rPr>
          <w:rStyle w:val="FootnoteReference"/>
          <w:sz w:val="18"/>
          <w:szCs w:val="18"/>
        </w:rPr>
        <w:footnoteRef/>
      </w:r>
      <w:r w:rsidRPr="00765797">
        <w:rPr>
          <w:sz w:val="18"/>
          <w:szCs w:val="18"/>
        </w:rPr>
        <w:t xml:space="preserve"> </w:t>
      </w:r>
      <w:r w:rsidRPr="00765797">
        <w:rPr>
          <w:rFonts w:cs="Times New Roman"/>
          <w:sz w:val="18"/>
          <w:szCs w:val="18"/>
          <w:lang w:val="en-US"/>
        </w:rPr>
        <w:t>Email correspondence with Juliani, WP2.27, NGO Coordinator, May 2018</w:t>
      </w:r>
    </w:p>
  </w:footnote>
  <w:footnote w:id="274">
    <w:p w14:paraId="7D3B87D6" w14:textId="11036EA5" w:rsidR="00765797" w:rsidRPr="00765797" w:rsidRDefault="00765797" w:rsidP="00FE14D7">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Avram, WP2.36a, Researcher, Romania, July 2018</w:t>
      </w:r>
    </w:p>
  </w:footnote>
  <w:footnote w:id="275">
    <w:p w14:paraId="6FD70D22" w14:textId="7D2F4181" w:rsidR="00765797" w:rsidRPr="00765797" w:rsidRDefault="00765797" w:rsidP="00FE14D7">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Avram, WP2.36a, Researcher, Romania, July 2018</w:t>
      </w:r>
    </w:p>
  </w:footnote>
  <w:footnote w:id="276">
    <w:p w14:paraId="61AF18CB" w14:textId="77777777" w:rsidR="00765797" w:rsidRPr="00765797" w:rsidRDefault="00765797" w:rsidP="00C211FC">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Email correspondence with Juliani, WP2.27, NGO Coordinator, May 2018</w:t>
      </w:r>
    </w:p>
  </w:footnote>
  <w:footnote w:id="277">
    <w:p w14:paraId="649DAA06" w14:textId="77777777" w:rsidR="00765797" w:rsidRPr="00765797" w:rsidRDefault="00765797" w:rsidP="00FE14D7">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There was speculation amongst interviewees that the research institute may also be bribing the Biodiversity Directorate in order to win tenders, which adds another dimension to the discussion, although this cannot be verified. </w:t>
      </w:r>
    </w:p>
  </w:footnote>
  <w:footnote w:id="278">
    <w:p w14:paraId="0F90A16B" w14:textId="7B714200" w:rsidR="00765797" w:rsidRPr="00765797" w:rsidRDefault="00765797" w:rsidP="00FE14D7">
      <w:pPr>
        <w:pStyle w:val="FootnoteText"/>
        <w:rPr>
          <w:rFonts w:cs="Times New Roman"/>
          <w:sz w:val="18"/>
          <w:szCs w:val="18"/>
        </w:rPr>
      </w:pPr>
      <w:r w:rsidRPr="00765797">
        <w:rPr>
          <w:rStyle w:val="FootnoteReference"/>
          <w:rFonts w:cs="Times New Roman"/>
          <w:sz w:val="18"/>
          <w:szCs w:val="18"/>
        </w:rPr>
        <w:footnoteRef/>
      </w:r>
      <w:r w:rsidRPr="00765797">
        <w:rPr>
          <w:rFonts w:cs="Times New Roman"/>
          <w:sz w:val="18"/>
          <w:szCs w:val="18"/>
        </w:rPr>
        <w:t xml:space="preserve"> Interview with Rose, WP2.10, NGO Representative, Austria, February 2018</w:t>
      </w:r>
    </w:p>
  </w:footnote>
  <w:footnote w:id="279">
    <w:p w14:paraId="3A8D354D" w14:textId="51556BC2" w:rsidR="00765797" w:rsidRPr="00765797" w:rsidRDefault="00765797" w:rsidP="00FE14D7">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 xml:space="preserve">Email correspondence with Juliani, WP2.27, NGO Coordinator, Romania, May 2018 </w:t>
      </w:r>
    </w:p>
  </w:footnote>
  <w:footnote w:id="280">
    <w:p w14:paraId="5642A3FD" w14:textId="724D4C09" w:rsidR="00765797" w:rsidRPr="00765797" w:rsidRDefault="00765797" w:rsidP="00FE14D7">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Interview with Ulmer, WP2.06, DG Environment, European Commission February 2018</w:t>
      </w:r>
    </w:p>
  </w:footnote>
  <w:footnote w:id="281">
    <w:p w14:paraId="5599F2A8" w14:textId="0B6C99B0" w:rsidR="00765797" w:rsidRPr="00765797" w:rsidRDefault="00765797" w:rsidP="00FE14D7">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Interview with Danut, WP2.37, Sturgeon Farmer and Caviar producer, Romania, July 2018</w:t>
      </w:r>
    </w:p>
  </w:footnote>
  <w:footnote w:id="282">
    <w:p w14:paraId="0DFEF764" w14:textId="18FF1CB9" w:rsidR="00765797" w:rsidRPr="00765797" w:rsidRDefault="00765797" w:rsidP="00FE14D7">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 xml:space="preserve">Interview with Rose, </w:t>
      </w:r>
      <w:r w:rsidRPr="00765797">
        <w:rPr>
          <w:rFonts w:cs="Times New Roman"/>
          <w:sz w:val="18"/>
          <w:szCs w:val="18"/>
        </w:rPr>
        <w:t>WP2.10, NGO Representative, Austria, February 2018</w:t>
      </w:r>
    </w:p>
  </w:footnote>
  <w:footnote w:id="283">
    <w:p w14:paraId="09658170" w14:textId="77777777" w:rsidR="00765797" w:rsidRPr="00765797" w:rsidRDefault="00765797" w:rsidP="00FE14D7">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Interview with Ulmer, WP2.06, DG Environment, European Commission, February 2018</w:t>
      </w:r>
    </w:p>
  </w:footnote>
  <w:footnote w:id="284">
    <w:p w14:paraId="4969F14B" w14:textId="312B07DD" w:rsidR="00765797" w:rsidRPr="00765797" w:rsidRDefault="00765797">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 xml:space="preserve">Interestingly, in February 2020 the European Commission put Romania on notice, and launched a sanctions procedure against the country over the issue of illegal logging and timber trade. See: ‘Commission pressures Romania to halt illegal logging’ </w:t>
      </w:r>
      <w:hyperlink r:id="rId108" w:history="1">
        <w:r w:rsidRPr="00765797">
          <w:rPr>
            <w:rStyle w:val="Hyperlink"/>
            <w:rFonts w:cs="Times New Roman"/>
            <w:color w:val="auto"/>
            <w:sz w:val="18"/>
            <w:szCs w:val="18"/>
            <w:lang w:val="en-US"/>
          </w:rPr>
          <w:t>https://www.eurosite.org/brussels/commission-pressures-romania-to-halt-illegal-logging/</w:t>
        </w:r>
      </w:hyperlink>
      <w:r w:rsidRPr="00765797">
        <w:rPr>
          <w:rFonts w:cs="Times New Roman"/>
          <w:sz w:val="18"/>
          <w:szCs w:val="18"/>
          <w:lang w:val="en-US"/>
        </w:rPr>
        <w:t xml:space="preserve"> [last accessed: 02.06.20] and ‘Criminalisation, Crisis Narratives and the Commission: the fight against deforestation in Europe’ </w:t>
      </w:r>
      <w:hyperlink r:id="rId109" w:history="1">
        <w:r w:rsidRPr="00765797">
          <w:rPr>
            <w:rStyle w:val="Hyperlink"/>
            <w:rFonts w:cs="Times New Roman"/>
            <w:color w:val="auto"/>
            <w:sz w:val="18"/>
            <w:szCs w:val="18"/>
            <w:lang w:val="en-US"/>
          </w:rPr>
          <w:t>https://biosecproject.org/2020/05/19/blog-criminalisation-crisis-narratives-and-the-commission-the-fight-against-deforestation-in-europe/</w:t>
        </w:r>
      </w:hyperlink>
      <w:r w:rsidRPr="00765797">
        <w:rPr>
          <w:rFonts w:cs="Times New Roman"/>
          <w:sz w:val="18"/>
          <w:szCs w:val="18"/>
          <w:lang w:val="en-US"/>
        </w:rPr>
        <w:t xml:space="preserve"> [last accessed: 02.06.20]. This demonstrates that the EU is prepared to intervene into issues of environmental crimes in Member States. The issue of illegal logging in Romania has garnered significant media and public attention in recent months, with mounting pressure placed upon the EU to intervene. Sturgeon crime issues appear to garner much less popular attention in comparison.  </w:t>
      </w:r>
    </w:p>
  </w:footnote>
  <w:footnote w:id="285">
    <w:p w14:paraId="16234B74" w14:textId="5AD98179" w:rsidR="00765797" w:rsidRPr="00765797" w:rsidRDefault="00765797" w:rsidP="00FE14D7">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Interview with Michael, WP2.02, Ex-enforcement officer, UK, December 2017</w:t>
      </w:r>
    </w:p>
  </w:footnote>
  <w:footnote w:id="286">
    <w:p w14:paraId="63126998" w14:textId="517252F9" w:rsidR="00765797" w:rsidRPr="00765797" w:rsidRDefault="00765797" w:rsidP="00FE14D7">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Interview with Rose, WP2.10, NGO representative, Austria, February 2018</w:t>
      </w:r>
    </w:p>
  </w:footnote>
  <w:footnote w:id="287">
    <w:p w14:paraId="5469DEDC" w14:textId="35AAC8D8" w:rsidR="00765797" w:rsidRPr="00765797" w:rsidRDefault="00765797" w:rsidP="00FE14D7">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Interview with Lipa, WP2.28a, ANPA, May 2018</w:t>
      </w:r>
    </w:p>
  </w:footnote>
  <w:footnote w:id="288">
    <w:p w14:paraId="7C977450" w14:textId="5F0CD7E6" w:rsidR="00765797" w:rsidRPr="00765797" w:rsidRDefault="00765797" w:rsidP="00FE14D7">
      <w:pPr>
        <w:pStyle w:val="FootnoteText"/>
        <w:rPr>
          <w:sz w:val="18"/>
          <w:szCs w:val="18"/>
          <w:lang w:val="en-US"/>
        </w:rPr>
      </w:pPr>
      <w:r w:rsidRPr="00765797">
        <w:rPr>
          <w:rStyle w:val="FootnoteReference"/>
        </w:rPr>
        <w:footnoteRef/>
      </w:r>
      <w:r w:rsidRPr="00765797">
        <w:rPr>
          <w:rFonts w:cs="Times New Roman"/>
          <w:sz w:val="18"/>
          <w:szCs w:val="18"/>
        </w:rPr>
        <w:t xml:space="preserve"> Interview with Wilhelm, WP2.13, CITES Secretariat, (Skype interview), February 2018</w:t>
      </w:r>
    </w:p>
  </w:footnote>
  <w:footnote w:id="289">
    <w:p w14:paraId="59560B76" w14:textId="0AC36FB2" w:rsidR="00765797" w:rsidRPr="00765797" w:rsidRDefault="00765797" w:rsidP="00FE14D7">
      <w:pPr>
        <w:pStyle w:val="FootnoteText"/>
        <w:rPr>
          <w:rFonts w:cs="Times New Roman"/>
          <w:sz w:val="18"/>
          <w:szCs w:val="18"/>
          <w:lang w:val="en-US"/>
        </w:rPr>
      </w:pPr>
      <w:r w:rsidRPr="00765797">
        <w:rPr>
          <w:rStyle w:val="FootnoteReference"/>
        </w:rPr>
        <w:footnoteRef/>
      </w:r>
      <w:r w:rsidRPr="00765797">
        <w:rPr>
          <w:rFonts w:cs="Times New Roman"/>
          <w:sz w:val="18"/>
          <w:szCs w:val="18"/>
        </w:rPr>
        <w:t xml:space="preserve"> </w:t>
      </w:r>
      <w:r w:rsidRPr="00765797">
        <w:rPr>
          <w:rFonts w:cs="Times New Roman"/>
          <w:sz w:val="18"/>
          <w:szCs w:val="18"/>
          <w:lang w:val="en-US"/>
        </w:rPr>
        <w:t>Interview with Wilhelm, WP2.13, CITES Secretariat, (Skype interview), February 2018</w:t>
      </w:r>
    </w:p>
  </w:footnote>
  <w:footnote w:id="290">
    <w:p w14:paraId="082EDB38" w14:textId="77777777" w:rsidR="00765797" w:rsidRPr="00765797" w:rsidRDefault="00765797" w:rsidP="00181DE3">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The precautionary principle is used in environmental debates to argue that if there is a suspicion that an activity may have negative or harmful environmental consequences, then it is better to control the situation now rather than wait for incontrovertible scientific evidence to prove or disprove the possibility of environmental harm. </w:t>
      </w:r>
    </w:p>
  </w:footnote>
  <w:footnote w:id="291">
    <w:p w14:paraId="089C9909" w14:textId="43A66A3E" w:rsidR="00765797" w:rsidRPr="00765797" w:rsidRDefault="00765797" w:rsidP="00181DE3">
      <w:pPr>
        <w:pStyle w:val="FootnoteText"/>
        <w:rPr>
          <w:sz w:val="18"/>
          <w:szCs w:val="18"/>
          <w:lang w:val="en-US"/>
        </w:rPr>
      </w:pPr>
      <w:r w:rsidRPr="00765797">
        <w:rPr>
          <w:rStyle w:val="FootnoteReference"/>
          <w:sz w:val="18"/>
          <w:szCs w:val="18"/>
        </w:rPr>
        <w:footnoteRef/>
      </w:r>
      <w:r w:rsidRPr="00765797">
        <w:rPr>
          <w:rFonts w:cs="Times New Roman"/>
          <w:sz w:val="18"/>
          <w:szCs w:val="18"/>
        </w:rPr>
        <w:t xml:space="preserve"> Interview with Wilhelm, WP2.13, CITES Secretariat, (Skype interview), February 2018</w:t>
      </w:r>
    </w:p>
  </w:footnote>
  <w:footnote w:id="292">
    <w:p w14:paraId="58B302D6" w14:textId="397A024D" w:rsidR="00765797" w:rsidRPr="00765797" w:rsidRDefault="00765797" w:rsidP="00FE14D7">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Interview with Wilhelm, WP2.13, CITES Secretariat,  (Skype interview), February 2018</w:t>
      </w:r>
    </w:p>
  </w:footnote>
  <w:footnote w:id="293">
    <w:p w14:paraId="6680A32E" w14:textId="3AC495B2" w:rsidR="00765797" w:rsidRPr="00765797" w:rsidRDefault="00765797" w:rsidP="00FE14D7">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Interview with Wilhelm, WP2.13, CITES Secretariat, (Skype interview) February 2018</w:t>
      </w:r>
    </w:p>
  </w:footnote>
  <w:footnote w:id="294">
    <w:p w14:paraId="62E3279D" w14:textId="77777777" w:rsidR="00765797" w:rsidRPr="00765797" w:rsidRDefault="00765797" w:rsidP="00317EC1">
      <w:pPr>
        <w:pStyle w:val="FootnoteText"/>
        <w:rPr>
          <w:rFonts w:cs="Times New Roman"/>
          <w:sz w:val="18"/>
          <w:szCs w:val="18"/>
        </w:rPr>
      </w:pPr>
      <w:r w:rsidRPr="00765797">
        <w:rPr>
          <w:rStyle w:val="FootnoteReference"/>
          <w:rFonts w:cs="Times New Roman"/>
          <w:sz w:val="18"/>
          <w:szCs w:val="18"/>
        </w:rPr>
        <w:footnoteRef/>
      </w:r>
      <w:r w:rsidRPr="00765797">
        <w:rPr>
          <w:rFonts w:cs="Times New Roman"/>
          <w:sz w:val="18"/>
          <w:szCs w:val="18"/>
        </w:rPr>
        <w:t xml:space="preserve"> In  2014 Russia annexed Crimea following a referendum – the results of which have not been recognised by the international community. Ukraine and the majority of international governments continue to recognise Crimea as part of Ukrainian territory, and do not view the Russian annexation as legitimate. The geopolitical status of Crimea is subject to continuing territorial disputes between Ukraine and Russia. The currency, taxation system and legal system in Crimea are all currently under de-facto Russian control. The UN General Assembly has adopted a non-binding resolution that considers the referendum and annexation as invalid, and reaffirms Ukrainian territorial integrity. </w:t>
      </w:r>
    </w:p>
  </w:footnote>
  <w:footnote w:id="295">
    <w:p w14:paraId="241964C8" w14:textId="244A87CA" w:rsidR="00765797" w:rsidRPr="00765797" w:rsidRDefault="00765797">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eastAsia="Times New Roman" w:cs="Times New Roman"/>
          <w:sz w:val="18"/>
          <w:szCs w:val="18"/>
        </w:rPr>
        <w:t xml:space="preserve">Nato Calls on Russia to withdraw from Crimea, cease its support to militants in Eastern Ukraine’, Unian Information Agency, </w:t>
      </w:r>
      <w:hyperlink r:id="rId110" w:history="1">
        <w:r w:rsidRPr="00765797">
          <w:rPr>
            <w:rStyle w:val="Hyperlink"/>
            <w:rFonts w:eastAsia="Times New Roman" w:cs="Times New Roman"/>
            <w:color w:val="auto"/>
            <w:sz w:val="18"/>
            <w:szCs w:val="18"/>
          </w:rPr>
          <w:t>https://www.unian.info/politics/10560027-nato-calls-on-russia-to-withdraw-from-crimea-cease-its-support-to-militants-in-eastern-ukraine.html</w:t>
        </w:r>
      </w:hyperlink>
      <w:r w:rsidRPr="00765797">
        <w:rPr>
          <w:rFonts w:eastAsia="Times New Roman" w:cs="Times New Roman"/>
          <w:sz w:val="18"/>
          <w:szCs w:val="18"/>
        </w:rPr>
        <w:t xml:space="preserve"> [Last accessed: 24.05.19]</w:t>
      </w:r>
    </w:p>
  </w:footnote>
  <w:footnote w:id="296">
    <w:p w14:paraId="6451D918" w14:textId="22AFADA6" w:rsidR="00765797" w:rsidRPr="00765797" w:rsidRDefault="00765797" w:rsidP="00F3238A">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Interview with Wilhelm, WP2.13, CITES Secretariat, (Skype interview) February 2018</w:t>
      </w:r>
    </w:p>
  </w:footnote>
  <w:footnote w:id="297">
    <w:p w14:paraId="3302647B" w14:textId="48A586EE" w:rsidR="00765797" w:rsidRPr="00765797" w:rsidRDefault="00765797" w:rsidP="00F3238A">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Interview with Wilhelm, WP2.13, CITES Secretariat, (Skype interview) February 2018</w:t>
      </w:r>
    </w:p>
  </w:footnote>
  <w:footnote w:id="298">
    <w:p w14:paraId="7DD598B3" w14:textId="64477FC5" w:rsidR="00765797" w:rsidRPr="00765797" w:rsidRDefault="00765797" w:rsidP="00FE14D7">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Interview with Wilhelm, WP2.13, CITES Secretariat, (Skype interview), February 2018</w:t>
      </w:r>
    </w:p>
  </w:footnote>
  <w:footnote w:id="299">
    <w:p w14:paraId="145C0940" w14:textId="49056D5D" w:rsidR="00765797" w:rsidRPr="00765797" w:rsidRDefault="00765797">
      <w:pPr>
        <w:pStyle w:val="FootnoteText"/>
        <w:rPr>
          <w:sz w:val="18"/>
          <w:szCs w:val="18"/>
          <w:lang w:val="en-US"/>
        </w:rPr>
      </w:pPr>
      <w:r w:rsidRPr="00765797">
        <w:rPr>
          <w:rStyle w:val="FootnoteReference"/>
          <w:sz w:val="18"/>
          <w:szCs w:val="18"/>
        </w:rPr>
        <w:footnoteRef/>
      </w:r>
      <w:r w:rsidRPr="00765797">
        <w:rPr>
          <w:sz w:val="18"/>
          <w:szCs w:val="18"/>
        </w:rPr>
        <w:t xml:space="preserve"> </w:t>
      </w:r>
      <w:r w:rsidRPr="00765797">
        <w:rPr>
          <w:rFonts w:eastAsia="Times New Roman" w:cs="Times New Roman"/>
          <w:sz w:val="18"/>
          <w:szCs w:val="18"/>
        </w:rPr>
        <w:t xml:space="preserve">UAE is home to the world’s largest caviar factory’ </w:t>
      </w:r>
      <w:hyperlink r:id="rId111" w:history="1">
        <w:r w:rsidRPr="00765797">
          <w:rPr>
            <w:rStyle w:val="Hyperlink"/>
            <w:rFonts w:eastAsia="Times New Roman" w:cs="Times New Roman"/>
            <w:color w:val="auto"/>
            <w:sz w:val="18"/>
            <w:szCs w:val="18"/>
          </w:rPr>
          <w:t>https://www.abc.net.au/news/2016-04-19/world-largest-caviar-factory-in-abu-dhabi/7336760</w:t>
        </w:r>
      </w:hyperlink>
      <w:r w:rsidRPr="00765797">
        <w:rPr>
          <w:rFonts w:eastAsia="Times New Roman" w:cs="Times New Roman"/>
          <w:sz w:val="18"/>
          <w:szCs w:val="18"/>
        </w:rPr>
        <w:t xml:space="preserve"> [last accessed 28.05.19]</w:t>
      </w:r>
    </w:p>
  </w:footnote>
  <w:footnote w:id="300">
    <w:p w14:paraId="44516291" w14:textId="1E7F0552" w:rsidR="00765797" w:rsidRPr="00765797" w:rsidRDefault="00765797">
      <w:pPr>
        <w:pStyle w:val="FootnoteText"/>
        <w:rPr>
          <w:sz w:val="18"/>
          <w:szCs w:val="18"/>
          <w:lang w:val="en-US"/>
        </w:rPr>
      </w:pPr>
      <w:r w:rsidRPr="00765797">
        <w:rPr>
          <w:rStyle w:val="FootnoteReference"/>
          <w:sz w:val="18"/>
          <w:szCs w:val="18"/>
        </w:rPr>
        <w:footnoteRef/>
      </w:r>
      <w:r w:rsidRPr="00765797">
        <w:rPr>
          <w:sz w:val="18"/>
          <w:szCs w:val="18"/>
        </w:rPr>
        <w:t xml:space="preserve"> </w:t>
      </w:r>
      <w:r w:rsidRPr="00765797">
        <w:rPr>
          <w:rFonts w:eastAsia="Times New Roman" w:cs="Times New Roman"/>
          <w:sz w:val="18"/>
          <w:szCs w:val="18"/>
        </w:rPr>
        <w:t xml:space="preserve">‘Your high quality caviar might just be made in China’ </w:t>
      </w:r>
      <w:hyperlink r:id="rId112" w:history="1">
        <w:r w:rsidRPr="00765797">
          <w:rPr>
            <w:rStyle w:val="Hyperlink"/>
            <w:rFonts w:eastAsia="Times New Roman" w:cs="Times New Roman"/>
            <w:color w:val="auto"/>
            <w:sz w:val="18"/>
            <w:szCs w:val="18"/>
          </w:rPr>
          <w:t>http://time.com/5070817/china-caviar-beluga-sturgeon-farmed-kaluga/</w:t>
        </w:r>
      </w:hyperlink>
      <w:r w:rsidRPr="00765797">
        <w:rPr>
          <w:rFonts w:eastAsia="Times New Roman" w:cs="Times New Roman"/>
          <w:sz w:val="18"/>
          <w:szCs w:val="18"/>
        </w:rPr>
        <w:t xml:space="preserve"> [last accessed: 28.05.19]</w:t>
      </w:r>
    </w:p>
  </w:footnote>
  <w:footnote w:id="301">
    <w:p w14:paraId="17160900" w14:textId="742020AA" w:rsidR="00765797" w:rsidRPr="00765797" w:rsidRDefault="00765797">
      <w:pPr>
        <w:pStyle w:val="FootnoteText"/>
        <w:rPr>
          <w:lang w:val="en-US"/>
        </w:rPr>
      </w:pPr>
      <w:r w:rsidRPr="00765797">
        <w:rPr>
          <w:rStyle w:val="FootnoteReference"/>
          <w:sz w:val="18"/>
          <w:szCs w:val="18"/>
        </w:rPr>
        <w:footnoteRef/>
      </w:r>
      <w:r w:rsidRPr="00765797">
        <w:rPr>
          <w:sz w:val="18"/>
          <w:szCs w:val="18"/>
        </w:rPr>
        <w:t xml:space="preserve"> ‘Caviar market Research’ </w:t>
      </w:r>
      <w:hyperlink r:id="rId113" w:history="1">
        <w:r w:rsidRPr="00765797">
          <w:rPr>
            <w:rStyle w:val="Hyperlink"/>
            <w:color w:val="auto"/>
            <w:sz w:val="18"/>
            <w:szCs w:val="18"/>
          </w:rPr>
          <w:t>https://www.sisinternational.com/the-russian-caviar-market/</w:t>
        </w:r>
      </w:hyperlink>
      <w:r w:rsidRPr="00765797">
        <w:rPr>
          <w:sz w:val="18"/>
          <w:szCs w:val="18"/>
        </w:rPr>
        <w:t xml:space="preserve"> [last accessed: 02.06.20]</w:t>
      </w:r>
      <w:r w:rsidRPr="00765797">
        <w:t xml:space="preserve"> </w:t>
      </w:r>
    </w:p>
  </w:footnote>
  <w:footnote w:id="302">
    <w:p w14:paraId="4FE2DFBF" w14:textId="4A2A219F" w:rsidR="00765797" w:rsidRPr="00765797" w:rsidRDefault="00765797" w:rsidP="00FE14D7">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Interview with Oliver, WP2.03, Intelligence Officer, UK, December 2017</w:t>
      </w:r>
    </w:p>
  </w:footnote>
  <w:footnote w:id="303">
    <w:p w14:paraId="4DAE842B" w14:textId="73316EFB" w:rsidR="00765797" w:rsidRPr="00765797" w:rsidRDefault="00765797" w:rsidP="00FE14D7">
      <w:pPr>
        <w:rPr>
          <w:rFonts w:eastAsia="Times New Roman" w:cs="Times New Roman"/>
          <w:sz w:val="18"/>
          <w:szCs w:val="18"/>
        </w:rPr>
      </w:pPr>
      <w:r w:rsidRPr="00765797">
        <w:rPr>
          <w:rStyle w:val="FootnoteReference"/>
          <w:sz w:val="18"/>
          <w:szCs w:val="18"/>
        </w:rPr>
        <w:footnoteRef/>
      </w:r>
      <w:r w:rsidRPr="00765797">
        <w:rPr>
          <w:rFonts w:cs="Times New Roman"/>
          <w:sz w:val="18"/>
          <w:szCs w:val="18"/>
        </w:rPr>
        <w:t xml:space="preserve"> </w:t>
      </w:r>
      <w:r w:rsidRPr="00765797">
        <w:rPr>
          <w:rFonts w:eastAsia="Times New Roman" w:cs="Times New Roman"/>
          <w:sz w:val="18"/>
          <w:szCs w:val="18"/>
        </w:rPr>
        <w:t>Interview with Michael, WP2.02, Ex-enforcement officer, UK, December 2017</w:t>
      </w:r>
    </w:p>
    <w:p w14:paraId="3B114109" w14:textId="77777777" w:rsidR="00765797" w:rsidRPr="00765797" w:rsidRDefault="00765797" w:rsidP="00FE14D7">
      <w:pPr>
        <w:pStyle w:val="FootnoteText"/>
        <w:rPr>
          <w:lang w:val="en-US"/>
        </w:rPr>
      </w:pPr>
    </w:p>
  </w:footnote>
  <w:footnote w:id="304">
    <w:p w14:paraId="72EAA627" w14:textId="39FFFFA7" w:rsidR="00765797" w:rsidRPr="00765797" w:rsidRDefault="00765797">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 xml:space="preserve">See article on The Fish Site (2019) ‘Is the Aquaculture of invasive and non-native species worth the risk?’ </w:t>
      </w:r>
      <w:hyperlink r:id="rId114" w:history="1">
        <w:r w:rsidRPr="00765797">
          <w:rPr>
            <w:rStyle w:val="Hyperlink"/>
            <w:rFonts w:cs="Times New Roman"/>
            <w:color w:val="auto"/>
            <w:sz w:val="18"/>
            <w:szCs w:val="18"/>
            <w:lang w:val="en-US"/>
          </w:rPr>
          <w:t>https://thefishsite.com/articles/is-the-aquaculture-of-invasive-and-non-native-species-worth-the-risk</w:t>
        </w:r>
      </w:hyperlink>
      <w:r w:rsidRPr="00765797">
        <w:rPr>
          <w:rFonts w:cs="Times New Roman"/>
          <w:sz w:val="18"/>
          <w:szCs w:val="18"/>
          <w:lang w:val="en-US"/>
        </w:rPr>
        <w:t xml:space="preserve"> [last accessed: 02.06.20] </w:t>
      </w:r>
    </w:p>
  </w:footnote>
  <w:footnote w:id="305">
    <w:p w14:paraId="1FF8C0D3" w14:textId="5F17B569" w:rsidR="00765797" w:rsidRPr="00765797" w:rsidRDefault="00765797" w:rsidP="00FE14D7">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Danut, WP2.27, Sturgeon Farmer and Caviar producer, Romania, August 2018</w:t>
      </w:r>
    </w:p>
  </w:footnote>
  <w:footnote w:id="306">
    <w:p w14:paraId="250A2E3A" w14:textId="2E14AD7D" w:rsidR="00765797" w:rsidRPr="00765797" w:rsidRDefault="00765797" w:rsidP="00FE14D7">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Wild boar are proliferating in the EU: the population is increasing annually by 20%, leading to increased disease transmission and damage to crops and environments. See von Essen (2019)</w:t>
      </w:r>
    </w:p>
  </w:footnote>
  <w:footnote w:id="307">
    <w:p w14:paraId="129C3D2B" w14:textId="5FEBC66E" w:rsidR="00765797" w:rsidRPr="00765797" w:rsidRDefault="00765797" w:rsidP="00FE14D7">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‘Boar Wars: How wild hogs are trashing European cities’ </w:t>
      </w:r>
      <w:hyperlink r:id="rId115" w:history="1">
        <w:r w:rsidRPr="00765797">
          <w:rPr>
            <w:rStyle w:val="Hyperlink"/>
            <w:rFonts w:cs="Times New Roman"/>
            <w:color w:val="auto"/>
            <w:sz w:val="18"/>
            <w:szCs w:val="18"/>
          </w:rPr>
          <w:t>https://www.theguardian.com/world/2019/jul/30/boar-wars-how-wild-hogs-are-trashing-european-cities</w:t>
        </w:r>
      </w:hyperlink>
      <w:r w:rsidRPr="00765797">
        <w:rPr>
          <w:rFonts w:cs="Times New Roman"/>
          <w:sz w:val="18"/>
          <w:szCs w:val="18"/>
        </w:rPr>
        <w:t xml:space="preserve"> [last accessed: 15.02.20]</w:t>
      </w:r>
    </w:p>
  </w:footnote>
  <w:footnote w:id="308">
    <w:p w14:paraId="0EE342C9" w14:textId="030B38DA" w:rsidR="00765797" w:rsidRPr="00765797" w:rsidRDefault="00765797" w:rsidP="00EC3824">
      <w:pPr>
        <w:spacing w:line="240" w:lineRule="auto"/>
        <w:rPr>
          <w:rFonts w:eastAsia="Times New Roman" w:cs="Times New Roman"/>
          <w:sz w:val="18"/>
          <w:szCs w:val="18"/>
        </w:rPr>
      </w:pPr>
      <w:r w:rsidRPr="00765797">
        <w:rPr>
          <w:rStyle w:val="FootnoteReference"/>
          <w:rFonts w:cs="Times New Roman"/>
          <w:sz w:val="18"/>
          <w:szCs w:val="18"/>
        </w:rPr>
        <w:footnoteRef/>
      </w:r>
      <w:r w:rsidRPr="00765797">
        <w:rPr>
          <w:rFonts w:cs="Times New Roman"/>
          <w:sz w:val="18"/>
          <w:szCs w:val="18"/>
        </w:rPr>
        <w:t xml:space="preserve">‘Russian Sturgeon invading British waters’ </w:t>
      </w:r>
      <w:hyperlink r:id="rId116" w:history="1">
        <w:r w:rsidRPr="00765797">
          <w:rPr>
            <w:rStyle w:val="Hyperlink"/>
            <w:rFonts w:eastAsia="Times New Roman" w:cs="Times New Roman"/>
            <w:color w:val="auto"/>
            <w:sz w:val="18"/>
            <w:szCs w:val="18"/>
          </w:rPr>
          <w:t>https://www.telegraph.co.uk/news/uknews/1543766/Russian-sturgeon-invading-British-waters.html</w:t>
        </w:r>
      </w:hyperlink>
      <w:r w:rsidRPr="00765797">
        <w:rPr>
          <w:rFonts w:eastAsia="Times New Roman" w:cs="Times New Roman"/>
          <w:sz w:val="18"/>
          <w:szCs w:val="18"/>
        </w:rPr>
        <w:t xml:space="preserve"> [last accessed: 06.06.19]</w:t>
      </w:r>
    </w:p>
    <w:p w14:paraId="3F85DA48" w14:textId="77777777" w:rsidR="00765797" w:rsidRPr="00765797" w:rsidRDefault="00765797" w:rsidP="00FE14D7">
      <w:pPr>
        <w:pStyle w:val="FootnoteText"/>
        <w:rPr>
          <w:lang w:val="en-US"/>
        </w:rPr>
      </w:pPr>
    </w:p>
  </w:footnote>
  <w:footnote w:id="309">
    <w:p w14:paraId="0D13DE04" w14:textId="11ADC171" w:rsidR="00765797" w:rsidRPr="00765797" w:rsidRDefault="00765797" w:rsidP="00D51C90">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Irini, WP2.26, NGO National Project Coordinator, Romania, May 2018</w:t>
      </w:r>
    </w:p>
  </w:footnote>
  <w:footnote w:id="310">
    <w:p w14:paraId="4A9C0F3F" w14:textId="6DEA0803" w:rsidR="00765797" w:rsidRPr="00765797" w:rsidRDefault="00765797">
      <w:pPr>
        <w:pStyle w:val="FootnoteText"/>
        <w:rPr>
          <w:lang w:val="en-US"/>
        </w:rPr>
      </w:pPr>
      <w:r w:rsidRPr="00765797">
        <w:rPr>
          <w:rStyle w:val="FootnoteReference"/>
          <w:sz w:val="18"/>
          <w:szCs w:val="18"/>
        </w:rPr>
        <w:footnoteRef/>
      </w:r>
      <w:r w:rsidRPr="00765797">
        <w:rPr>
          <w:rFonts w:cs="Times New Roman"/>
          <w:sz w:val="18"/>
          <w:szCs w:val="18"/>
        </w:rPr>
        <w:t>Countries of the Danube River Basin are identified on the following map:</w:t>
      </w:r>
      <w:hyperlink r:id="rId117" w:history="1">
        <w:r w:rsidRPr="00765797">
          <w:rPr>
            <w:rStyle w:val="Hyperlink"/>
            <w:rFonts w:eastAsia="Times New Roman" w:cs="Times New Roman"/>
            <w:color w:val="auto"/>
            <w:sz w:val="18"/>
            <w:szCs w:val="18"/>
          </w:rPr>
          <w:t>https://www.icpdr.org/main/danube-basin/countries-danube-river-basin</w:t>
        </w:r>
      </w:hyperlink>
      <w:r w:rsidRPr="00765797">
        <w:rPr>
          <w:rFonts w:eastAsia="Times New Roman" w:cs="Times New Roman"/>
          <w:sz w:val="18"/>
          <w:szCs w:val="18"/>
        </w:rPr>
        <w:t xml:space="preserve"> [last accessed: 06.06.19]</w:t>
      </w:r>
    </w:p>
  </w:footnote>
  <w:footnote w:id="311">
    <w:p w14:paraId="2F5CAF84" w14:textId="3B71E2D4" w:rsidR="00765797" w:rsidRPr="00765797" w:rsidRDefault="00765797">
      <w:pPr>
        <w:pStyle w:val="FootnoteText"/>
        <w:rPr>
          <w:lang w:val="en-US"/>
        </w:rPr>
      </w:pPr>
      <w:r w:rsidRPr="00765797">
        <w:rPr>
          <w:rStyle w:val="FootnoteReference"/>
        </w:rPr>
        <w:footnoteRef/>
      </w:r>
      <w:r w:rsidRPr="00765797">
        <w:t xml:space="preserve"> </w:t>
      </w:r>
      <w:r w:rsidRPr="00765797">
        <w:rPr>
          <w:rFonts w:cs="Times New Roman"/>
          <w:sz w:val="18"/>
          <w:szCs w:val="18"/>
        </w:rPr>
        <w:t xml:space="preserve">For more information on dams in the Danube River Basin: </w:t>
      </w:r>
      <w:hyperlink r:id="rId118" w:history="1">
        <w:r w:rsidRPr="00765797">
          <w:rPr>
            <w:rStyle w:val="Hyperlink"/>
            <w:rFonts w:eastAsia="Times New Roman" w:cs="Times New Roman"/>
            <w:color w:val="auto"/>
            <w:sz w:val="18"/>
            <w:szCs w:val="18"/>
          </w:rPr>
          <w:t>https://www.icpdr.org/main/issues/dams-structures</w:t>
        </w:r>
      </w:hyperlink>
      <w:r w:rsidRPr="00765797">
        <w:rPr>
          <w:rFonts w:eastAsia="Times New Roman" w:cs="Times New Roman"/>
          <w:sz w:val="18"/>
          <w:szCs w:val="18"/>
        </w:rPr>
        <w:t xml:space="preserve"> [last accessed: 07.06.19]</w:t>
      </w:r>
    </w:p>
  </w:footnote>
  <w:footnote w:id="312">
    <w:p w14:paraId="21A0CD6C" w14:textId="7008EF6A" w:rsidR="00765797" w:rsidRPr="00765797" w:rsidRDefault="00765797">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Statistics taken from ICPDR webpage ‘Dams and Structures’: </w:t>
      </w:r>
      <w:hyperlink r:id="rId119" w:history="1">
        <w:r w:rsidRPr="00765797">
          <w:rPr>
            <w:rStyle w:val="Hyperlink"/>
            <w:rFonts w:eastAsia="Times New Roman" w:cs="Times New Roman"/>
            <w:color w:val="auto"/>
            <w:sz w:val="18"/>
            <w:szCs w:val="18"/>
          </w:rPr>
          <w:t>https://www.icpdr.org/main/issues/dams-structures</w:t>
        </w:r>
      </w:hyperlink>
      <w:r w:rsidRPr="00765797">
        <w:rPr>
          <w:rFonts w:eastAsia="Times New Roman" w:cs="Times New Roman"/>
          <w:sz w:val="18"/>
          <w:szCs w:val="18"/>
        </w:rPr>
        <w:t xml:space="preserve"> [last accessed: 07.06.19]</w:t>
      </w:r>
    </w:p>
  </w:footnote>
  <w:footnote w:id="313">
    <w:p w14:paraId="211C3745" w14:textId="77777777" w:rsidR="00765797" w:rsidRPr="00765797" w:rsidRDefault="00765797" w:rsidP="000F5475">
      <w:pPr>
        <w:pStyle w:val="Normal1"/>
        <w:spacing w:line="240" w:lineRule="auto"/>
        <w:rPr>
          <w:rFonts w:ascii="Times New Roman" w:hAnsi="Times New Roman" w:cs="Times New Roman"/>
          <w:sz w:val="18"/>
          <w:szCs w:val="18"/>
        </w:rPr>
      </w:pPr>
      <w:r w:rsidRPr="00765797">
        <w:rPr>
          <w:rStyle w:val="FootnoteReference"/>
          <w:sz w:val="18"/>
          <w:szCs w:val="18"/>
        </w:rPr>
        <w:footnoteRef/>
      </w:r>
      <w:r w:rsidRPr="00765797">
        <w:rPr>
          <w:rFonts w:ascii="Times New Roman" w:hAnsi="Times New Roman" w:cs="Times New Roman"/>
          <w:sz w:val="18"/>
          <w:szCs w:val="18"/>
        </w:rPr>
        <w:t xml:space="preserve"> Interview with Juliani, WP2.27, NGO Coordinator, Romania, May 2018. See also the 2018 ICPDR ‘Sturgeon strategy’ which details how the Iron Gates Dam has cut off sturgeon migration routes. </w:t>
      </w:r>
    </w:p>
    <w:p w14:paraId="3539A171" w14:textId="7528464D" w:rsidR="00765797" w:rsidRPr="00765797" w:rsidRDefault="00765797" w:rsidP="000F5475">
      <w:pPr>
        <w:pStyle w:val="Normal1"/>
        <w:spacing w:line="240" w:lineRule="auto"/>
        <w:rPr>
          <w:rFonts w:ascii="Times New Roman" w:hAnsi="Times New Roman" w:cs="Times New Roman"/>
          <w:sz w:val="18"/>
          <w:szCs w:val="18"/>
        </w:rPr>
      </w:pPr>
      <w:hyperlink r:id="rId120" w:history="1">
        <w:r w:rsidRPr="00765797">
          <w:rPr>
            <w:rStyle w:val="Hyperlink"/>
            <w:rFonts w:ascii="Times New Roman" w:hAnsi="Times New Roman" w:cs="Times New Roman"/>
            <w:color w:val="auto"/>
            <w:sz w:val="18"/>
            <w:szCs w:val="18"/>
          </w:rPr>
          <w:t>https://www.icpdr.org/main/sites/default/files/nodes/documents/om-20_-_3.4_icpdr_sturgeon_strategy_endorsed_version_final.pdf</w:t>
        </w:r>
      </w:hyperlink>
      <w:r w:rsidRPr="00765797">
        <w:rPr>
          <w:rFonts w:ascii="Times New Roman" w:hAnsi="Times New Roman" w:cs="Times New Roman"/>
          <w:sz w:val="18"/>
          <w:szCs w:val="18"/>
        </w:rPr>
        <w:t xml:space="preserve"> [last accessed: 02.06.20]; and the following WWF website which lists some of the environmental impacts of the Iron Gates Dam system: </w:t>
      </w:r>
      <w:hyperlink r:id="rId121" w:history="1">
        <w:r w:rsidRPr="00765797">
          <w:rPr>
            <w:rStyle w:val="Hyperlink"/>
            <w:rFonts w:ascii="Times New Roman" w:hAnsi="Times New Roman" w:cs="Times New Roman"/>
            <w:color w:val="auto"/>
            <w:sz w:val="18"/>
            <w:szCs w:val="18"/>
          </w:rPr>
          <w:t>http://danube.panda.org/wwf/web/search/details.jsp?pid=77</w:t>
        </w:r>
      </w:hyperlink>
      <w:r w:rsidRPr="00765797">
        <w:rPr>
          <w:rFonts w:ascii="Times New Roman" w:hAnsi="Times New Roman" w:cs="Times New Roman"/>
          <w:sz w:val="18"/>
          <w:szCs w:val="18"/>
        </w:rPr>
        <w:t xml:space="preserve"> [last accessed: 02.06.20] </w:t>
      </w:r>
    </w:p>
  </w:footnote>
  <w:footnote w:id="314">
    <w:p w14:paraId="7EF32CEF" w14:textId="21D59DA9" w:rsidR="00765797" w:rsidRPr="00765797" w:rsidRDefault="00765797" w:rsidP="00FE14D7">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Danut, WP2.37, Sturgeon Farmer and Caviar Producer, Romania, August 2018</w:t>
      </w:r>
    </w:p>
  </w:footnote>
  <w:footnote w:id="315">
    <w:p w14:paraId="520FD891" w14:textId="46ACD0A1" w:rsidR="00765797" w:rsidRPr="00765797" w:rsidRDefault="00765797" w:rsidP="000F5475">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w:t>
      </w:r>
      <w:r w:rsidRPr="00765797">
        <w:rPr>
          <w:rFonts w:cs="Times New Roman"/>
          <w:sz w:val="18"/>
          <w:szCs w:val="18"/>
          <w:lang w:val="en-US"/>
        </w:rPr>
        <w:t>Interview with Irini, WP2.26, NGO National Project Coordinator, Romania, May 2018</w:t>
      </w:r>
    </w:p>
  </w:footnote>
  <w:footnote w:id="316">
    <w:p w14:paraId="4FFF9166" w14:textId="6B9D152C" w:rsidR="00765797" w:rsidRPr="00765797" w:rsidRDefault="00765797">
      <w:pPr>
        <w:pStyle w:val="FootnoteText"/>
        <w:rPr>
          <w:rFonts w:cs="Times New Roman"/>
          <w:sz w:val="18"/>
          <w:szCs w:val="18"/>
          <w:lang w:val="en-US"/>
        </w:rPr>
      </w:pPr>
      <w:r w:rsidRPr="00765797">
        <w:rPr>
          <w:rStyle w:val="FootnoteReference"/>
          <w:sz w:val="18"/>
          <w:szCs w:val="18"/>
        </w:rPr>
        <w:footnoteRef/>
      </w:r>
      <w:r w:rsidRPr="00765797">
        <w:rPr>
          <w:rFonts w:cs="Times New Roman"/>
          <w:sz w:val="18"/>
          <w:szCs w:val="18"/>
        </w:rPr>
        <w:t xml:space="preserve"> For more information on dams in the Danube River Basin:  </w:t>
      </w:r>
      <w:hyperlink r:id="rId122" w:history="1">
        <w:r w:rsidRPr="00765797">
          <w:rPr>
            <w:rStyle w:val="Hyperlink"/>
            <w:rFonts w:eastAsia="Times New Roman" w:cs="Times New Roman"/>
            <w:color w:val="auto"/>
            <w:sz w:val="18"/>
            <w:szCs w:val="18"/>
          </w:rPr>
          <w:t>https://www.icpdr.org/main/issues/dams-structures</w:t>
        </w:r>
      </w:hyperlink>
      <w:r w:rsidRPr="00765797">
        <w:rPr>
          <w:rFonts w:eastAsia="Times New Roman" w:cs="Times New Roman"/>
          <w:sz w:val="18"/>
          <w:szCs w:val="18"/>
        </w:rPr>
        <w:t xml:space="preserve"> [last accessed: 07.06.19]</w:t>
      </w:r>
    </w:p>
  </w:footnote>
  <w:footnote w:id="317">
    <w:p w14:paraId="44B3FE62" w14:textId="77777777" w:rsidR="00765797" w:rsidRPr="00765797" w:rsidRDefault="00765797" w:rsidP="00C36722">
      <w:pPr>
        <w:pStyle w:val="FootnoteText"/>
        <w:jc w:val="left"/>
        <w:rPr>
          <w:rFonts w:eastAsiaTheme="minorHAnsi" w:cs="Times New Roman"/>
          <w:sz w:val="18"/>
          <w:szCs w:val="18"/>
        </w:rPr>
      </w:pPr>
      <w:r w:rsidRPr="00765797">
        <w:rPr>
          <w:rStyle w:val="FootnoteReference"/>
          <w:rFonts w:cs="Times New Roman"/>
          <w:sz w:val="18"/>
          <w:szCs w:val="18"/>
        </w:rPr>
        <w:footnoteRef/>
      </w:r>
      <w:r w:rsidRPr="00765797">
        <w:rPr>
          <w:rFonts w:cs="Times New Roman"/>
          <w:sz w:val="18"/>
          <w:szCs w:val="18"/>
        </w:rPr>
        <w:t xml:space="preserve"> Representative of the World Sturgeon Conservation Society speaking at ISS8, Vienna, September 2017. Similar conclusions are made in a  2019 multi-agency report on ‘Hydropower pressure on European rivers’, which states that: </w:t>
      </w:r>
      <w:r w:rsidRPr="00765797">
        <w:rPr>
          <w:rFonts w:eastAsiaTheme="minorHAnsi" w:cs="Times New Roman"/>
          <w:sz w:val="18"/>
          <w:szCs w:val="18"/>
        </w:rPr>
        <w:t>The high number of hydropower plants in Europe can be explained by the dominance of small plants…Small hydropower plants come with a large ecological impact because they are numerous and disrupt river continuity, whilst contributing minimally to electricity production.</w:t>
      </w:r>
    </w:p>
    <w:p w14:paraId="60324567" w14:textId="4832DCB4" w:rsidR="00765797" w:rsidRPr="00765797" w:rsidRDefault="00765797" w:rsidP="00C36722">
      <w:pPr>
        <w:pStyle w:val="FootnoteText"/>
        <w:jc w:val="left"/>
        <w:rPr>
          <w:rFonts w:eastAsiaTheme="minorHAnsi" w:cs="Times New Roman"/>
          <w:sz w:val="18"/>
          <w:szCs w:val="18"/>
        </w:rPr>
      </w:pPr>
      <w:hyperlink r:id="rId123" w:history="1">
        <w:r w:rsidRPr="00765797">
          <w:rPr>
            <w:rStyle w:val="Hyperlink"/>
            <w:rFonts w:cs="Times New Roman"/>
            <w:color w:val="auto"/>
            <w:sz w:val="18"/>
            <w:szCs w:val="18"/>
            <w:lang w:val="en-US"/>
          </w:rPr>
          <w:t>https://d3bzkjkd62gi12.cloudfront.net/downloads/hydropower_pressure_on_european_rivers_the_story_in_numbers_web.pdf</w:t>
        </w:r>
      </w:hyperlink>
      <w:r w:rsidRPr="00765797">
        <w:rPr>
          <w:rFonts w:cs="Times New Roman"/>
          <w:sz w:val="18"/>
          <w:szCs w:val="18"/>
          <w:lang w:val="en-US"/>
        </w:rPr>
        <w:t xml:space="preserve"> [last accessed: 02.06.20] </w:t>
      </w:r>
    </w:p>
  </w:footnote>
  <w:footnote w:id="318">
    <w:p w14:paraId="039D5DDC" w14:textId="76B22AA5" w:rsidR="00765797" w:rsidRPr="00765797" w:rsidRDefault="00765797" w:rsidP="00FE14D7">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 xml:space="preserve">Representative of WWF International, Speaking at ISS8, Vienna, September 2017. WWF have also been part of a multi-agency study into ‘Hydropower pressure on European Rivers’ published in 2019: </w:t>
      </w:r>
      <w:hyperlink r:id="rId124" w:history="1">
        <w:r w:rsidRPr="00765797">
          <w:rPr>
            <w:rStyle w:val="Hyperlink"/>
            <w:rFonts w:cs="Times New Roman"/>
            <w:color w:val="auto"/>
            <w:sz w:val="18"/>
            <w:szCs w:val="18"/>
            <w:lang w:val="en-US"/>
          </w:rPr>
          <w:t>https://d3bzkjkd62gi12.cloudfront.net/downloads/hydropower_pressure_on_european_rivers_the_story_in_numbers_web.pdf</w:t>
        </w:r>
      </w:hyperlink>
      <w:r w:rsidRPr="00765797">
        <w:rPr>
          <w:rFonts w:cs="Times New Roman"/>
          <w:sz w:val="18"/>
          <w:szCs w:val="18"/>
          <w:lang w:val="en-US"/>
        </w:rPr>
        <w:t xml:space="preserve"> [last accessed: 02.06.20] </w:t>
      </w:r>
    </w:p>
  </w:footnote>
  <w:footnote w:id="319">
    <w:p w14:paraId="47266171" w14:textId="77777777" w:rsidR="00765797" w:rsidRPr="00765797" w:rsidRDefault="00765797" w:rsidP="00FE14D7">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Representative of DG Environment, European Commission, Speaking at ISS8 Vienna, September 2017</w:t>
      </w:r>
    </w:p>
  </w:footnote>
  <w:footnote w:id="320">
    <w:p w14:paraId="2674FF73" w14:textId="7583CB15" w:rsidR="00765797" w:rsidRPr="00765797" w:rsidRDefault="00765797" w:rsidP="00FE14D7">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 xml:space="preserve">Representative of WWF International, Speaking at ISS8, Vienna, September 2017. The conflict between the energy and economic benefits of hydroelectric power versus the impact upon biodiversity and environments, has also been demonstrated in other global riverine contexts including the Amazon, Congo, and Mekong. See (2016) WWF blog: ‘Finding a balance for hydropower and Biodiversity’ </w:t>
      </w:r>
      <w:hyperlink r:id="rId125" w:history="1">
        <w:r w:rsidRPr="00765797">
          <w:rPr>
            <w:rStyle w:val="Hyperlink"/>
            <w:rFonts w:cs="Times New Roman"/>
            <w:color w:val="auto"/>
            <w:sz w:val="18"/>
            <w:szCs w:val="18"/>
            <w:lang w:val="en-US"/>
          </w:rPr>
          <w:t>https://www.worldwildlife.org/blogs/sustainability-works/posts/finding-a-balance-for-hydropower-and-biodiversity</w:t>
        </w:r>
      </w:hyperlink>
      <w:r w:rsidRPr="00765797">
        <w:rPr>
          <w:rFonts w:cs="Times New Roman"/>
          <w:sz w:val="18"/>
          <w:szCs w:val="18"/>
          <w:lang w:val="en-US"/>
        </w:rPr>
        <w:t xml:space="preserve"> [last accessed: 02.06.20] </w:t>
      </w:r>
    </w:p>
  </w:footnote>
  <w:footnote w:id="321">
    <w:p w14:paraId="7178989F" w14:textId="77777777" w:rsidR="00765797" w:rsidRPr="00765797" w:rsidRDefault="00765797" w:rsidP="00FE14D7">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Representative of WWF International, Speaking at ISS8, Vienna, September 2017</w:t>
      </w:r>
    </w:p>
  </w:footnote>
  <w:footnote w:id="322">
    <w:p w14:paraId="3A83EE4B" w14:textId="77777777" w:rsidR="00765797" w:rsidRPr="00765797" w:rsidRDefault="00765797" w:rsidP="00FE14D7">
      <w:pPr>
        <w:pStyle w:val="FootnoteTex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Representative of WWF International, Speaking at ISS8, Vienna, September 2017</w:t>
      </w:r>
    </w:p>
  </w:footnote>
  <w:footnote w:id="323">
    <w:p w14:paraId="5F645319" w14:textId="6229A79F" w:rsidR="00765797" w:rsidRPr="00765797" w:rsidRDefault="00765797" w:rsidP="00387136">
      <w:pPr>
        <w:pStyle w:val="FootnoteText"/>
        <w:jc w:val="lef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Interview with Juliani, WP2.27, NGO Coordinator, Romania, May 2018</w:t>
      </w:r>
    </w:p>
  </w:footnote>
  <w:footnote w:id="324">
    <w:p w14:paraId="6FB75FF9" w14:textId="77777777" w:rsidR="00765797" w:rsidRPr="00765797" w:rsidRDefault="00765797" w:rsidP="00387136">
      <w:pPr>
        <w:pStyle w:val="FootnoteText"/>
        <w:jc w:val="lef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Representative of WWF International speaking at ISS8, Vienna, September 2017</w:t>
      </w:r>
    </w:p>
  </w:footnote>
  <w:footnote w:id="325">
    <w:p w14:paraId="68E9C92B" w14:textId="77777777" w:rsidR="00765797" w:rsidRPr="00765797" w:rsidRDefault="00765797" w:rsidP="00387136">
      <w:pPr>
        <w:pStyle w:val="FootnoteText"/>
        <w:jc w:val="lef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Representative of WWF International speaking at ISS8, Vienna, September 2017</w:t>
      </w:r>
    </w:p>
  </w:footnote>
  <w:footnote w:id="326">
    <w:p w14:paraId="044C5370" w14:textId="638262BB" w:rsidR="00765797" w:rsidRPr="00765797" w:rsidRDefault="00765797" w:rsidP="00387136">
      <w:pPr>
        <w:pStyle w:val="FootnoteText"/>
        <w:jc w:val="lef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cs="Times New Roman"/>
          <w:sz w:val="18"/>
          <w:szCs w:val="18"/>
          <w:lang w:val="en-US"/>
        </w:rPr>
        <w:t xml:space="preserve">The 2018 ICPDR sturgeon strategy: </w:t>
      </w:r>
      <w:hyperlink r:id="rId126" w:history="1">
        <w:r w:rsidRPr="00765797">
          <w:rPr>
            <w:rStyle w:val="Hyperlink"/>
            <w:rFonts w:cs="Times New Roman"/>
            <w:color w:val="auto"/>
            <w:sz w:val="18"/>
            <w:szCs w:val="18"/>
            <w:lang w:val="en-US"/>
          </w:rPr>
          <w:t>https://www.icpdr.org/main/sites/default/files/nodes/documents/om-20_-_3.4_icpdr_sturgeon_strategy_endorsed_version_final.pdf</w:t>
        </w:r>
      </w:hyperlink>
      <w:r w:rsidRPr="00765797">
        <w:rPr>
          <w:rFonts w:cs="Times New Roman"/>
          <w:sz w:val="18"/>
          <w:szCs w:val="18"/>
          <w:lang w:val="en-US"/>
        </w:rPr>
        <w:t xml:space="preserve"> [last accessed: 02.06.20] </w:t>
      </w:r>
    </w:p>
  </w:footnote>
  <w:footnote w:id="327">
    <w:p w14:paraId="6BD75E3F" w14:textId="405EB3B8" w:rsidR="00765797" w:rsidRPr="00765797" w:rsidRDefault="00765797" w:rsidP="00387136">
      <w:pPr>
        <w:pStyle w:val="FootnoteText"/>
        <w:jc w:val="left"/>
        <w:rPr>
          <w:rFonts w:cs="Times New Roman"/>
          <w:sz w:val="18"/>
          <w:szCs w:val="18"/>
          <w:lang w:val="en-US"/>
        </w:rPr>
      </w:pPr>
      <w:r w:rsidRPr="00765797">
        <w:rPr>
          <w:rStyle w:val="FootnoteReference"/>
          <w:rFonts w:cs="Times New Roman"/>
          <w:sz w:val="18"/>
          <w:szCs w:val="18"/>
        </w:rPr>
        <w:footnoteRef/>
      </w:r>
      <w:r w:rsidRPr="00765797">
        <w:rPr>
          <w:rFonts w:cs="Times New Roman"/>
          <w:sz w:val="18"/>
          <w:szCs w:val="18"/>
        </w:rPr>
        <w:t xml:space="preserve"> </w:t>
      </w:r>
      <w:r w:rsidRPr="00765797">
        <w:rPr>
          <w:rFonts w:eastAsia="Times New Roman" w:cs="Times New Roman"/>
          <w:sz w:val="18"/>
          <w:szCs w:val="18"/>
          <w:shd w:val="clear" w:color="auto" w:fill="FFFFFF"/>
          <w:lang w:eastAsia="en-US"/>
        </w:rPr>
        <w:t xml:space="preserve">The EU Strategy for the Danube Region (EUSDR) is a macro-regional strategy adopted by the European Commission in December 2010 and endorsed by the European Council in 2011. The Strategy was jointly developed by the Commission, together with the Danube Region countries and stakeholders, in order to address common challenges together. The Strategy seeks to create synergies and coordination between existing policies and initiatives taking place across the Danube Region. </w:t>
      </w:r>
      <w:hyperlink r:id="rId127" w:history="1">
        <w:r w:rsidRPr="00765797">
          <w:rPr>
            <w:rStyle w:val="Hyperlink"/>
            <w:rFonts w:eastAsia="Times New Roman" w:cs="Times New Roman"/>
            <w:color w:val="auto"/>
            <w:sz w:val="18"/>
            <w:szCs w:val="18"/>
            <w:shd w:val="clear" w:color="auto" w:fill="FFFFFF"/>
            <w:lang w:eastAsia="en-US"/>
          </w:rPr>
          <w:t>https://danube-region.eu/about/</w:t>
        </w:r>
      </w:hyperlink>
      <w:r w:rsidRPr="00765797">
        <w:rPr>
          <w:rFonts w:eastAsia="Times New Roman" w:cs="Times New Roman"/>
          <w:sz w:val="18"/>
          <w:szCs w:val="18"/>
          <w:shd w:val="clear" w:color="auto" w:fill="FFFFFF"/>
          <w:lang w:eastAsia="en-US"/>
        </w:rPr>
        <w:t xml:space="preserve"> </w:t>
      </w:r>
      <w:r w:rsidRPr="00765797">
        <w:rPr>
          <w:rFonts w:cs="Times New Roman"/>
          <w:sz w:val="18"/>
          <w:szCs w:val="18"/>
        </w:rPr>
        <w:t xml:space="preserve"> </w:t>
      </w:r>
    </w:p>
  </w:footnote>
  <w:footnote w:id="328">
    <w:p w14:paraId="1FB2287A" w14:textId="439E8E90" w:rsidR="00765797" w:rsidRPr="00765797" w:rsidRDefault="00765797">
      <w:pPr>
        <w:pStyle w:val="FootnoteText"/>
        <w:rPr>
          <w:sz w:val="18"/>
          <w:szCs w:val="18"/>
          <w:lang w:val="en-US"/>
        </w:rPr>
      </w:pPr>
      <w:r w:rsidRPr="00765797">
        <w:rPr>
          <w:rStyle w:val="FootnoteReference"/>
          <w:sz w:val="18"/>
          <w:szCs w:val="18"/>
        </w:rPr>
        <w:footnoteRef/>
      </w:r>
      <w:r w:rsidRPr="00765797">
        <w:rPr>
          <w:sz w:val="18"/>
          <w:szCs w:val="18"/>
        </w:rPr>
        <w:t xml:space="preserve"> This research was conducted as part of the European Research Council funded ‘BIOSEC: Biodiversity and Security’ project. The project investigates the increasing intertwining of biodiversity conservation, illegal wildlife trade, and security, from a number of global contexts, and with a focus on a number of species and technologies. See: </w:t>
      </w:r>
      <w:hyperlink r:id="rId128" w:history="1">
        <w:r w:rsidRPr="00765797">
          <w:rPr>
            <w:rStyle w:val="Hyperlink"/>
            <w:color w:val="auto"/>
            <w:sz w:val="18"/>
            <w:szCs w:val="18"/>
          </w:rPr>
          <w:t>https://biosecproject.org</w:t>
        </w:r>
      </w:hyperlink>
      <w:r w:rsidRPr="00765797">
        <w:rPr>
          <w:sz w:val="18"/>
          <w:szCs w:val="18"/>
        </w:rPr>
        <w:t xml:space="preserve"> </w:t>
      </w:r>
    </w:p>
  </w:footnote>
  <w:footnote w:id="329">
    <w:p w14:paraId="7B18D0A6" w14:textId="3E0BAA1C" w:rsidR="00765797" w:rsidRPr="00765797" w:rsidRDefault="00765797" w:rsidP="00784817">
      <w:pPr>
        <w:pStyle w:val="FootnoteText"/>
        <w:jc w:val="left"/>
        <w:rPr>
          <w:rFonts w:cs="Times New Roman"/>
          <w:sz w:val="18"/>
          <w:szCs w:val="18"/>
        </w:rPr>
      </w:pPr>
      <w:r w:rsidRPr="00765797">
        <w:rPr>
          <w:rStyle w:val="FootnoteReference"/>
          <w:rFonts w:cs="Times New Roman"/>
          <w:sz w:val="18"/>
          <w:szCs w:val="18"/>
        </w:rPr>
        <w:footnoteRef/>
      </w:r>
      <w:r w:rsidRPr="00765797">
        <w:rPr>
          <w:rFonts w:cs="Times New Roman"/>
          <w:sz w:val="18"/>
          <w:szCs w:val="18"/>
        </w:rPr>
        <w:t xml:space="preserve">‘Poachers are not afraid of viruses: 2 sturgeon rescues, 2 countries, 2 days’. </w:t>
      </w:r>
    </w:p>
    <w:p w14:paraId="2179CE7D" w14:textId="22B63A95" w:rsidR="00765797" w:rsidRPr="00784817" w:rsidRDefault="00765797" w:rsidP="00784817">
      <w:pPr>
        <w:pStyle w:val="FootnoteText"/>
        <w:jc w:val="left"/>
        <w:rPr>
          <w:rFonts w:cs="Times New Roman"/>
          <w:sz w:val="18"/>
          <w:szCs w:val="18"/>
        </w:rPr>
      </w:pPr>
      <w:hyperlink r:id="rId129" w:history="1">
        <w:r w:rsidRPr="00765797">
          <w:rPr>
            <w:rStyle w:val="Hyperlink"/>
            <w:rFonts w:cs="Times New Roman"/>
            <w:color w:val="auto"/>
            <w:sz w:val="18"/>
            <w:szCs w:val="18"/>
          </w:rPr>
          <w:t>https://wwf.panda.org/knowledge_hub/where_we_work/black_sea_basin/danube_carpathian/?361398/ua-and-bg-sturgeon-poachers</w:t>
        </w:r>
      </w:hyperlink>
      <w:r w:rsidRPr="00765797">
        <w:rPr>
          <w:rFonts w:cs="Times New Roman"/>
          <w:sz w:val="18"/>
          <w:szCs w:val="18"/>
        </w:rPr>
        <w:t xml:space="preserve"> [last accessed: 22.05.20] See also: ’26 Sturgeon caught in fishing nets freed by Romanian Danube Delta Law enforcement’ </w:t>
      </w:r>
      <w:hyperlink r:id="rId130" w:history="1">
        <w:r w:rsidRPr="00765797">
          <w:rPr>
            <w:rStyle w:val="Hyperlink"/>
            <w:rFonts w:cs="Times New Roman"/>
            <w:color w:val="auto"/>
            <w:sz w:val="18"/>
            <w:szCs w:val="18"/>
          </w:rPr>
          <w:t>https://wwf.panda.org/?363930/26-sturgeon-freed</w:t>
        </w:r>
      </w:hyperlink>
      <w:r w:rsidRPr="00765797">
        <w:rPr>
          <w:rFonts w:cs="Times New Roman"/>
          <w:sz w:val="18"/>
          <w:szCs w:val="18"/>
        </w:rPr>
        <w:t xml:space="preserve"> [last accessed: 03.06.20]</w:t>
      </w:r>
      <w:r>
        <w:rPr>
          <w:rFonts w:cs="Times New Roman"/>
          <w:sz w:val="18"/>
          <w:szCs w:val="18"/>
        </w:rPr>
        <w:t xml:space="preserve"> </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0DC21234"/>
    <w:lvl w:ilvl="0">
      <w:start w:val="1"/>
      <w:numFmt w:val="decimal"/>
      <w:lvlText w:val="%1."/>
      <w:lvlJc w:val="left"/>
      <w:pPr>
        <w:tabs>
          <w:tab w:val="num" w:pos="1492"/>
        </w:tabs>
        <w:ind w:left="1492" w:hanging="360"/>
      </w:pPr>
    </w:lvl>
  </w:abstractNum>
  <w:abstractNum w:abstractNumId="1">
    <w:nsid w:val="FFFFFF7D"/>
    <w:multiLevelType w:val="singleLevel"/>
    <w:tmpl w:val="72A2468E"/>
    <w:lvl w:ilvl="0">
      <w:start w:val="1"/>
      <w:numFmt w:val="decimal"/>
      <w:lvlText w:val="%1."/>
      <w:lvlJc w:val="left"/>
      <w:pPr>
        <w:tabs>
          <w:tab w:val="num" w:pos="1209"/>
        </w:tabs>
        <w:ind w:left="1209" w:hanging="360"/>
      </w:pPr>
    </w:lvl>
  </w:abstractNum>
  <w:abstractNum w:abstractNumId="2">
    <w:nsid w:val="FFFFFF7E"/>
    <w:multiLevelType w:val="singleLevel"/>
    <w:tmpl w:val="0134887C"/>
    <w:lvl w:ilvl="0">
      <w:start w:val="1"/>
      <w:numFmt w:val="decimal"/>
      <w:lvlText w:val="%1."/>
      <w:lvlJc w:val="left"/>
      <w:pPr>
        <w:tabs>
          <w:tab w:val="num" w:pos="926"/>
        </w:tabs>
        <w:ind w:left="926" w:hanging="360"/>
      </w:pPr>
    </w:lvl>
  </w:abstractNum>
  <w:abstractNum w:abstractNumId="3">
    <w:nsid w:val="FFFFFF7F"/>
    <w:multiLevelType w:val="singleLevel"/>
    <w:tmpl w:val="F120E118"/>
    <w:lvl w:ilvl="0">
      <w:start w:val="1"/>
      <w:numFmt w:val="decimal"/>
      <w:lvlText w:val="%1."/>
      <w:lvlJc w:val="left"/>
      <w:pPr>
        <w:tabs>
          <w:tab w:val="num" w:pos="643"/>
        </w:tabs>
        <w:ind w:left="643" w:hanging="360"/>
      </w:pPr>
    </w:lvl>
  </w:abstractNum>
  <w:abstractNum w:abstractNumId="4">
    <w:nsid w:val="FFFFFF80"/>
    <w:multiLevelType w:val="singleLevel"/>
    <w:tmpl w:val="B46630F6"/>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51720B88"/>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EAEE83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C1C08D2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9CBEB00A"/>
    <w:lvl w:ilvl="0">
      <w:start w:val="1"/>
      <w:numFmt w:val="decimal"/>
      <w:lvlText w:val="%1."/>
      <w:lvlJc w:val="left"/>
      <w:pPr>
        <w:tabs>
          <w:tab w:val="num" w:pos="360"/>
        </w:tabs>
        <w:ind w:left="360" w:hanging="360"/>
      </w:pPr>
    </w:lvl>
  </w:abstractNum>
  <w:abstractNum w:abstractNumId="9">
    <w:nsid w:val="FFFFFF89"/>
    <w:multiLevelType w:val="singleLevel"/>
    <w:tmpl w:val="930CAAB8"/>
    <w:lvl w:ilvl="0">
      <w:start w:val="1"/>
      <w:numFmt w:val="bullet"/>
      <w:lvlText w:val=""/>
      <w:lvlJc w:val="left"/>
      <w:pPr>
        <w:tabs>
          <w:tab w:val="num" w:pos="360"/>
        </w:tabs>
        <w:ind w:left="360" w:hanging="360"/>
      </w:pPr>
      <w:rPr>
        <w:rFonts w:ascii="Symbol" w:hAnsi="Symbol" w:hint="default"/>
      </w:rPr>
    </w:lvl>
  </w:abstractNum>
  <w:abstractNum w:abstractNumId="10">
    <w:nsid w:val="03323E77"/>
    <w:multiLevelType w:val="multilevel"/>
    <w:tmpl w:val="4B9CFF7C"/>
    <w:lvl w:ilvl="0">
      <w:start w:val="4"/>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11">
    <w:nsid w:val="040D184D"/>
    <w:multiLevelType w:val="multilevel"/>
    <w:tmpl w:val="E21CED68"/>
    <w:lvl w:ilvl="0">
      <w:start w:val="4"/>
      <w:numFmt w:val="decimal"/>
      <w:lvlText w:val="%1.0"/>
      <w:lvlJc w:val="left"/>
      <w:pPr>
        <w:ind w:left="360" w:hanging="360"/>
      </w:pPr>
      <w:rPr>
        <w:rFonts w:hint="default"/>
        <w:b/>
      </w:rPr>
    </w:lvl>
    <w:lvl w:ilvl="1">
      <w:start w:val="1"/>
      <w:numFmt w:val="decimal"/>
      <w:lvlText w:val="%1.%2"/>
      <w:lvlJc w:val="left"/>
      <w:pPr>
        <w:ind w:left="1080" w:hanging="36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200" w:hanging="1440"/>
      </w:pPr>
      <w:rPr>
        <w:rFonts w:hint="default"/>
        <w:b/>
      </w:rPr>
    </w:lvl>
  </w:abstractNum>
  <w:abstractNum w:abstractNumId="12">
    <w:nsid w:val="073F3EB0"/>
    <w:multiLevelType w:val="multilevel"/>
    <w:tmpl w:val="3AA41DA4"/>
    <w:lvl w:ilvl="0">
      <w:start w:val="1"/>
      <w:numFmt w:val="decimal"/>
      <w:lvlText w:val="%1.0"/>
      <w:lvlJc w:val="left"/>
      <w:pPr>
        <w:ind w:left="360" w:hanging="360"/>
      </w:pPr>
      <w:rPr>
        <w:rFonts w:hint="default"/>
        <w:b/>
      </w:rPr>
    </w:lvl>
    <w:lvl w:ilvl="1">
      <w:start w:val="1"/>
      <w:numFmt w:val="decimal"/>
      <w:lvlText w:val="%1.%2"/>
      <w:lvlJc w:val="left"/>
      <w:pPr>
        <w:ind w:left="1080" w:hanging="36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200" w:hanging="1440"/>
      </w:pPr>
      <w:rPr>
        <w:rFonts w:hint="default"/>
        <w:b/>
      </w:rPr>
    </w:lvl>
  </w:abstractNum>
  <w:abstractNum w:abstractNumId="13">
    <w:nsid w:val="11870866"/>
    <w:multiLevelType w:val="hybridMultilevel"/>
    <w:tmpl w:val="A154A062"/>
    <w:lvl w:ilvl="0" w:tplc="04090001">
      <w:start w:val="1"/>
      <w:numFmt w:val="bullet"/>
      <w:lvlText w:val=""/>
      <w:lvlJc w:val="left"/>
      <w:pPr>
        <w:ind w:left="1141" w:hanging="360"/>
      </w:pPr>
      <w:rPr>
        <w:rFonts w:ascii="Symbol" w:hAnsi="Symbol" w:hint="default"/>
      </w:rPr>
    </w:lvl>
    <w:lvl w:ilvl="1" w:tplc="04090003" w:tentative="1">
      <w:start w:val="1"/>
      <w:numFmt w:val="bullet"/>
      <w:lvlText w:val="o"/>
      <w:lvlJc w:val="left"/>
      <w:pPr>
        <w:ind w:left="1861" w:hanging="360"/>
      </w:pPr>
      <w:rPr>
        <w:rFonts w:ascii="Courier New" w:hAnsi="Courier New" w:hint="default"/>
      </w:rPr>
    </w:lvl>
    <w:lvl w:ilvl="2" w:tplc="04090005" w:tentative="1">
      <w:start w:val="1"/>
      <w:numFmt w:val="bullet"/>
      <w:lvlText w:val=""/>
      <w:lvlJc w:val="left"/>
      <w:pPr>
        <w:ind w:left="2581" w:hanging="360"/>
      </w:pPr>
      <w:rPr>
        <w:rFonts w:ascii="Wingdings" w:hAnsi="Wingdings" w:hint="default"/>
      </w:rPr>
    </w:lvl>
    <w:lvl w:ilvl="3" w:tplc="04090001" w:tentative="1">
      <w:start w:val="1"/>
      <w:numFmt w:val="bullet"/>
      <w:lvlText w:val=""/>
      <w:lvlJc w:val="left"/>
      <w:pPr>
        <w:ind w:left="3301" w:hanging="360"/>
      </w:pPr>
      <w:rPr>
        <w:rFonts w:ascii="Symbol" w:hAnsi="Symbol" w:hint="default"/>
      </w:rPr>
    </w:lvl>
    <w:lvl w:ilvl="4" w:tplc="04090003" w:tentative="1">
      <w:start w:val="1"/>
      <w:numFmt w:val="bullet"/>
      <w:lvlText w:val="o"/>
      <w:lvlJc w:val="left"/>
      <w:pPr>
        <w:ind w:left="4021" w:hanging="360"/>
      </w:pPr>
      <w:rPr>
        <w:rFonts w:ascii="Courier New" w:hAnsi="Courier New" w:hint="default"/>
      </w:rPr>
    </w:lvl>
    <w:lvl w:ilvl="5" w:tplc="04090005" w:tentative="1">
      <w:start w:val="1"/>
      <w:numFmt w:val="bullet"/>
      <w:lvlText w:val=""/>
      <w:lvlJc w:val="left"/>
      <w:pPr>
        <w:ind w:left="4741" w:hanging="360"/>
      </w:pPr>
      <w:rPr>
        <w:rFonts w:ascii="Wingdings" w:hAnsi="Wingdings" w:hint="default"/>
      </w:rPr>
    </w:lvl>
    <w:lvl w:ilvl="6" w:tplc="04090001" w:tentative="1">
      <w:start w:val="1"/>
      <w:numFmt w:val="bullet"/>
      <w:lvlText w:val=""/>
      <w:lvlJc w:val="left"/>
      <w:pPr>
        <w:ind w:left="5461" w:hanging="360"/>
      </w:pPr>
      <w:rPr>
        <w:rFonts w:ascii="Symbol" w:hAnsi="Symbol" w:hint="default"/>
      </w:rPr>
    </w:lvl>
    <w:lvl w:ilvl="7" w:tplc="04090003" w:tentative="1">
      <w:start w:val="1"/>
      <w:numFmt w:val="bullet"/>
      <w:lvlText w:val="o"/>
      <w:lvlJc w:val="left"/>
      <w:pPr>
        <w:ind w:left="6181" w:hanging="360"/>
      </w:pPr>
      <w:rPr>
        <w:rFonts w:ascii="Courier New" w:hAnsi="Courier New" w:hint="default"/>
      </w:rPr>
    </w:lvl>
    <w:lvl w:ilvl="8" w:tplc="04090005" w:tentative="1">
      <w:start w:val="1"/>
      <w:numFmt w:val="bullet"/>
      <w:lvlText w:val=""/>
      <w:lvlJc w:val="left"/>
      <w:pPr>
        <w:ind w:left="6901" w:hanging="360"/>
      </w:pPr>
      <w:rPr>
        <w:rFonts w:ascii="Wingdings" w:hAnsi="Wingdings" w:hint="default"/>
      </w:rPr>
    </w:lvl>
  </w:abstractNum>
  <w:abstractNum w:abstractNumId="14">
    <w:nsid w:val="131303ED"/>
    <w:multiLevelType w:val="multilevel"/>
    <w:tmpl w:val="A336CABA"/>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nsid w:val="151C181A"/>
    <w:multiLevelType w:val="hybridMultilevel"/>
    <w:tmpl w:val="5DEC95A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nsid w:val="2B454391"/>
    <w:multiLevelType w:val="hybridMultilevel"/>
    <w:tmpl w:val="A73889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DE618D1"/>
    <w:multiLevelType w:val="hybridMultilevel"/>
    <w:tmpl w:val="8B64FBE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31E565C3"/>
    <w:multiLevelType w:val="hybridMultilevel"/>
    <w:tmpl w:val="6AB638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307574A"/>
    <w:multiLevelType w:val="multilevel"/>
    <w:tmpl w:val="E500ED9C"/>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0">
    <w:nsid w:val="346B2F54"/>
    <w:multiLevelType w:val="hybridMultilevel"/>
    <w:tmpl w:val="ED16160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46B67E90"/>
    <w:multiLevelType w:val="hybridMultilevel"/>
    <w:tmpl w:val="F686090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16441E"/>
    <w:multiLevelType w:val="multilevel"/>
    <w:tmpl w:val="C9541FE4"/>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3">
    <w:nsid w:val="5BBC0046"/>
    <w:multiLevelType w:val="hybridMultilevel"/>
    <w:tmpl w:val="5B787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6196B4C"/>
    <w:multiLevelType w:val="hybridMultilevel"/>
    <w:tmpl w:val="43E2A13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4"/>
  </w:num>
  <w:num w:numId="2">
    <w:abstractNumId w:val="17"/>
  </w:num>
  <w:num w:numId="3">
    <w:abstractNumId w:val="15"/>
  </w:num>
  <w:num w:numId="4">
    <w:abstractNumId w:val="20"/>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 w:numId="15">
    <w:abstractNumId w:val="18"/>
  </w:num>
  <w:num w:numId="16">
    <w:abstractNumId w:val="19"/>
  </w:num>
  <w:num w:numId="17">
    <w:abstractNumId w:val="21"/>
  </w:num>
  <w:num w:numId="18">
    <w:abstractNumId w:val="16"/>
  </w:num>
  <w:num w:numId="19">
    <w:abstractNumId w:val="11"/>
  </w:num>
  <w:num w:numId="20">
    <w:abstractNumId w:val="14"/>
  </w:num>
  <w:num w:numId="21">
    <w:abstractNumId w:val="22"/>
  </w:num>
  <w:num w:numId="22">
    <w:abstractNumId w:val="12"/>
  </w:num>
  <w:num w:numId="23">
    <w:abstractNumId w:val="10"/>
  </w:num>
  <w:num w:numId="24">
    <w:abstractNumId w:val="23"/>
  </w:num>
  <w:num w:numId="2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3134"/>
    <w:rsid w:val="000016DB"/>
    <w:rsid w:val="00003026"/>
    <w:rsid w:val="00004B83"/>
    <w:rsid w:val="000110D9"/>
    <w:rsid w:val="00013091"/>
    <w:rsid w:val="000177A6"/>
    <w:rsid w:val="000254EA"/>
    <w:rsid w:val="00034005"/>
    <w:rsid w:val="00036E7F"/>
    <w:rsid w:val="000375ED"/>
    <w:rsid w:val="00037E48"/>
    <w:rsid w:val="0004146C"/>
    <w:rsid w:val="00042533"/>
    <w:rsid w:val="00042B6D"/>
    <w:rsid w:val="00044872"/>
    <w:rsid w:val="000458EA"/>
    <w:rsid w:val="00047DA8"/>
    <w:rsid w:val="0005099F"/>
    <w:rsid w:val="00051FAA"/>
    <w:rsid w:val="000542A7"/>
    <w:rsid w:val="000650AA"/>
    <w:rsid w:val="00072236"/>
    <w:rsid w:val="00073D37"/>
    <w:rsid w:val="00082D20"/>
    <w:rsid w:val="00087628"/>
    <w:rsid w:val="00090A18"/>
    <w:rsid w:val="000922EF"/>
    <w:rsid w:val="0009234F"/>
    <w:rsid w:val="000932C1"/>
    <w:rsid w:val="00094134"/>
    <w:rsid w:val="000952AD"/>
    <w:rsid w:val="00095A0F"/>
    <w:rsid w:val="00096534"/>
    <w:rsid w:val="0009787E"/>
    <w:rsid w:val="000A0D4E"/>
    <w:rsid w:val="000A236C"/>
    <w:rsid w:val="000A344E"/>
    <w:rsid w:val="000A6774"/>
    <w:rsid w:val="000B0084"/>
    <w:rsid w:val="000B08BF"/>
    <w:rsid w:val="000B11BB"/>
    <w:rsid w:val="000B2585"/>
    <w:rsid w:val="000B2B3A"/>
    <w:rsid w:val="000B2D94"/>
    <w:rsid w:val="000B44DF"/>
    <w:rsid w:val="000B45D3"/>
    <w:rsid w:val="000C2026"/>
    <w:rsid w:val="000D3466"/>
    <w:rsid w:val="000D36A4"/>
    <w:rsid w:val="000D61D6"/>
    <w:rsid w:val="000D67AD"/>
    <w:rsid w:val="000D78AF"/>
    <w:rsid w:val="000F2022"/>
    <w:rsid w:val="000F3772"/>
    <w:rsid w:val="000F450E"/>
    <w:rsid w:val="000F4635"/>
    <w:rsid w:val="000F5475"/>
    <w:rsid w:val="000F5CC2"/>
    <w:rsid w:val="000F67AF"/>
    <w:rsid w:val="00101E97"/>
    <w:rsid w:val="0010546C"/>
    <w:rsid w:val="00106DB8"/>
    <w:rsid w:val="001139CD"/>
    <w:rsid w:val="00116B83"/>
    <w:rsid w:val="00124352"/>
    <w:rsid w:val="00124457"/>
    <w:rsid w:val="00124478"/>
    <w:rsid w:val="00124D24"/>
    <w:rsid w:val="00125098"/>
    <w:rsid w:val="00126F97"/>
    <w:rsid w:val="001337A0"/>
    <w:rsid w:val="001345D3"/>
    <w:rsid w:val="001372D4"/>
    <w:rsid w:val="00140F8A"/>
    <w:rsid w:val="0014189F"/>
    <w:rsid w:val="00144EF5"/>
    <w:rsid w:val="001471A1"/>
    <w:rsid w:val="00155E78"/>
    <w:rsid w:val="00165080"/>
    <w:rsid w:val="00170A5E"/>
    <w:rsid w:val="00170A98"/>
    <w:rsid w:val="00181DE3"/>
    <w:rsid w:val="00185115"/>
    <w:rsid w:val="001906B0"/>
    <w:rsid w:val="0019348B"/>
    <w:rsid w:val="00193622"/>
    <w:rsid w:val="001A460D"/>
    <w:rsid w:val="001A4652"/>
    <w:rsid w:val="001A7137"/>
    <w:rsid w:val="001A7F48"/>
    <w:rsid w:val="001B3267"/>
    <w:rsid w:val="001B579C"/>
    <w:rsid w:val="001B5ECE"/>
    <w:rsid w:val="001C09C1"/>
    <w:rsid w:val="001C0EB5"/>
    <w:rsid w:val="001C2D87"/>
    <w:rsid w:val="001C6557"/>
    <w:rsid w:val="001D1070"/>
    <w:rsid w:val="001D2D67"/>
    <w:rsid w:val="001D2FB0"/>
    <w:rsid w:val="001D64B0"/>
    <w:rsid w:val="001D70E6"/>
    <w:rsid w:val="001E07AB"/>
    <w:rsid w:val="001E0C92"/>
    <w:rsid w:val="001E0F4B"/>
    <w:rsid w:val="001E3F5C"/>
    <w:rsid w:val="001E5C74"/>
    <w:rsid w:val="001F251B"/>
    <w:rsid w:val="001F2BE7"/>
    <w:rsid w:val="001F47AB"/>
    <w:rsid w:val="001F65A7"/>
    <w:rsid w:val="002066D0"/>
    <w:rsid w:val="00211153"/>
    <w:rsid w:val="00216298"/>
    <w:rsid w:val="00216318"/>
    <w:rsid w:val="00216489"/>
    <w:rsid w:val="00216F7D"/>
    <w:rsid w:val="00217810"/>
    <w:rsid w:val="00226D35"/>
    <w:rsid w:val="00230DAE"/>
    <w:rsid w:val="00231E76"/>
    <w:rsid w:val="00231F49"/>
    <w:rsid w:val="0023258C"/>
    <w:rsid w:val="0023292C"/>
    <w:rsid w:val="00232F22"/>
    <w:rsid w:val="00233A48"/>
    <w:rsid w:val="00235C5F"/>
    <w:rsid w:val="002367E4"/>
    <w:rsid w:val="0023777F"/>
    <w:rsid w:val="00237F66"/>
    <w:rsid w:val="002413A2"/>
    <w:rsid w:val="00242852"/>
    <w:rsid w:val="00243877"/>
    <w:rsid w:val="00244EAD"/>
    <w:rsid w:val="00247213"/>
    <w:rsid w:val="0025063D"/>
    <w:rsid w:val="00250737"/>
    <w:rsid w:val="0025142A"/>
    <w:rsid w:val="0025452A"/>
    <w:rsid w:val="00254DB4"/>
    <w:rsid w:val="00256B62"/>
    <w:rsid w:val="0026071B"/>
    <w:rsid w:val="0026145E"/>
    <w:rsid w:val="0026196C"/>
    <w:rsid w:val="00271305"/>
    <w:rsid w:val="002722B0"/>
    <w:rsid w:val="002754ED"/>
    <w:rsid w:val="00276962"/>
    <w:rsid w:val="00280169"/>
    <w:rsid w:val="00280EB6"/>
    <w:rsid w:val="002814D0"/>
    <w:rsid w:val="002827E3"/>
    <w:rsid w:val="00282F9F"/>
    <w:rsid w:val="002862EF"/>
    <w:rsid w:val="002864AD"/>
    <w:rsid w:val="00291FD4"/>
    <w:rsid w:val="00292E84"/>
    <w:rsid w:val="00296D0A"/>
    <w:rsid w:val="002A2346"/>
    <w:rsid w:val="002A619F"/>
    <w:rsid w:val="002A64A9"/>
    <w:rsid w:val="002B0A60"/>
    <w:rsid w:val="002B212E"/>
    <w:rsid w:val="002B4668"/>
    <w:rsid w:val="002B5022"/>
    <w:rsid w:val="002B6AE4"/>
    <w:rsid w:val="002C0B58"/>
    <w:rsid w:val="002C13DF"/>
    <w:rsid w:val="002C1660"/>
    <w:rsid w:val="002C2403"/>
    <w:rsid w:val="002C29B8"/>
    <w:rsid w:val="002C4550"/>
    <w:rsid w:val="002C5355"/>
    <w:rsid w:val="002D5197"/>
    <w:rsid w:val="002D533A"/>
    <w:rsid w:val="002E046B"/>
    <w:rsid w:val="002E13C8"/>
    <w:rsid w:val="002E2512"/>
    <w:rsid w:val="002F329C"/>
    <w:rsid w:val="002F3CA5"/>
    <w:rsid w:val="002F6C5A"/>
    <w:rsid w:val="003004D6"/>
    <w:rsid w:val="00302047"/>
    <w:rsid w:val="00302240"/>
    <w:rsid w:val="00302EE0"/>
    <w:rsid w:val="003170DB"/>
    <w:rsid w:val="00317EC1"/>
    <w:rsid w:val="00320FC4"/>
    <w:rsid w:val="003222C5"/>
    <w:rsid w:val="00324502"/>
    <w:rsid w:val="00325BEF"/>
    <w:rsid w:val="00326D59"/>
    <w:rsid w:val="003275B0"/>
    <w:rsid w:val="00331287"/>
    <w:rsid w:val="00332E7D"/>
    <w:rsid w:val="00333A63"/>
    <w:rsid w:val="003356CB"/>
    <w:rsid w:val="00342240"/>
    <w:rsid w:val="0034276F"/>
    <w:rsid w:val="0034302A"/>
    <w:rsid w:val="00343F58"/>
    <w:rsid w:val="00347EC1"/>
    <w:rsid w:val="00351539"/>
    <w:rsid w:val="00353032"/>
    <w:rsid w:val="0035566D"/>
    <w:rsid w:val="00361420"/>
    <w:rsid w:val="00363F05"/>
    <w:rsid w:val="00364FF8"/>
    <w:rsid w:val="00365FF4"/>
    <w:rsid w:val="00366177"/>
    <w:rsid w:val="00366527"/>
    <w:rsid w:val="00366EDA"/>
    <w:rsid w:val="003672A0"/>
    <w:rsid w:val="003709FF"/>
    <w:rsid w:val="00370A19"/>
    <w:rsid w:val="0037121F"/>
    <w:rsid w:val="0037199B"/>
    <w:rsid w:val="003816B4"/>
    <w:rsid w:val="00382ECF"/>
    <w:rsid w:val="00385987"/>
    <w:rsid w:val="00386208"/>
    <w:rsid w:val="00387136"/>
    <w:rsid w:val="00387438"/>
    <w:rsid w:val="00393213"/>
    <w:rsid w:val="003A190A"/>
    <w:rsid w:val="003A3743"/>
    <w:rsid w:val="003A4514"/>
    <w:rsid w:val="003B354F"/>
    <w:rsid w:val="003B4175"/>
    <w:rsid w:val="003B4E13"/>
    <w:rsid w:val="003B7EAA"/>
    <w:rsid w:val="003C0645"/>
    <w:rsid w:val="003C0EFA"/>
    <w:rsid w:val="003C0F32"/>
    <w:rsid w:val="003C1EC6"/>
    <w:rsid w:val="003C33FF"/>
    <w:rsid w:val="003C435B"/>
    <w:rsid w:val="003C519C"/>
    <w:rsid w:val="003D1AC3"/>
    <w:rsid w:val="003D2958"/>
    <w:rsid w:val="003D57C5"/>
    <w:rsid w:val="003D6BBE"/>
    <w:rsid w:val="003E09C9"/>
    <w:rsid w:val="003E334A"/>
    <w:rsid w:val="003E71F8"/>
    <w:rsid w:val="003F1A77"/>
    <w:rsid w:val="003F50AF"/>
    <w:rsid w:val="003F5B83"/>
    <w:rsid w:val="003F71E5"/>
    <w:rsid w:val="0040196B"/>
    <w:rsid w:val="004044BC"/>
    <w:rsid w:val="00406AC9"/>
    <w:rsid w:val="00406DF3"/>
    <w:rsid w:val="00406EEA"/>
    <w:rsid w:val="004078F9"/>
    <w:rsid w:val="00410AD8"/>
    <w:rsid w:val="00417ACE"/>
    <w:rsid w:val="00417F9F"/>
    <w:rsid w:val="00421E54"/>
    <w:rsid w:val="00422AC3"/>
    <w:rsid w:val="00422CDF"/>
    <w:rsid w:val="00423E61"/>
    <w:rsid w:val="004263E1"/>
    <w:rsid w:val="00427B4C"/>
    <w:rsid w:val="00430779"/>
    <w:rsid w:val="0043082F"/>
    <w:rsid w:val="004316F0"/>
    <w:rsid w:val="00432602"/>
    <w:rsid w:val="00435688"/>
    <w:rsid w:val="00436515"/>
    <w:rsid w:val="00442654"/>
    <w:rsid w:val="004430AD"/>
    <w:rsid w:val="004433F3"/>
    <w:rsid w:val="0044788E"/>
    <w:rsid w:val="00450C1D"/>
    <w:rsid w:val="00453C98"/>
    <w:rsid w:val="00455959"/>
    <w:rsid w:val="00460259"/>
    <w:rsid w:val="004610C4"/>
    <w:rsid w:val="00464D56"/>
    <w:rsid w:val="004675D8"/>
    <w:rsid w:val="00470B75"/>
    <w:rsid w:val="00470B8A"/>
    <w:rsid w:val="00477B33"/>
    <w:rsid w:val="0048470E"/>
    <w:rsid w:val="00485A66"/>
    <w:rsid w:val="00485C28"/>
    <w:rsid w:val="004860E3"/>
    <w:rsid w:val="004875B7"/>
    <w:rsid w:val="00492E7B"/>
    <w:rsid w:val="004A2BF2"/>
    <w:rsid w:val="004A3730"/>
    <w:rsid w:val="004A4EB6"/>
    <w:rsid w:val="004A71EC"/>
    <w:rsid w:val="004B0590"/>
    <w:rsid w:val="004B219E"/>
    <w:rsid w:val="004B3480"/>
    <w:rsid w:val="004C1513"/>
    <w:rsid w:val="004C1627"/>
    <w:rsid w:val="004C3879"/>
    <w:rsid w:val="004C3915"/>
    <w:rsid w:val="004C43DB"/>
    <w:rsid w:val="004C4773"/>
    <w:rsid w:val="004C6322"/>
    <w:rsid w:val="004D00C1"/>
    <w:rsid w:val="004D0F03"/>
    <w:rsid w:val="004D287D"/>
    <w:rsid w:val="004D5E31"/>
    <w:rsid w:val="004D6BF9"/>
    <w:rsid w:val="004D76DC"/>
    <w:rsid w:val="004E08BD"/>
    <w:rsid w:val="004E4013"/>
    <w:rsid w:val="004E5D18"/>
    <w:rsid w:val="004F1BB3"/>
    <w:rsid w:val="005008E4"/>
    <w:rsid w:val="005011EC"/>
    <w:rsid w:val="00502443"/>
    <w:rsid w:val="00505436"/>
    <w:rsid w:val="0050549F"/>
    <w:rsid w:val="00510F43"/>
    <w:rsid w:val="00512F00"/>
    <w:rsid w:val="00513B6E"/>
    <w:rsid w:val="00520291"/>
    <w:rsid w:val="005244E9"/>
    <w:rsid w:val="00525560"/>
    <w:rsid w:val="00531C86"/>
    <w:rsid w:val="00532405"/>
    <w:rsid w:val="00535FCA"/>
    <w:rsid w:val="00540813"/>
    <w:rsid w:val="00540BE0"/>
    <w:rsid w:val="00541C53"/>
    <w:rsid w:val="00542678"/>
    <w:rsid w:val="00542839"/>
    <w:rsid w:val="005451A1"/>
    <w:rsid w:val="0054691E"/>
    <w:rsid w:val="0054787A"/>
    <w:rsid w:val="005507BD"/>
    <w:rsid w:val="005515CF"/>
    <w:rsid w:val="00553390"/>
    <w:rsid w:val="00553621"/>
    <w:rsid w:val="0055390F"/>
    <w:rsid w:val="005560D3"/>
    <w:rsid w:val="0056026C"/>
    <w:rsid w:val="00561791"/>
    <w:rsid w:val="005636CD"/>
    <w:rsid w:val="00564D7B"/>
    <w:rsid w:val="005716DA"/>
    <w:rsid w:val="00573057"/>
    <w:rsid w:val="0057438F"/>
    <w:rsid w:val="005758BB"/>
    <w:rsid w:val="00576E52"/>
    <w:rsid w:val="00577D52"/>
    <w:rsid w:val="005823AF"/>
    <w:rsid w:val="0058271B"/>
    <w:rsid w:val="00586534"/>
    <w:rsid w:val="00590E9E"/>
    <w:rsid w:val="00593F4E"/>
    <w:rsid w:val="00594402"/>
    <w:rsid w:val="00595DFE"/>
    <w:rsid w:val="005A029A"/>
    <w:rsid w:val="005A0311"/>
    <w:rsid w:val="005A37C2"/>
    <w:rsid w:val="005A4446"/>
    <w:rsid w:val="005B13B4"/>
    <w:rsid w:val="005B2425"/>
    <w:rsid w:val="005B292F"/>
    <w:rsid w:val="005B544F"/>
    <w:rsid w:val="005B63AD"/>
    <w:rsid w:val="005C2882"/>
    <w:rsid w:val="005C6A78"/>
    <w:rsid w:val="005C7C12"/>
    <w:rsid w:val="005D27C5"/>
    <w:rsid w:val="005D5667"/>
    <w:rsid w:val="005D695C"/>
    <w:rsid w:val="005E4177"/>
    <w:rsid w:val="005F3121"/>
    <w:rsid w:val="005F3390"/>
    <w:rsid w:val="005F49C1"/>
    <w:rsid w:val="005F6E3A"/>
    <w:rsid w:val="00604377"/>
    <w:rsid w:val="00605089"/>
    <w:rsid w:val="00610A46"/>
    <w:rsid w:val="0061110A"/>
    <w:rsid w:val="00611A99"/>
    <w:rsid w:val="006158FE"/>
    <w:rsid w:val="0061677B"/>
    <w:rsid w:val="00620F37"/>
    <w:rsid w:val="0062230A"/>
    <w:rsid w:val="00622AB2"/>
    <w:rsid w:val="006231A5"/>
    <w:rsid w:val="00625AEE"/>
    <w:rsid w:val="006275DD"/>
    <w:rsid w:val="00633BEF"/>
    <w:rsid w:val="00635CA0"/>
    <w:rsid w:val="006366E6"/>
    <w:rsid w:val="006511A6"/>
    <w:rsid w:val="00661850"/>
    <w:rsid w:val="006744C0"/>
    <w:rsid w:val="006764F8"/>
    <w:rsid w:val="00676B31"/>
    <w:rsid w:val="006802B4"/>
    <w:rsid w:val="00682356"/>
    <w:rsid w:val="00685B6F"/>
    <w:rsid w:val="006860E6"/>
    <w:rsid w:val="00686D7B"/>
    <w:rsid w:val="00690C7E"/>
    <w:rsid w:val="0069348E"/>
    <w:rsid w:val="00694811"/>
    <w:rsid w:val="00697FD3"/>
    <w:rsid w:val="006A0D61"/>
    <w:rsid w:val="006B29B9"/>
    <w:rsid w:val="006B5623"/>
    <w:rsid w:val="006B58CF"/>
    <w:rsid w:val="006B6F78"/>
    <w:rsid w:val="006C3A06"/>
    <w:rsid w:val="006C521E"/>
    <w:rsid w:val="006C5A91"/>
    <w:rsid w:val="006D6908"/>
    <w:rsid w:val="006E367A"/>
    <w:rsid w:val="006E677A"/>
    <w:rsid w:val="006E6A7D"/>
    <w:rsid w:val="006F496F"/>
    <w:rsid w:val="006F5932"/>
    <w:rsid w:val="006F5F6E"/>
    <w:rsid w:val="00700DBB"/>
    <w:rsid w:val="00703482"/>
    <w:rsid w:val="00717307"/>
    <w:rsid w:val="0072154A"/>
    <w:rsid w:val="00725896"/>
    <w:rsid w:val="0073058B"/>
    <w:rsid w:val="007348CB"/>
    <w:rsid w:val="007402CA"/>
    <w:rsid w:val="00746E81"/>
    <w:rsid w:val="007470CA"/>
    <w:rsid w:val="00752894"/>
    <w:rsid w:val="0075631F"/>
    <w:rsid w:val="00763270"/>
    <w:rsid w:val="00763447"/>
    <w:rsid w:val="00765797"/>
    <w:rsid w:val="0076599E"/>
    <w:rsid w:val="0077334A"/>
    <w:rsid w:val="00773496"/>
    <w:rsid w:val="007753C9"/>
    <w:rsid w:val="00775B16"/>
    <w:rsid w:val="00775D3E"/>
    <w:rsid w:val="00776D4A"/>
    <w:rsid w:val="00781BF9"/>
    <w:rsid w:val="00784817"/>
    <w:rsid w:val="00785A34"/>
    <w:rsid w:val="00786049"/>
    <w:rsid w:val="0079362E"/>
    <w:rsid w:val="00796741"/>
    <w:rsid w:val="0079798F"/>
    <w:rsid w:val="007A2C4D"/>
    <w:rsid w:val="007A5CB5"/>
    <w:rsid w:val="007B0EA8"/>
    <w:rsid w:val="007B2128"/>
    <w:rsid w:val="007B2AFD"/>
    <w:rsid w:val="007B2E0B"/>
    <w:rsid w:val="007B3A43"/>
    <w:rsid w:val="007C09EA"/>
    <w:rsid w:val="007C171B"/>
    <w:rsid w:val="007C1788"/>
    <w:rsid w:val="007C27FA"/>
    <w:rsid w:val="007C5DDB"/>
    <w:rsid w:val="007C77FA"/>
    <w:rsid w:val="007D2A86"/>
    <w:rsid w:val="007D43CA"/>
    <w:rsid w:val="007E3EA0"/>
    <w:rsid w:val="007E56D7"/>
    <w:rsid w:val="007F33AB"/>
    <w:rsid w:val="007F40CD"/>
    <w:rsid w:val="007F476C"/>
    <w:rsid w:val="007F5D2E"/>
    <w:rsid w:val="007F70FB"/>
    <w:rsid w:val="007F7C5D"/>
    <w:rsid w:val="00801219"/>
    <w:rsid w:val="008016C0"/>
    <w:rsid w:val="00801922"/>
    <w:rsid w:val="00802242"/>
    <w:rsid w:val="0080351E"/>
    <w:rsid w:val="008058C5"/>
    <w:rsid w:val="00810504"/>
    <w:rsid w:val="0081079D"/>
    <w:rsid w:val="00810981"/>
    <w:rsid w:val="00812821"/>
    <w:rsid w:val="008169D1"/>
    <w:rsid w:val="008247B4"/>
    <w:rsid w:val="00825FA1"/>
    <w:rsid w:val="008266E9"/>
    <w:rsid w:val="0083007E"/>
    <w:rsid w:val="0083052D"/>
    <w:rsid w:val="008379D3"/>
    <w:rsid w:val="008410EA"/>
    <w:rsid w:val="00841CF6"/>
    <w:rsid w:val="0084474B"/>
    <w:rsid w:val="00846B53"/>
    <w:rsid w:val="0085031A"/>
    <w:rsid w:val="00850626"/>
    <w:rsid w:val="0085369E"/>
    <w:rsid w:val="00853956"/>
    <w:rsid w:val="00856103"/>
    <w:rsid w:val="00861385"/>
    <w:rsid w:val="00863CFF"/>
    <w:rsid w:val="00863E39"/>
    <w:rsid w:val="00866CC0"/>
    <w:rsid w:val="008670F3"/>
    <w:rsid w:val="008765BF"/>
    <w:rsid w:val="008800E2"/>
    <w:rsid w:val="008827E0"/>
    <w:rsid w:val="00883E89"/>
    <w:rsid w:val="00884E07"/>
    <w:rsid w:val="008854D5"/>
    <w:rsid w:val="008871EC"/>
    <w:rsid w:val="008904D9"/>
    <w:rsid w:val="00892374"/>
    <w:rsid w:val="00896A88"/>
    <w:rsid w:val="00896B83"/>
    <w:rsid w:val="008A009E"/>
    <w:rsid w:val="008A2739"/>
    <w:rsid w:val="008A2893"/>
    <w:rsid w:val="008A2BCF"/>
    <w:rsid w:val="008A419B"/>
    <w:rsid w:val="008C32CE"/>
    <w:rsid w:val="008D0C5B"/>
    <w:rsid w:val="008D2CBC"/>
    <w:rsid w:val="008D4E60"/>
    <w:rsid w:val="008D5678"/>
    <w:rsid w:val="008D5C5C"/>
    <w:rsid w:val="008D66DF"/>
    <w:rsid w:val="008D6D7D"/>
    <w:rsid w:val="008E0B39"/>
    <w:rsid w:val="008E4952"/>
    <w:rsid w:val="008E51A2"/>
    <w:rsid w:val="008E60C4"/>
    <w:rsid w:val="008F28F5"/>
    <w:rsid w:val="008F5159"/>
    <w:rsid w:val="009023E6"/>
    <w:rsid w:val="00903CF1"/>
    <w:rsid w:val="00906873"/>
    <w:rsid w:val="00906946"/>
    <w:rsid w:val="009104FF"/>
    <w:rsid w:val="00911D64"/>
    <w:rsid w:val="0091359C"/>
    <w:rsid w:val="00913BDF"/>
    <w:rsid w:val="00917357"/>
    <w:rsid w:val="009201BC"/>
    <w:rsid w:val="00921C75"/>
    <w:rsid w:val="00922D5E"/>
    <w:rsid w:val="00926CB6"/>
    <w:rsid w:val="00933354"/>
    <w:rsid w:val="0093697C"/>
    <w:rsid w:val="00937971"/>
    <w:rsid w:val="00940ADA"/>
    <w:rsid w:val="00943F26"/>
    <w:rsid w:val="00944ACB"/>
    <w:rsid w:val="00954F0F"/>
    <w:rsid w:val="00955783"/>
    <w:rsid w:val="0096104A"/>
    <w:rsid w:val="00961D70"/>
    <w:rsid w:val="00967716"/>
    <w:rsid w:val="00967992"/>
    <w:rsid w:val="009717EB"/>
    <w:rsid w:val="00974B80"/>
    <w:rsid w:val="009809E4"/>
    <w:rsid w:val="00987A5F"/>
    <w:rsid w:val="009961DF"/>
    <w:rsid w:val="009A2676"/>
    <w:rsid w:val="009A6558"/>
    <w:rsid w:val="009A6717"/>
    <w:rsid w:val="009A6C83"/>
    <w:rsid w:val="009B4052"/>
    <w:rsid w:val="009C104B"/>
    <w:rsid w:val="009C3403"/>
    <w:rsid w:val="009C44EB"/>
    <w:rsid w:val="009C69AB"/>
    <w:rsid w:val="009C7051"/>
    <w:rsid w:val="009D7673"/>
    <w:rsid w:val="009E3D54"/>
    <w:rsid w:val="009E454F"/>
    <w:rsid w:val="009E61AC"/>
    <w:rsid w:val="009F134C"/>
    <w:rsid w:val="00A04777"/>
    <w:rsid w:val="00A061E1"/>
    <w:rsid w:val="00A1092A"/>
    <w:rsid w:val="00A10BF2"/>
    <w:rsid w:val="00A11DD2"/>
    <w:rsid w:val="00A2259A"/>
    <w:rsid w:val="00A2549D"/>
    <w:rsid w:val="00A262F8"/>
    <w:rsid w:val="00A37A4A"/>
    <w:rsid w:val="00A41C3F"/>
    <w:rsid w:val="00A42D8D"/>
    <w:rsid w:val="00A4382A"/>
    <w:rsid w:val="00A47410"/>
    <w:rsid w:val="00A52453"/>
    <w:rsid w:val="00A5330E"/>
    <w:rsid w:val="00A54CC0"/>
    <w:rsid w:val="00A6113F"/>
    <w:rsid w:val="00A61532"/>
    <w:rsid w:val="00A62514"/>
    <w:rsid w:val="00A628A7"/>
    <w:rsid w:val="00A62CCB"/>
    <w:rsid w:val="00A67673"/>
    <w:rsid w:val="00A70FC3"/>
    <w:rsid w:val="00A72551"/>
    <w:rsid w:val="00A871D4"/>
    <w:rsid w:val="00A926EE"/>
    <w:rsid w:val="00A94DE1"/>
    <w:rsid w:val="00A967F4"/>
    <w:rsid w:val="00AA13D7"/>
    <w:rsid w:val="00AA14B8"/>
    <w:rsid w:val="00AA6921"/>
    <w:rsid w:val="00AA6B44"/>
    <w:rsid w:val="00AB211E"/>
    <w:rsid w:val="00AB618C"/>
    <w:rsid w:val="00AC0B4E"/>
    <w:rsid w:val="00AC10E7"/>
    <w:rsid w:val="00AC12BC"/>
    <w:rsid w:val="00AC7E78"/>
    <w:rsid w:val="00AD0060"/>
    <w:rsid w:val="00AD2748"/>
    <w:rsid w:val="00AD5C30"/>
    <w:rsid w:val="00AD66F6"/>
    <w:rsid w:val="00AD72B2"/>
    <w:rsid w:val="00AD7EBB"/>
    <w:rsid w:val="00AE186D"/>
    <w:rsid w:val="00AE2935"/>
    <w:rsid w:val="00AE3134"/>
    <w:rsid w:val="00AE5CB4"/>
    <w:rsid w:val="00AF37D0"/>
    <w:rsid w:val="00AF77B2"/>
    <w:rsid w:val="00B1117E"/>
    <w:rsid w:val="00B14782"/>
    <w:rsid w:val="00B15B53"/>
    <w:rsid w:val="00B16EDB"/>
    <w:rsid w:val="00B248C9"/>
    <w:rsid w:val="00B33229"/>
    <w:rsid w:val="00B348C4"/>
    <w:rsid w:val="00B348D5"/>
    <w:rsid w:val="00B35C3C"/>
    <w:rsid w:val="00B37DD0"/>
    <w:rsid w:val="00B408BE"/>
    <w:rsid w:val="00B44658"/>
    <w:rsid w:val="00B45155"/>
    <w:rsid w:val="00B540F1"/>
    <w:rsid w:val="00B55CDC"/>
    <w:rsid w:val="00B66124"/>
    <w:rsid w:val="00B75B16"/>
    <w:rsid w:val="00B9039A"/>
    <w:rsid w:val="00B90627"/>
    <w:rsid w:val="00B90DD6"/>
    <w:rsid w:val="00B91A3C"/>
    <w:rsid w:val="00B941E2"/>
    <w:rsid w:val="00B94562"/>
    <w:rsid w:val="00B97063"/>
    <w:rsid w:val="00BA1F18"/>
    <w:rsid w:val="00BB026C"/>
    <w:rsid w:val="00BB262B"/>
    <w:rsid w:val="00BB303F"/>
    <w:rsid w:val="00BB6980"/>
    <w:rsid w:val="00BC15E4"/>
    <w:rsid w:val="00BC18AF"/>
    <w:rsid w:val="00BC2A1C"/>
    <w:rsid w:val="00BC2AAB"/>
    <w:rsid w:val="00BC5EE2"/>
    <w:rsid w:val="00BC7E19"/>
    <w:rsid w:val="00BD0F28"/>
    <w:rsid w:val="00BD3692"/>
    <w:rsid w:val="00BD4C97"/>
    <w:rsid w:val="00BD5BEF"/>
    <w:rsid w:val="00BE1811"/>
    <w:rsid w:val="00BE67D2"/>
    <w:rsid w:val="00BF2B67"/>
    <w:rsid w:val="00BF3356"/>
    <w:rsid w:val="00BF3EAC"/>
    <w:rsid w:val="00BF5A40"/>
    <w:rsid w:val="00BF5E57"/>
    <w:rsid w:val="00C04BCF"/>
    <w:rsid w:val="00C10B9C"/>
    <w:rsid w:val="00C111E4"/>
    <w:rsid w:val="00C147E0"/>
    <w:rsid w:val="00C14A28"/>
    <w:rsid w:val="00C20FDB"/>
    <w:rsid w:val="00C211FC"/>
    <w:rsid w:val="00C2258C"/>
    <w:rsid w:val="00C22950"/>
    <w:rsid w:val="00C245E3"/>
    <w:rsid w:val="00C24D36"/>
    <w:rsid w:val="00C36722"/>
    <w:rsid w:val="00C40394"/>
    <w:rsid w:val="00C526B2"/>
    <w:rsid w:val="00C536A9"/>
    <w:rsid w:val="00C5504F"/>
    <w:rsid w:val="00C5614D"/>
    <w:rsid w:val="00C60663"/>
    <w:rsid w:val="00C6158D"/>
    <w:rsid w:val="00C70392"/>
    <w:rsid w:val="00C70692"/>
    <w:rsid w:val="00C71FC3"/>
    <w:rsid w:val="00C7398B"/>
    <w:rsid w:val="00C73F1A"/>
    <w:rsid w:val="00C7497B"/>
    <w:rsid w:val="00C75AEA"/>
    <w:rsid w:val="00C818EF"/>
    <w:rsid w:val="00C81B3E"/>
    <w:rsid w:val="00C83FCA"/>
    <w:rsid w:val="00C8547A"/>
    <w:rsid w:val="00C8606E"/>
    <w:rsid w:val="00C9106B"/>
    <w:rsid w:val="00C91642"/>
    <w:rsid w:val="00C9654F"/>
    <w:rsid w:val="00CA027B"/>
    <w:rsid w:val="00CA1E3B"/>
    <w:rsid w:val="00CA2053"/>
    <w:rsid w:val="00CA293D"/>
    <w:rsid w:val="00CA6531"/>
    <w:rsid w:val="00CA7228"/>
    <w:rsid w:val="00CB11D5"/>
    <w:rsid w:val="00CB2E56"/>
    <w:rsid w:val="00CB48F4"/>
    <w:rsid w:val="00CC01F9"/>
    <w:rsid w:val="00CC309C"/>
    <w:rsid w:val="00CC30A0"/>
    <w:rsid w:val="00CC32FA"/>
    <w:rsid w:val="00CC527F"/>
    <w:rsid w:val="00CC5344"/>
    <w:rsid w:val="00CD08E1"/>
    <w:rsid w:val="00CD31D9"/>
    <w:rsid w:val="00CD4D99"/>
    <w:rsid w:val="00CD7E54"/>
    <w:rsid w:val="00CE110C"/>
    <w:rsid w:val="00CE2A85"/>
    <w:rsid w:val="00CE4D3C"/>
    <w:rsid w:val="00CE4FFA"/>
    <w:rsid w:val="00CE5EAB"/>
    <w:rsid w:val="00CF23C2"/>
    <w:rsid w:val="00CF36B4"/>
    <w:rsid w:val="00CF44D0"/>
    <w:rsid w:val="00CF54DE"/>
    <w:rsid w:val="00D00953"/>
    <w:rsid w:val="00D011A7"/>
    <w:rsid w:val="00D0623D"/>
    <w:rsid w:val="00D11FA9"/>
    <w:rsid w:val="00D138AE"/>
    <w:rsid w:val="00D147AB"/>
    <w:rsid w:val="00D23207"/>
    <w:rsid w:val="00D246D6"/>
    <w:rsid w:val="00D252CB"/>
    <w:rsid w:val="00D25A7C"/>
    <w:rsid w:val="00D26BAA"/>
    <w:rsid w:val="00D361DB"/>
    <w:rsid w:val="00D3694C"/>
    <w:rsid w:val="00D37AC6"/>
    <w:rsid w:val="00D41219"/>
    <w:rsid w:val="00D46DE0"/>
    <w:rsid w:val="00D503EA"/>
    <w:rsid w:val="00D51C90"/>
    <w:rsid w:val="00D52425"/>
    <w:rsid w:val="00D62D3E"/>
    <w:rsid w:val="00D6720D"/>
    <w:rsid w:val="00D73E60"/>
    <w:rsid w:val="00D74A11"/>
    <w:rsid w:val="00D759EA"/>
    <w:rsid w:val="00D75B59"/>
    <w:rsid w:val="00D75E1D"/>
    <w:rsid w:val="00D914BE"/>
    <w:rsid w:val="00D915A0"/>
    <w:rsid w:val="00D92BB1"/>
    <w:rsid w:val="00D9667A"/>
    <w:rsid w:val="00DA49D6"/>
    <w:rsid w:val="00DA5FCF"/>
    <w:rsid w:val="00DA6ED2"/>
    <w:rsid w:val="00DB10E5"/>
    <w:rsid w:val="00DC0634"/>
    <w:rsid w:val="00DC2516"/>
    <w:rsid w:val="00DC33E3"/>
    <w:rsid w:val="00DC4ADB"/>
    <w:rsid w:val="00DC5A6F"/>
    <w:rsid w:val="00DD18B9"/>
    <w:rsid w:val="00DD2ED9"/>
    <w:rsid w:val="00DD5922"/>
    <w:rsid w:val="00DE131E"/>
    <w:rsid w:val="00DE5C2C"/>
    <w:rsid w:val="00DF3960"/>
    <w:rsid w:val="00DF3BFD"/>
    <w:rsid w:val="00DF3CE2"/>
    <w:rsid w:val="00DF64FB"/>
    <w:rsid w:val="00DF6644"/>
    <w:rsid w:val="00E00AD6"/>
    <w:rsid w:val="00E060BD"/>
    <w:rsid w:val="00E07FA9"/>
    <w:rsid w:val="00E12795"/>
    <w:rsid w:val="00E12ED4"/>
    <w:rsid w:val="00E145C6"/>
    <w:rsid w:val="00E14942"/>
    <w:rsid w:val="00E16252"/>
    <w:rsid w:val="00E24107"/>
    <w:rsid w:val="00E25260"/>
    <w:rsid w:val="00E25ED2"/>
    <w:rsid w:val="00E27AE8"/>
    <w:rsid w:val="00E30C8C"/>
    <w:rsid w:val="00E33637"/>
    <w:rsid w:val="00E336F6"/>
    <w:rsid w:val="00E36CED"/>
    <w:rsid w:val="00E43193"/>
    <w:rsid w:val="00E46189"/>
    <w:rsid w:val="00E519EA"/>
    <w:rsid w:val="00E51B19"/>
    <w:rsid w:val="00E55027"/>
    <w:rsid w:val="00E60BF5"/>
    <w:rsid w:val="00E6146A"/>
    <w:rsid w:val="00E63405"/>
    <w:rsid w:val="00E66EA6"/>
    <w:rsid w:val="00E71290"/>
    <w:rsid w:val="00E74997"/>
    <w:rsid w:val="00E856B1"/>
    <w:rsid w:val="00E9022B"/>
    <w:rsid w:val="00E914E2"/>
    <w:rsid w:val="00E92687"/>
    <w:rsid w:val="00E9673C"/>
    <w:rsid w:val="00EA4160"/>
    <w:rsid w:val="00EB03C9"/>
    <w:rsid w:val="00EB4CF9"/>
    <w:rsid w:val="00EB5041"/>
    <w:rsid w:val="00EB562F"/>
    <w:rsid w:val="00EB7906"/>
    <w:rsid w:val="00EC0AB4"/>
    <w:rsid w:val="00EC25F1"/>
    <w:rsid w:val="00EC3824"/>
    <w:rsid w:val="00EC5FF6"/>
    <w:rsid w:val="00EC7F7E"/>
    <w:rsid w:val="00EE1A21"/>
    <w:rsid w:val="00EE2AFA"/>
    <w:rsid w:val="00EE2D66"/>
    <w:rsid w:val="00EE3D60"/>
    <w:rsid w:val="00EE3DC4"/>
    <w:rsid w:val="00EE4D47"/>
    <w:rsid w:val="00EE4FBA"/>
    <w:rsid w:val="00EE6F36"/>
    <w:rsid w:val="00EF1B2A"/>
    <w:rsid w:val="00EF1D73"/>
    <w:rsid w:val="00EF66DC"/>
    <w:rsid w:val="00F0673A"/>
    <w:rsid w:val="00F067B4"/>
    <w:rsid w:val="00F070B2"/>
    <w:rsid w:val="00F17497"/>
    <w:rsid w:val="00F20B6A"/>
    <w:rsid w:val="00F2195A"/>
    <w:rsid w:val="00F2292D"/>
    <w:rsid w:val="00F268B2"/>
    <w:rsid w:val="00F26F53"/>
    <w:rsid w:val="00F31363"/>
    <w:rsid w:val="00F32306"/>
    <w:rsid w:val="00F3238A"/>
    <w:rsid w:val="00F324E5"/>
    <w:rsid w:val="00F32BFA"/>
    <w:rsid w:val="00F34829"/>
    <w:rsid w:val="00F35C20"/>
    <w:rsid w:val="00F36429"/>
    <w:rsid w:val="00F3770F"/>
    <w:rsid w:val="00F37E40"/>
    <w:rsid w:val="00F41443"/>
    <w:rsid w:val="00F41FDF"/>
    <w:rsid w:val="00F43D8A"/>
    <w:rsid w:val="00F44D34"/>
    <w:rsid w:val="00F4630C"/>
    <w:rsid w:val="00F51DE9"/>
    <w:rsid w:val="00F546F2"/>
    <w:rsid w:val="00F6237A"/>
    <w:rsid w:val="00F646A0"/>
    <w:rsid w:val="00F669B7"/>
    <w:rsid w:val="00F67750"/>
    <w:rsid w:val="00F705AD"/>
    <w:rsid w:val="00F707AA"/>
    <w:rsid w:val="00F76650"/>
    <w:rsid w:val="00F80895"/>
    <w:rsid w:val="00F82746"/>
    <w:rsid w:val="00F84266"/>
    <w:rsid w:val="00F84E6F"/>
    <w:rsid w:val="00F90322"/>
    <w:rsid w:val="00F96497"/>
    <w:rsid w:val="00F977AB"/>
    <w:rsid w:val="00F97852"/>
    <w:rsid w:val="00FA10A4"/>
    <w:rsid w:val="00FA1A93"/>
    <w:rsid w:val="00FA6F54"/>
    <w:rsid w:val="00FA7EA1"/>
    <w:rsid w:val="00FB02A5"/>
    <w:rsid w:val="00FB0817"/>
    <w:rsid w:val="00FB084D"/>
    <w:rsid w:val="00FB0CEF"/>
    <w:rsid w:val="00FB0DC1"/>
    <w:rsid w:val="00FB1E78"/>
    <w:rsid w:val="00FB46AA"/>
    <w:rsid w:val="00FB5B2D"/>
    <w:rsid w:val="00FC1968"/>
    <w:rsid w:val="00FC2335"/>
    <w:rsid w:val="00FC2BD1"/>
    <w:rsid w:val="00FC31BC"/>
    <w:rsid w:val="00FC70E0"/>
    <w:rsid w:val="00FD0547"/>
    <w:rsid w:val="00FD585E"/>
    <w:rsid w:val="00FD5D41"/>
    <w:rsid w:val="00FE14D7"/>
    <w:rsid w:val="00FE6CF8"/>
    <w:rsid w:val="00FE6DA3"/>
    <w:rsid w:val="00FF04FD"/>
    <w:rsid w:val="00FF1010"/>
    <w:rsid w:val="00FF206B"/>
    <w:rsid w:val="00FF5061"/>
    <w:rsid w:val="00FF6003"/>
    <w:rsid w:val="00FF7B51"/>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0BE898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60663"/>
    <w:pPr>
      <w:spacing w:line="360" w:lineRule="auto"/>
      <w:jc w:val="both"/>
    </w:pPr>
    <w:rPr>
      <w:rFonts w:ascii="Times New Roman" w:eastAsiaTheme="minorEastAsia" w:hAnsi="Times New Roman"/>
      <w:sz w:val="24"/>
      <w:lang w:eastAsia="zh-CN"/>
    </w:rPr>
  </w:style>
  <w:style w:type="paragraph" w:styleId="Heading1">
    <w:name w:val="heading 1"/>
    <w:basedOn w:val="Normal"/>
    <w:next w:val="Normal"/>
    <w:link w:val="Heading1Char"/>
    <w:uiPriority w:val="9"/>
    <w:qFormat/>
    <w:rsid w:val="00477B33"/>
    <w:pPr>
      <w:keepNext/>
      <w:keepLines/>
      <w:pageBreakBefore/>
      <w:jc w:val="center"/>
      <w:outlineLvl w:val="0"/>
    </w:pPr>
    <w:rPr>
      <w:rFonts w:eastAsiaTheme="majorEastAsia" w:cstheme="majorBidi"/>
      <w:b/>
      <w:sz w:val="28"/>
      <w:szCs w:val="32"/>
      <w:u w:val="single"/>
    </w:rPr>
  </w:style>
  <w:style w:type="paragraph" w:styleId="Heading2">
    <w:name w:val="heading 2"/>
    <w:basedOn w:val="Normal"/>
    <w:next w:val="Normal"/>
    <w:link w:val="Heading2Char"/>
    <w:uiPriority w:val="9"/>
    <w:unhideWhenUsed/>
    <w:qFormat/>
    <w:rsid w:val="00042B6D"/>
    <w:pPr>
      <w:keepNext/>
      <w:keepLines/>
      <w:spacing w:line="240" w:lineRule="auto"/>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786049"/>
    <w:pPr>
      <w:keepNext/>
      <w:keepLines/>
      <w:spacing w:line="240" w:lineRule="auto"/>
      <w:ind w:left="720"/>
      <w:jc w:val="left"/>
      <w:outlineLvl w:val="2"/>
    </w:pPr>
    <w:rPr>
      <w:rFonts w:eastAsiaTheme="majorEastAsia" w:cstheme="majorBidi"/>
      <w:b/>
      <w:szCs w:val="24"/>
    </w:rPr>
  </w:style>
  <w:style w:type="paragraph" w:styleId="Heading4">
    <w:name w:val="heading 4"/>
    <w:basedOn w:val="Normal"/>
    <w:next w:val="Normal"/>
    <w:link w:val="Heading4Char"/>
    <w:uiPriority w:val="9"/>
    <w:unhideWhenUsed/>
    <w:qFormat/>
    <w:rsid w:val="00324502"/>
    <w:pPr>
      <w:keepNext/>
      <w:keepLines/>
      <w:spacing w:before="40" w:after="0"/>
      <w:outlineLvl w:val="3"/>
    </w:pPr>
    <w:rPr>
      <w:rFonts w:eastAsiaTheme="majorEastAsia" w:cstheme="majorBidi"/>
      <w:b/>
      <w:iCs/>
      <w:color w:val="000000" w:themeColor="text1"/>
      <w:sz w:val="20"/>
    </w:rPr>
  </w:style>
  <w:style w:type="paragraph" w:styleId="Heading5">
    <w:name w:val="heading 5"/>
    <w:basedOn w:val="Normal"/>
    <w:next w:val="Normal"/>
    <w:link w:val="Heading5Char"/>
    <w:uiPriority w:val="9"/>
    <w:unhideWhenUsed/>
    <w:qFormat/>
    <w:rsid w:val="00324502"/>
    <w:pPr>
      <w:keepNext/>
      <w:keepLines/>
      <w:spacing w:before="200" w:after="0"/>
      <w:outlineLvl w:val="4"/>
    </w:pPr>
    <w:rPr>
      <w:rFonts w:eastAsiaTheme="majorEastAsia" w:cstheme="majorBidi"/>
      <w:b/>
      <w:sz w:val="20"/>
    </w:rPr>
  </w:style>
  <w:style w:type="paragraph" w:styleId="Heading6">
    <w:name w:val="heading 6"/>
    <w:basedOn w:val="Normal"/>
    <w:next w:val="Normal"/>
    <w:link w:val="Heading6Char"/>
    <w:uiPriority w:val="9"/>
    <w:unhideWhenUsed/>
    <w:qFormat/>
    <w:rsid w:val="00324502"/>
    <w:pPr>
      <w:keepNext/>
      <w:keepLines/>
      <w:spacing w:before="200" w:after="0"/>
      <w:outlineLvl w:val="5"/>
    </w:pPr>
    <w:rPr>
      <w:rFonts w:eastAsiaTheme="majorEastAsia" w:cstheme="majorBidi"/>
      <w:b/>
      <w:i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77B33"/>
    <w:rPr>
      <w:rFonts w:ascii="Garamond" w:eastAsiaTheme="majorEastAsia" w:hAnsi="Garamond" w:cstheme="majorBidi"/>
      <w:b/>
      <w:sz w:val="28"/>
      <w:szCs w:val="32"/>
      <w:u w:val="single"/>
      <w:lang w:eastAsia="zh-CN"/>
    </w:rPr>
  </w:style>
  <w:style w:type="character" w:customStyle="1" w:styleId="Heading2Char">
    <w:name w:val="Heading 2 Char"/>
    <w:basedOn w:val="DefaultParagraphFont"/>
    <w:link w:val="Heading2"/>
    <w:uiPriority w:val="9"/>
    <w:rsid w:val="00042B6D"/>
    <w:rPr>
      <w:rFonts w:ascii="Garamond" w:eastAsiaTheme="majorEastAsia" w:hAnsi="Garamond" w:cstheme="majorBidi"/>
      <w:b/>
      <w:sz w:val="24"/>
      <w:szCs w:val="26"/>
      <w:lang w:eastAsia="zh-CN"/>
    </w:rPr>
  </w:style>
  <w:style w:type="character" w:customStyle="1" w:styleId="Heading3Char">
    <w:name w:val="Heading 3 Char"/>
    <w:basedOn w:val="DefaultParagraphFont"/>
    <w:link w:val="Heading3"/>
    <w:uiPriority w:val="9"/>
    <w:rsid w:val="00786049"/>
    <w:rPr>
      <w:rFonts w:ascii="Garamond" w:eastAsiaTheme="majorEastAsia" w:hAnsi="Garamond" w:cstheme="majorBidi"/>
      <w:b/>
      <w:sz w:val="24"/>
      <w:szCs w:val="24"/>
      <w:lang w:eastAsia="zh-CN"/>
    </w:rPr>
  </w:style>
  <w:style w:type="character" w:customStyle="1" w:styleId="Heading4Char">
    <w:name w:val="Heading 4 Char"/>
    <w:basedOn w:val="DefaultParagraphFont"/>
    <w:link w:val="Heading4"/>
    <w:uiPriority w:val="9"/>
    <w:rsid w:val="00324502"/>
    <w:rPr>
      <w:rFonts w:ascii="Times New Roman" w:eastAsiaTheme="majorEastAsia" w:hAnsi="Times New Roman" w:cstheme="majorBidi"/>
      <w:b/>
      <w:iCs/>
      <w:color w:val="000000" w:themeColor="text1"/>
      <w:sz w:val="20"/>
      <w:lang w:eastAsia="zh-CN"/>
    </w:rPr>
  </w:style>
  <w:style w:type="paragraph" w:styleId="TOCHeading">
    <w:name w:val="TOC Heading"/>
    <w:basedOn w:val="Heading1"/>
    <w:next w:val="Normal"/>
    <w:uiPriority w:val="39"/>
    <w:unhideWhenUsed/>
    <w:qFormat/>
    <w:rsid w:val="00D11FA9"/>
    <w:pPr>
      <w:outlineLvl w:val="9"/>
    </w:pPr>
    <w:rPr>
      <w:lang w:val="en-US"/>
    </w:rPr>
  </w:style>
  <w:style w:type="paragraph" w:styleId="TOC1">
    <w:name w:val="toc 1"/>
    <w:basedOn w:val="Normal"/>
    <w:next w:val="Normal"/>
    <w:autoRedefine/>
    <w:uiPriority w:val="39"/>
    <w:unhideWhenUsed/>
    <w:rsid w:val="00C5504F"/>
    <w:pPr>
      <w:spacing w:before="100" w:after="100" w:line="240" w:lineRule="auto"/>
    </w:pPr>
  </w:style>
  <w:style w:type="paragraph" w:styleId="TOC2">
    <w:name w:val="toc 2"/>
    <w:basedOn w:val="Normal"/>
    <w:next w:val="Normal"/>
    <w:autoRedefine/>
    <w:uiPriority w:val="39"/>
    <w:unhideWhenUsed/>
    <w:rsid w:val="00C5504F"/>
    <w:pPr>
      <w:spacing w:after="0" w:line="240" w:lineRule="auto"/>
      <w:ind w:left="221" w:right="284"/>
    </w:pPr>
  </w:style>
  <w:style w:type="paragraph" w:styleId="TOC3">
    <w:name w:val="toc 3"/>
    <w:basedOn w:val="Normal"/>
    <w:next w:val="Normal"/>
    <w:autoRedefine/>
    <w:uiPriority w:val="39"/>
    <w:unhideWhenUsed/>
    <w:rsid w:val="00DE131E"/>
    <w:pPr>
      <w:spacing w:after="0" w:line="240" w:lineRule="auto"/>
      <w:ind w:left="442"/>
    </w:pPr>
  </w:style>
  <w:style w:type="character" w:styleId="Hyperlink">
    <w:name w:val="Hyperlink"/>
    <w:basedOn w:val="DefaultParagraphFont"/>
    <w:uiPriority w:val="99"/>
    <w:unhideWhenUsed/>
    <w:rsid w:val="001C09C1"/>
    <w:rPr>
      <w:color w:val="0563C1" w:themeColor="hyperlink"/>
      <w:u w:val="single"/>
    </w:rPr>
  </w:style>
  <w:style w:type="paragraph" w:styleId="TOC4">
    <w:name w:val="toc 4"/>
    <w:basedOn w:val="Normal"/>
    <w:next w:val="Normal"/>
    <w:autoRedefine/>
    <w:uiPriority w:val="39"/>
    <w:unhideWhenUsed/>
    <w:rsid w:val="00477B33"/>
    <w:pPr>
      <w:spacing w:after="100"/>
      <w:ind w:left="660"/>
    </w:pPr>
  </w:style>
  <w:style w:type="character" w:styleId="CommentReference">
    <w:name w:val="annotation reference"/>
    <w:basedOn w:val="DefaultParagraphFont"/>
    <w:uiPriority w:val="99"/>
    <w:semiHidden/>
    <w:unhideWhenUsed/>
    <w:rsid w:val="00477B33"/>
    <w:rPr>
      <w:sz w:val="16"/>
      <w:szCs w:val="16"/>
    </w:rPr>
  </w:style>
  <w:style w:type="paragraph" w:styleId="CommentText">
    <w:name w:val="annotation text"/>
    <w:basedOn w:val="Normal"/>
    <w:link w:val="CommentTextChar"/>
    <w:uiPriority w:val="99"/>
    <w:semiHidden/>
    <w:unhideWhenUsed/>
    <w:rsid w:val="00477B33"/>
    <w:pPr>
      <w:spacing w:line="240" w:lineRule="auto"/>
    </w:pPr>
    <w:rPr>
      <w:sz w:val="20"/>
      <w:szCs w:val="20"/>
    </w:rPr>
  </w:style>
  <w:style w:type="character" w:customStyle="1" w:styleId="CommentTextChar">
    <w:name w:val="Comment Text Char"/>
    <w:basedOn w:val="DefaultParagraphFont"/>
    <w:link w:val="CommentText"/>
    <w:uiPriority w:val="99"/>
    <w:semiHidden/>
    <w:rsid w:val="00477B33"/>
    <w:rPr>
      <w:rFonts w:eastAsiaTheme="minorEastAsia"/>
      <w:sz w:val="20"/>
      <w:szCs w:val="20"/>
      <w:lang w:eastAsia="zh-CN"/>
    </w:rPr>
  </w:style>
  <w:style w:type="paragraph" w:styleId="BalloonText">
    <w:name w:val="Balloon Text"/>
    <w:basedOn w:val="Normal"/>
    <w:link w:val="BalloonTextChar"/>
    <w:uiPriority w:val="99"/>
    <w:semiHidden/>
    <w:unhideWhenUsed/>
    <w:rsid w:val="00477B3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77B33"/>
    <w:rPr>
      <w:rFonts w:ascii="Segoe UI" w:eastAsiaTheme="minorEastAsia" w:hAnsi="Segoe UI" w:cs="Segoe UI"/>
      <w:sz w:val="18"/>
      <w:szCs w:val="18"/>
      <w:lang w:eastAsia="zh-CN"/>
    </w:rPr>
  </w:style>
  <w:style w:type="paragraph" w:styleId="CommentSubject">
    <w:name w:val="annotation subject"/>
    <w:basedOn w:val="CommentText"/>
    <w:next w:val="CommentText"/>
    <w:link w:val="CommentSubjectChar"/>
    <w:uiPriority w:val="99"/>
    <w:semiHidden/>
    <w:unhideWhenUsed/>
    <w:rsid w:val="00477B33"/>
    <w:rPr>
      <w:b/>
      <w:bCs/>
    </w:rPr>
  </w:style>
  <w:style w:type="character" w:customStyle="1" w:styleId="CommentSubjectChar">
    <w:name w:val="Comment Subject Char"/>
    <w:basedOn w:val="CommentTextChar"/>
    <w:link w:val="CommentSubject"/>
    <w:uiPriority w:val="99"/>
    <w:semiHidden/>
    <w:rsid w:val="00477B33"/>
    <w:rPr>
      <w:rFonts w:eastAsiaTheme="minorEastAsia"/>
      <w:b/>
      <w:bCs/>
      <w:sz w:val="20"/>
      <w:szCs w:val="20"/>
      <w:lang w:eastAsia="zh-CN"/>
    </w:rPr>
  </w:style>
  <w:style w:type="paragraph" w:styleId="FootnoteText">
    <w:name w:val="footnote text"/>
    <w:basedOn w:val="Normal"/>
    <w:link w:val="FootnoteTextChar"/>
    <w:uiPriority w:val="99"/>
    <w:unhideWhenUsed/>
    <w:rsid w:val="00477B33"/>
    <w:pPr>
      <w:spacing w:after="0" w:line="240" w:lineRule="auto"/>
    </w:pPr>
    <w:rPr>
      <w:sz w:val="20"/>
      <w:szCs w:val="20"/>
    </w:rPr>
  </w:style>
  <w:style w:type="character" w:customStyle="1" w:styleId="FootnoteTextChar">
    <w:name w:val="Footnote Text Char"/>
    <w:basedOn w:val="DefaultParagraphFont"/>
    <w:link w:val="FootnoteText"/>
    <w:uiPriority w:val="99"/>
    <w:rsid w:val="00477B33"/>
    <w:rPr>
      <w:rFonts w:eastAsiaTheme="minorEastAsia"/>
      <w:sz w:val="20"/>
      <w:szCs w:val="20"/>
      <w:lang w:eastAsia="zh-CN"/>
    </w:rPr>
  </w:style>
  <w:style w:type="character" w:styleId="FootnoteReference">
    <w:name w:val="footnote reference"/>
    <w:basedOn w:val="DefaultParagraphFont"/>
    <w:uiPriority w:val="99"/>
    <w:unhideWhenUsed/>
    <w:rsid w:val="00477B33"/>
    <w:rPr>
      <w:vertAlign w:val="superscript"/>
    </w:rPr>
  </w:style>
  <w:style w:type="paragraph" w:styleId="ListParagraph">
    <w:name w:val="List Paragraph"/>
    <w:basedOn w:val="Normal"/>
    <w:uiPriority w:val="34"/>
    <w:qFormat/>
    <w:rsid w:val="00477B33"/>
    <w:pPr>
      <w:ind w:left="720"/>
      <w:contextualSpacing/>
    </w:pPr>
  </w:style>
  <w:style w:type="paragraph" w:styleId="Header">
    <w:name w:val="header"/>
    <w:basedOn w:val="Normal"/>
    <w:link w:val="HeaderChar"/>
    <w:uiPriority w:val="99"/>
    <w:unhideWhenUsed/>
    <w:rsid w:val="00477B33"/>
    <w:pPr>
      <w:tabs>
        <w:tab w:val="center" w:pos="4513"/>
        <w:tab w:val="right" w:pos="9026"/>
      </w:tabs>
      <w:spacing w:after="0" w:line="240" w:lineRule="auto"/>
    </w:pPr>
  </w:style>
  <w:style w:type="character" w:customStyle="1" w:styleId="HeaderChar">
    <w:name w:val="Header Char"/>
    <w:basedOn w:val="DefaultParagraphFont"/>
    <w:link w:val="Header"/>
    <w:uiPriority w:val="99"/>
    <w:rsid w:val="00477B33"/>
    <w:rPr>
      <w:rFonts w:eastAsiaTheme="minorEastAsia"/>
      <w:lang w:eastAsia="zh-CN"/>
    </w:rPr>
  </w:style>
  <w:style w:type="paragraph" w:styleId="Footer">
    <w:name w:val="footer"/>
    <w:basedOn w:val="Normal"/>
    <w:link w:val="FooterChar"/>
    <w:uiPriority w:val="99"/>
    <w:unhideWhenUsed/>
    <w:rsid w:val="00477B33"/>
    <w:pPr>
      <w:tabs>
        <w:tab w:val="center" w:pos="4513"/>
        <w:tab w:val="right" w:pos="9026"/>
      </w:tabs>
      <w:spacing w:after="0" w:line="240" w:lineRule="auto"/>
    </w:pPr>
  </w:style>
  <w:style w:type="character" w:customStyle="1" w:styleId="FooterChar">
    <w:name w:val="Footer Char"/>
    <w:basedOn w:val="DefaultParagraphFont"/>
    <w:link w:val="Footer"/>
    <w:uiPriority w:val="99"/>
    <w:rsid w:val="00477B33"/>
    <w:rPr>
      <w:rFonts w:eastAsiaTheme="minorEastAsia"/>
      <w:lang w:eastAsia="zh-CN"/>
    </w:rPr>
  </w:style>
  <w:style w:type="character" w:styleId="EndnoteReference">
    <w:name w:val="endnote reference"/>
    <w:basedOn w:val="DefaultParagraphFont"/>
    <w:uiPriority w:val="99"/>
    <w:semiHidden/>
    <w:unhideWhenUsed/>
    <w:rsid w:val="00477B33"/>
    <w:rPr>
      <w:vertAlign w:val="superscript"/>
    </w:rPr>
  </w:style>
  <w:style w:type="paragraph" w:styleId="Quote">
    <w:name w:val="Quote"/>
    <w:basedOn w:val="Normal"/>
    <w:next w:val="Normal"/>
    <w:link w:val="QuoteChar"/>
    <w:uiPriority w:val="29"/>
    <w:qFormat/>
    <w:rsid w:val="0025452A"/>
    <w:pPr>
      <w:spacing w:line="240" w:lineRule="auto"/>
      <w:ind w:left="720"/>
    </w:pPr>
    <w:rPr>
      <w:iCs/>
      <w:sz w:val="22"/>
    </w:rPr>
  </w:style>
  <w:style w:type="paragraph" w:customStyle="1" w:styleId="Notasubsection">
    <w:name w:val="Not a subsection"/>
    <w:qFormat/>
    <w:rsid w:val="002F3CA5"/>
    <w:pPr>
      <w:spacing w:line="240" w:lineRule="auto"/>
      <w:ind w:left="720"/>
      <w:jc w:val="both"/>
    </w:pPr>
    <w:rPr>
      <w:rFonts w:ascii="Garamond" w:eastAsiaTheme="minorEastAsia" w:hAnsi="Garamond"/>
      <w:i/>
      <w:sz w:val="24"/>
      <w:szCs w:val="24"/>
      <w:lang w:eastAsia="zh-CN"/>
    </w:rPr>
  </w:style>
  <w:style w:type="paragraph" w:styleId="NormalIndent">
    <w:name w:val="Normal Indent"/>
    <w:basedOn w:val="Normal"/>
    <w:uiPriority w:val="99"/>
    <w:unhideWhenUsed/>
    <w:qFormat/>
    <w:rsid w:val="002F3CA5"/>
    <w:pPr>
      <w:ind w:firstLine="720"/>
    </w:pPr>
  </w:style>
  <w:style w:type="character" w:customStyle="1" w:styleId="QuoteChar">
    <w:name w:val="Quote Char"/>
    <w:basedOn w:val="DefaultParagraphFont"/>
    <w:link w:val="Quote"/>
    <w:uiPriority w:val="29"/>
    <w:rsid w:val="0025452A"/>
    <w:rPr>
      <w:rFonts w:ascii="Times New Roman" w:eastAsiaTheme="minorEastAsia" w:hAnsi="Times New Roman"/>
      <w:iCs/>
      <w:lang w:eastAsia="zh-CN"/>
    </w:rPr>
  </w:style>
  <w:style w:type="paragraph" w:styleId="NormalWeb">
    <w:name w:val="Normal (Web)"/>
    <w:basedOn w:val="Normal"/>
    <w:uiPriority w:val="99"/>
    <w:unhideWhenUsed/>
    <w:rsid w:val="001139CD"/>
    <w:pPr>
      <w:spacing w:before="100" w:beforeAutospacing="1" w:after="100" w:afterAutospacing="1" w:line="240" w:lineRule="auto"/>
      <w:jc w:val="left"/>
    </w:pPr>
    <w:rPr>
      <w:rFonts w:cs="Times New Roman"/>
      <w:sz w:val="20"/>
      <w:szCs w:val="20"/>
      <w:lang w:eastAsia="en-US"/>
    </w:rPr>
  </w:style>
  <w:style w:type="paragraph" w:customStyle="1" w:styleId="normal0">
    <w:name w:val="normal"/>
    <w:rsid w:val="00460259"/>
    <w:pPr>
      <w:spacing w:after="0" w:line="276" w:lineRule="auto"/>
    </w:pPr>
    <w:rPr>
      <w:rFonts w:ascii="Arial" w:eastAsia="Arial" w:hAnsi="Arial" w:cs="Arial"/>
      <w:lang w:val="uz-Cyrl-UZ"/>
    </w:rPr>
  </w:style>
  <w:style w:type="character" w:styleId="FollowedHyperlink">
    <w:name w:val="FollowedHyperlink"/>
    <w:basedOn w:val="DefaultParagraphFont"/>
    <w:uiPriority w:val="99"/>
    <w:semiHidden/>
    <w:unhideWhenUsed/>
    <w:rsid w:val="0026196C"/>
    <w:rPr>
      <w:color w:val="954F72" w:themeColor="followedHyperlink"/>
      <w:u w:val="single"/>
    </w:rPr>
  </w:style>
  <w:style w:type="character" w:styleId="PageNumber">
    <w:name w:val="page number"/>
    <w:basedOn w:val="DefaultParagraphFont"/>
    <w:uiPriority w:val="99"/>
    <w:semiHidden/>
    <w:unhideWhenUsed/>
    <w:rsid w:val="00A61532"/>
  </w:style>
  <w:style w:type="paragraph" w:customStyle="1" w:styleId="Normal1">
    <w:name w:val="Normal1"/>
    <w:rsid w:val="00AC10E7"/>
    <w:pPr>
      <w:spacing w:after="0" w:line="276" w:lineRule="auto"/>
    </w:pPr>
    <w:rPr>
      <w:rFonts w:ascii="Arial" w:eastAsia="Arial" w:hAnsi="Arial" w:cs="Arial"/>
      <w:lang w:val="uz-Cyrl-UZ"/>
    </w:rPr>
  </w:style>
  <w:style w:type="character" w:customStyle="1" w:styleId="apple-converted-space">
    <w:name w:val="apple-converted-space"/>
    <w:basedOn w:val="DefaultParagraphFont"/>
    <w:rsid w:val="00BF5A40"/>
  </w:style>
  <w:style w:type="character" w:styleId="Strong">
    <w:name w:val="Strong"/>
    <w:basedOn w:val="DefaultParagraphFont"/>
    <w:uiPriority w:val="22"/>
    <w:qFormat/>
    <w:rsid w:val="00BF5A40"/>
    <w:rPr>
      <w:b/>
      <w:bCs/>
    </w:rPr>
  </w:style>
  <w:style w:type="table" w:styleId="TableGrid">
    <w:name w:val="Table Grid"/>
    <w:basedOn w:val="TableNormal"/>
    <w:uiPriority w:val="39"/>
    <w:rsid w:val="0056026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ableofFigures">
    <w:name w:val="table of figures"/>
    <w:basedOn w:val="Normal"/>
    <w:next w:val="Normal"/>
    <w:uiPriority w:val="99"/>
    <w:unhideWhenUsed/>
    <w:rsid w:val="00866CC0"/>
    <w:pPr>
      <w:ind w:left="480" w:hanging="480"/>
    </w:pPr>
  </w:style>
  <w:style w:type="character" w:customStyle="1" w:styleId="Heading5Char">
    <w:name w:val="Heading 5 Char"/>
    <w:basedOn w:val="DefaultParagraphFont"/>
    <w:link w:val="Heading5"/>
    <w:uiPriority w:val="9"/>
    <w:rsid w:val="00324502"/>
    <w:rPr>
      <w:rFonts w:ascii="Times New Roman" w:eastAsiaTheme="majorEastAsia" w:hAnsi="Times New Roman" w:cstheme="majorBidi"/>
      <w:b/>
      <w:sz w:val="20"/>
      <w:lang w:eastAsia="zh-CN"/>
    </w:rPr>
  </w:style>
  <w:style w:type="character" w:customStyle="1" w:styleId="Heading6Char">
    <w:name w:val="Heading 6 Char"/>
    <w:basedOn w:val="DefaultParagraphFont"/>
    <w:link w:val="Heading6"/>
    <w:uiPriority w:val="9"/>
    <w:rsid w:val="00324502"/>
    <w:rPr>
      <w:rFonts w:ascii="Times New Roman" w:eastAsiaTheme="majorEastAsia" w:hAnsi="Times New Roman" w:cstheme="majorBidi"/>
      <w:b/>
      <w:iCs/>
      <w:sz w:val="20"/>
      <w:lang w:eastAsia="zh-CN"/>
    </w:rPr>
  </w:style>
  <w:style w:type="character" w:customStyle="1" w:styleId="date-display-single">
    <w:name w:val="date-display-single"/>
    <w:basedOn w:val="DefaultParagraphFont"/>
    <w:rsid w:val="005244E9"/>
  </w:style>
  <w:style w:type="character" w:styleId="Emphasis">
    <w:name w:val="Emphasis"/>
    <w:basedOn w:val="DefaultParagraphFont"/>
    <w:uiPriority w:val="20"/>
    <w:qFormat/>
    <w:rsid w:val="00B91A3C"/>
    <w:rPr>
      <w:i/>
      <w:i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60663"/>
    <w:pPr>
      <w:spacing w:line="360" w:lineRule="auto"/>
      <w:jc w:val="both"/>
    </w:pPr>
    <w:rPr>
      <w:rFonts w:ascii="Times New Roman" w:eastAsiaTheme="minorEastAsia" w:hAnsi="Times New Roman"/>
      <w:sz w:val="24"/>
      <w:lang w:eastAsia="zh-CN"/>
    </w:rPr>
  </w:style>
  <w:style w:type="paragraph" w:styleId="Heading1">
    <w:name w:val="heading 1"/>
    <w:basedOn w:val="Normal"/>
    <w:next w:val="Normal"/>
    <w:link w:val="Heading1Char"/>
    <w:uiPriority w:val="9"/>
    <w:qFormat/>
    <w:rsid w:val="00477B33"/>
    <w:pPr>
      <w:keepNext/>
      <w:keepLines/>
      <w:pageBreakBefore/>
      <w:jc w:val="center"/>
      <w:outlineLvl w:val="0"/>
    </w:pPr>
    <w:rPr>
      <w:rFonts w:eastAsiaTheme="majorEastAsia" w:cstheme="majorBidi"/>
      <w:b/>
      <w:sz w:val="28"/>
      <w:szCs w:val="32"/>
      <w:u w:val="single"/>
    </w:rPr>
  </w:style>
  <w:style w:type="paragraph" w:styleId="Heading2">
    <w:name w:val="heading 2"/>
    <w:basedOn w:val="Normal"/>
    <w:next w:val="Normal"/>
    <w:link w:val="Heading2Char"/>
    <w:uiPriority w:val="9"/>
    <w:unhideWhenUsed/>
    <w:qFormat/>
    <w:rsid w:val="00042B6D"/>
    <w:pPr>
      <w:keepNext/>
      <w:keepLines/>
      <w:spacing w:line="240" w:lineRule="auto"/>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786049"/>
    <w:pPr>
      <w:keepNext/>
      <w:keepLines/>
      <w:spacing w:line="240" w:lineRule="auto"/>
      <w:ind w:left="720"/>
      <w:jc w:val="left"/>
      <w:outlineLvl w:val="2"/>
    </w:pPr>
    <w:rPr>
      <w:rFonts w:eastAsiaTheme="majorEastAsia" w:cstheme="majorBidi"/>
      <w:b/>
      <w:szCs w:val="24"/>
    </w:rPr>
  </w:style>
  <w:style w:type="paragraph" w:styleId="Heading4">
    <w:name w:val="heading 4"/>
    <w:basedOn w:val="Normal"/>
    <w:next w:val="Normal"/>
    <w:link w:val="Heading4Char"/>
    <w:uiPriority w:val="9"/>
    <w:unhideWhenUsed/>
    <w:qFormat/>
    <w:rsid w:val="00324502"/>
    <w:pPr>
      <w:keepNext/>
      <w:keepLines/>
      <w:spacing w:before="40" w:after="0"/>
      <w:outlineLvl w:val="3"/>
    </w:pPr>
    <w:rPr>
      <w:rFonts w:eastAsiaTheme="majorEastAsia" w:cstheme="majorBidi"/>
      <w:b/>
      <w:iCs/>
      <w:color w:val="000000" w:themeColor="text1"/>
      <w:sz w:val="20"/>
    </w:rPr>
  </w:style>
  <w:style w:type="paragraph" w:styleId="Heading5">
    <w:name w:val="heading 5"/>
    <w:basedOn w:val="Normal"/>
    <w:next w:val="Normal"/>
    <w:link w:val="Heading5Char"/>
    <w:uiPriority w:val="9"/>
    <w:unhideWhenUsed/>
    <w:qFormat/>
    <w:rsid w:val="00324502"/>
    <w:pPr>
      <w:keepNext/>
      <w:keepLines/>
      <w:spacing w:before="200" w:after="0"/>
      <w:outlineLvl w:val="4"/>
    </w:pPr>
    <w:rPr>
      <w:rFonts w:eastAsiaTheme="majorEastAsia" w:cstheme="majorBidi"/>
      <w:b/>
      <w:sz w:val="20"/>
    </w:rPr>
  </w:style>
  <w:style w:type="paragraph" w:styleId="Heading6">
    <w:name w:val="heading 6"/>
    <w:basedOn w:val="Normal"/>
    <w:next w:val="Normal"/>
    <w:link w:val="Heading6Char"/>
    <w:uiPriority w:val="9"/>
    <w:unhideWhenUsed/>
    <w:qFormat/>
    <w:rsid w:val="00324502"/>
    <w:pPr>
      <w:keepNext/>
      <w:keepLines/>
      <w:spacing w:before="200" w:after="0"/>
      <w:outlineLvl w:val="5"/>
    </w:pPr>
    <w:rPr>
      <w:rFonts w:eastAsiaTheme="majorEastAsia" w:cstheme="majorBidi"/>
      <w:b/>
      <w:i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77B33"/>
    <w:rPr>
      <w:rFonts w:ascii="Garamond" w:eastAsiaTheme="majorEastAsia" w:hAnsi="Garamond" w:cstheme="majorBidi"/>
      <w:b/>
      <w:sz w:val="28"/>
      <w:szCs w:val="32"/>
      <w:u w:val="single"/>
      <w:lang w:eastAsia="zh-CN"/>
    </w:rPr>
  </w:style>
  <w:style w:type="character" w:customStyle="1" w:styleId="Heading2Char">
    <w:name w:val="Heading 2 Char"/>
    <w:basedOn w:val="DefaultParagraphFont"/>
    <w:link w:val="Heading2"/>
    <w:uiPriority w:val="9"/>
    <w:rsid w:val="00042B6D"/>
    <w:rPr>
      <w:rFonts w:ascii="Garamond" w:eastAsiaTheme="majorEastAsia" w:hAnsi="Garamond" w:cstheme="majorBidi"/>
      <w:b/>
      <w:sz w:val="24"/>
      <w:szCs w:val="26"/>
      <w:lang w:eastAsia="zh-CN"/>
    </w:rPr>
  </w:style>
  <w:style w:type="character" w:customStyle="1" w:styleId="Heading3Char">
    <w:name w:val="Heading 3 Char"/>
    <w:basedOn w:val="DefaultParagraphFont"/>
    <w:link w:val="Heading3"/>
    <w:uiPriority w:val="9"/>
    <w:rsid w:val="00786049"/>
    <w:rPr>
      <w:rFonts w:ascii="Garamond" w:eastAsiaTheme="majorEastAsia" w:hAnsi="Garamond" w:cstheme="majorBidi"/>
      <w:b/>
      <w:sz w:val="24"/>
      <w:szCs w:val="24"/>
      <w:lang w:eastAsia="zh-CN"/>
    </w:rPr>
  </w:style>
  <w:style w:type="character" w:customStyle="1" w:styleId="Heading4Char">
    <w:name w:val="Heading 4 Char"/>
    <w:basedOn w:val="DefaultParagraphFont"/>
    <w:link w:val="Heading4"/>
    <w:uiPriority w:val="9"/>
    <w:rsid w:val="00324502"/>
    <w:rPr>
      <w:rFonts w:ascii="Times New Roman" w:eastAsiaTheme="majorEastAsia" w:hAnsi="Times New Roman" w:cstheme="majorBidi"/>
      <w:b/>
      <w:iCs/>
      <w:color w:val="000000" w:themeColor="text1"/>
      <w:sz w:val="20"/>
      <w:lang w:eastAsia="zh-CN"/>
    </w:rPr>
  </w:style>
  <w:style w:type="paragraph" w:styleId="TOCHeading">
    <w:name w:val="TOC Heading"/>
    <w:basedOn w:val="Heading1"/>
    <w:next w:val="Normal"/>
    <w:uiPriority w:val="39"/>
    <w:unhideWhenUsed/>
    <w:qFormat/>
    <w:rsid w:val="00D11FA9"/>
    <w:pPr>
      <w:outlineLvl w:val="9"/>
    </w:pPr>
    <w:rPr>
      <w:lang w:val="en-US"/>
    </w:rPr>
  </w:style>
  <w:style w:type="paragraph" w:styleId="TOC1">
    <w:name w:val="toc 1"/>
    <w:basedOn w:val="Normal"/>
    <w:next w:val="Normal"/>
    <w:autoRedefine/>
    <w:uiPriority w:val="39"/>
    <w:unhideWhenUsed/>
    <w:rsid w:val="00C5504F"/>
    <w:pPr>
      <w:spacing w:before="100" w:after="100" w:line="240" w:lineRule="auto"/>
    </w:pPr>
  </w:style>
  <w:style w:type="paragraph" w:styleId="TOC2">
    <w:name w:val="toc 2"/>
    <w:basedOn w:val="Normal"/>
    <w:next w:val="Normal"/>
    <w:autoRedefine/>
    <w:uiPriority w:val="39"/>
    <w:unhideWhenUsed/>
    <w:rsid w:val="00C5504F"/>
    <w:pPr>
      <w:spacing w:after="0" w:line="240" w:lineRule="auto"/>
      <w:ind w:left="221" w:right="284"/>
    </w:pPr>
  </w:style>
  <w:style w:type="paragraph" w:styleId="TOC3">
    <w:name w:val="toc 3"/>
    <w:basedOn w:val="Normal"/>
    <w:next w:val="Normal"/>
    <w:autoRedefine/>
    <w:uiPriority w:val="39"/>
    <w:unhideWhenUsed/>
    <w:rsid w:val="00DE131E"/>
    <w:pPr>
      <w:spacing w:after="0" w:line="240" w:lineRule="auto"/>
      <w:ind w:left="442"/>
    </w:pPr>
  </w:style>
  <w:style w:type="character" w:styleId="Hyperlink">
    <w:name w:val="Hyperlink"/>
    <w:basedOn w:val="DefaultParagraphFont"/>
    <w:uiPriority w:val="99"/>
    <w:unhideWhenUsed/>
    <w:rsid w:val="001C09C1"/>
    <w:rPr>
      <w:color w:val="0563C1" w:themeColor="hyperlink"/>
      <w:u w:val="single"/>
    </w:rPr>
  </w:style>
  <w:style w:type="paragraph" w:styleId="TOC4">
    <w:name w:val="toc 4"/>
    <w:basedOn w:val="Normal"/>
    <w:next w:val="Normal"/>
    <w:autoRedefine/>
    <w:uiPriority w:val="39"/>
    <w:unhideWhenUsed/>
    <w:rsid w:val="00477B33"/>
    <w:pPr>
      <w:spacing w:after="100"/>
      <w:ind w:left="660"/>
    </w:pPr>
  </w:style>
  <w:style w:type="character" w:styleId="CommentReference">
    <w:name w:val="annotation reference"/>
    <w:basedOn w:val="DefaultParagraphFont"/>
    <w:uiPriority w:val="99"/>
    <w:semiHidden/>
    <w:unhideWhenUsed/>
    <w:rsid w:val="00477B33"/>
    <w:rPr>
      <w:sz w:val="16"/>
      <w:szCs w:val="16"/>
    </w:rPr>
  </w:style>
  <w:style w:type="paragraph" w:styleId="CommentText">
    <w:name w:val="annotation text"/>
    <w:basedOn w:val="Normal"/>
    <w:link w:val="CommentTextChar"/>
    <w:uiPriority w:val="99"/>
    <w:semiHidden/>
    <w:unhideWhenUsed/>
    <w:rsid w:val="00477B33"/>
    <w:pPr>
      <w:spacing w:line="240" w:lineRule="auto"/>
    </w:pPr>
    <w:rPr>
      <w:sz w:val="20"/>
      <w:szCs w:val="20"/>
    </w:rPr>
  </w:style>
  <w:style w:type="character" w:customStyle="1" w:styleId="CommentTextChar">
    <w:name w:val="Comment Text Char"/>
    <w:basedOn w:val="DefaultParagraphFont"/>
    <w:link w:val="CommentText"/>
    <w:uiPriority w:val="99"/>
    <w:semiHidden/>
    <w:rsid w:val="00477B33"/>
    <w:rPr>
      <w:rFonts w:eastAsiaTheme="minorEastAsia"/>
      <w:sz w:val="20"/>
      <w:szCs w:val="20"/>
      <w:lang w:eastAsia="zh-CN"/>
    </w:rPr>
  </w:style>
  <w:style w:type="paragraph" w:styleId="BalloonText">
    <w:name w:val="Balloon Text"/>
    <w:basedOn w:val="Normal"/>
    <w:link w:val="BalloonTextChar"/>
    <w:uiPriority w:val="99"/>
    <w:semiHidden/>
    <w:unhideWhenUsed/>
    <w:rsid w:val="00477B3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77B33"/>
    <w:rPr>
      <w:rFonts w:ascii="Segoe UI" w:eastAsiaTheme="minorEastAsia" w:hAnsi="Segoe UI" w:cs="Segoe UI"/>
      <w:sz w:val="18"/>
      <w:szCs w:val="18"/>
      <w:lang w:eastAsia="zh-CN"/>
    </w:rPr>
  </w:style>
  <w:style w:type="paragraph" w:styleId="CommentSubject">
    <w:name w:val="annotation subject"/>
    <w:basedOn w:val="CommentText"/>
    <w:next w:val="CommentText"/>
    <w:link w:val="CommentSubjectChar"/>
    <w:uiPriority w:val="99"/>
    <w:semiHidden/>
    <w:unhideWhenUsed/>
    <w:rsid w:val="00477B33"/>
    <w:rPr>
      <w:b/>
      <w:bCs/>
    </w:rPr>
  </w:style>
  <w:style w:type="character" w:customStyle="1" w:styleId="CommentSubjectChar">
    <w:name w:val="Comment Subject Char"/>
    <w:basedOn w:val="CommentTextChar"/>
    <w:link w:val="CommentSubject"/>
    <w:uiPriority w:val="99"/>
    <w:semiHidden/>
    <w:rsid w:val="00477B33"/>
    <w:rPr>
      <w:rFonts w:eastAsiaTheme="minorEastAsia"/>
      <w:b/>
      <w:bCs/>
      <w:sz w:val="20"/>
      <w:szCs w:val="20"/>
      <w:lang w:eastAsia="zh-CN"/>
    </w:rPr>
  </w:style>
  <w:style w:type="paragraph" w:styleId="FootnoteText">
    <w:name w:val="footnote text"/>
    <w:basedOn w:val="Normal"/>
    <w:link w:val="FootnoteTextChar"/>
    <w:uiPriority w:val="99"/>
    <w:unhideWhenUsed/>
    <w:rsid w:val="00477B33"/>
    <w:pPr>
      <w:spacing w:after="0" w:line="240" w:lineRule="auto"/>
    </w:pPr>
    <w:rPr>
      <w:sz w:val="20"/>
      <w:szCs w:val="20"/>
    </w:rPr>
  </w:style>
  <w:style w:type="character" w:customStyle="1" w:styleId="FootnoteTextChar">
    <w:name w:val="Footnote Text Char"/>
    <w:basedOn w:val="DefaultParagraphFont"/>
    <w:link w:val="FootnoteText"/>
    <w:uiPriority w:val="99"/>
    <w:rsid w:val="00477B33"/>
    <w:rPr>
      <w:rFonts w:eastAsiaTheme="minorEastAsia"/>
      <w:sz w:val="20"/>
      <w:szCs w:val="20"/>
      <w:lang w:eastAsia="zh-CN"/>
    </w:rPr>
  </w:style>
  <w:style w:type="character" w:styleId="FootnoteReference">
    <w:name w:val="footnote reference"/>
    <w:basedOn w:val="DefaultParagraphFont"/>
    <w:uiPriority w:val="99"/>
    <w:unhideWhenUsed/>
    <w:rsid w:val="00477B33"/>
    <w:rPr>
      <w:vertAlign w:val="superscript"/>
    </w:rPr>
  </w:style>
  <w:style w:type="paragraph" w:styleId="ListParagraph">
    <w:name w:val="List Paragraph"/>
    <w:basedOn w:val="Normal"/>
    <w:uiPriority w:val="34"/>
    <w:qFormat/>
    <w:rsid w:val="00477B33"/>
    <w:pPr>
      <w:ind w:left="720"/>
      <w:contextualSpacing/>
    </w:pPr>
  </w:style>
  <w:style w:type="paragraph" w:styleId="Header">
    <w:name w:val="header"/>
    <w:basedOn w:val="Normal"/>
    <w:link w:val="HeaderChar"/>
    <w:uiPriority w:val="99"/>
    <w:unhideWhenUsed/>
    <w:rsid w:val="00477B33"/>
    <w:pPr>
      <w:tabs>
        <w:tab w:val="center" w:pos="4513"/>
        <w:tab w:val="right" w:pos="9026"/>
      </w:tabs>
      <w:spacing w:after="0" w:line="240" w:lineRule="auto"/>
    </w:pPr>
  </w:style>
  <w:style w:type="character" w:customStyle="1" w:styleId="HeaderChar">
    <w:name w:val="Header Char"/>
    <w:basedOn w:val="DefaultParagraphFont"/>
    <w:link w:val="Header"/>
    <w:uiPriority w:val="99"/>
    <w:rsid w:val="00477B33"/>
    <w:rPr>
      <w:rFonts w:eastAsiaTheme="minorEastAsia"/>
      <w:lang w:eastAsia="zh-CN"/>
    </w:rPr>
  </w:style>
  <w:style w:type="paragraph" w:styleId="Footer">
    <w:name w:val="footer"/>
    <w:basedOn w:val="Normal"/>
    <w:link w:val="FooterChar"/>
    <w:uiPriority w:val="99"/>
    <w:unhideWhenUsed/>
    <w:rsid w:val="00477B33"/>
    <w:pPr>
      <w:tabs>
        <w:tab w:val="center" w:pos="4513"/>
        <w:tab w:val="right" w:pos="9026"/>
      </w:tabs>
      <w:spacing w:after="0" w:line="240" w:lineRule="auto"/>
    </w:pPr>
  </w:style>
  <w:style w:type="character" w:customStyle="1" w:styleId="FooterChar">
    <w:name w:val="Footer Char"/>
    <w:basedOn w:val="DefaultParagraphFont"/>
    <w:link w:val="Footer"/>
    <w:uiPriority w:val="99"/>
    <w:rsid w:val="00477B33"/>
    <w:rPr>
      <w:rFonts w:eastAsiaTheme="minorEastAsia"/>
      <w:lang w:eastAsia="zh-CN"/>
    </w:rPr>
  </w:style>
  <w:style w:type="character" w:styleId="EndnoteReference">
    <w:name w:val="endnote reference"/>
    <w:basedOn w:val="DefaultParagraphFont"/>
    <w:uiPriority w:val="99"/>
    <w:semiHidden/>
    <w:unhideWhenUsed/>
    <w:rsid w:val="00477B33"/>
    <w:rPr>
      <w:vertAlign w:val="superscript"/>
    </w:rPr>
  </w:style>
  <w:style w:type="paragraph" w:styleId="Quote">
    <w:name w:val="Quote"/>
    <w:basedOn w:val="Normal"/>
    <w:next w:val="Normal"/>
    <w:link w:val="QuoteChar"/>
    <w:uiPriority w:val="29"/>
    <w:qFormat/>
    <w:rsid w:val="0025452A"/>
    <w:pPr>
      <w:spacing w:line="240" w:lineRule="auto"/>
      <w:ind w:left="720"/>
    </w:pPr>
    <w:rPr>
      <w:iCs/>
      <w:sz w:val="22"/>
    </w:rPr>
  </w:style>
  <w:style w:type="paragraph" w:customStyle="1" w:styleId="Notasubsection">
    <w:name w:val="Not a subsection"/>
    <w:qFormat/>
    <w:rsid w:val="002F3CA5"/>
    <w:pPr>
      <w:spacing w:line="240" w:lineRule="auto"/>
      <w:ind w:left="720"/>
      <w:jc w:val="both"/>
    </w:pPr>
    <w:rPr>
      <w:rFonts w:ascii="Garamond" w:eastAsiaTheme="minorEastAsia" w:hAnsi="Garamond"/>
      <w:i/>
      <w:sz w:val="24"/>
      <w:szCs w:val="24"/>
      <w:lang w:eastAsia="zh-CN"/>
    </w:rPr>
  </w:style>
  <w:style w:type="paragraph" w:styleId="NormalIndent">
    <w:name w:val="Normal Indent"/>
    <w:basedOn w:val="Normal"/>
    <w:uiPriority w:val="99"/>
    <w:unhideWhenUsed/>
    <w:qFormat/>
    <w:rsid w:val="002F3CA5"/>
    <w:pPr>
      <w:ind w:firstLine="720"/>
    </w:pPr>
  </w:style>
  <w:style w:type="character" w:customStyle="1" w:styleId="QuoteChar">
    <w:name w:val="Quote Char"/>
    <w:basedOn w:val="DefaultParagraphFont"/>
    <w:link w:val="Quote"/>
    <w:uiPriority w:val="29"/>
    <w:rsid w:val="0025452A"/>
    <w:rPr>
      <w:rFonts w:ascii="Times New Roman" w:eastAsiaTheme="minorEastAsia" w:hAnsi="Times New Roman"/>
      <w:iCs/>
      <w:lang w:eastAsia="zh-CN"/>
    </w:rPr>
  </w:style>
  <w:style w:type="paragraph" w:styleId="NormalWeb">
    <w:name w:val="Normal (Web)"/>
    <w:basedOn w:val="Normal"/>
    <w:uiPriority w:val="99"/>
    <w:unhideWhenUsed/>
    <w:rsid w:val="001139CD"/>
    <w:pPr>
      <w:spacing w:before="100" w:beforeAutospacing="1" w:after="100" w:afterAutospacing="1" w:line="240" w:lineRule="auto"/>
      <w:jc w:val="left"/>
    </w:pPr>
    <w:rPr>
      <w:rFonts w:cs="Times New Roman"/>
      <w:sz w:val="20"/>
      <w:szCs w:val="20"/>
      <w:lang w:eastAsia="en-US"/>
    </w:rPr>
  </w:style>
  <w:style w:type="paragraph" w:customStyle="1" w:styleId="normal0">
    <w:name w:val="normal"/>
    <w:rsid w:val="00460259"/>
    <w:pPr>
      <w:spacing w:after="0" w:line="276" w:lineRule="auto"/>
    </w:pPr>
    <w:rPr>
      <w:rFonts w:ascii="Arial" w:eastAsia="Arial" w:hAnsi="Arial" w:cs="Arial"/>
      <w:lang w:val="uz-Cyrl-UZ"/>
    </w:rPr>
  </w:style>
  <w:style w:type="character" w:styleId="FollowedHyperlink">
    <w:name w:val="FollowedHyperlink"/>
    <w:basedOn w:val="DefaultParagraphFont"/>
    <w:uiPriority w:val="99"/>
    <w:semiHidden/>
    <w:unhideWhenUsed/>
    <w:rsid w:val="0026196C"/>
    <w:rPr>
      <w:color w:val="954F72" w:themeColor="followedHyperlink"/>
      <w:u w:val="single"/>
    </w:rPr>
  </w:style>
  <w:style w:type="character" w:styleId="PageNumber">
    <w:name w:val="page number"/>
    <w:basedOn w:val="DefaultParagraphFont"/>
    <w:uiPriority w:val="99"/>
    <w:semiHidden/>
    <w:unhideWhenUsed/>
    <w:rsid w:val="00A61532"/>
  </w:style>
  <w:style w:type="paragraph" w:customStyle="1" w:styleId="Normal1">
    <w:name w:val="Normal1"/>
    <w:rsid w:val="00AC10E7"/>
    <w:pPr>
      <w:spacing w:after="0" w:line="276" w:lineRule="auto"/>
    </w:pPr>
    <w:rPr>
      <w:rFonts w:ascii="Arial" w:eastAsia="Arial" w:hAnsi="Arial" w:cs="Arial"/>
      <w:lang w:val="uz-Cyrl-UZ"/>
    </w:rPr>
  </w:style>
  <w:style w:type="character" w:customStyle="1" w:styleId="apple-converted-space">
    <w:name w:val="apple-converted-space"/>
    <w:basedOn w:val="DefaultParagraphFont"/>
    <w:rsid w:val="00BF5A40"/>
  </w:style>
  <w:style w:type="character" w:styleId="Strong">
    <w:name w:val="Strong"/>
    <w:basedOn w:val="DefaultParagraphFont"/>
    <w:uiPriority w:val="22"/>
    <w:qFormat/>
    <w:rsid w:val="00BF5A40"/>
    <w:rPr>
      <w:b/>
      <w:bCs/>
    </w:rPr>
  </w:style>
  <w:style w:type="table" w:styleId="TableGrid">
    <w:name w:val="Table Grid"/>
    <w:basedOn w:val="TableNormal"/>
    <w:uiPriority w:val="39"/>
    <w:rsid w:val="0056026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ableofFigures">
    <w:name w:val="table of figures"/>
    <w:basedOn w:val="Normal"/>
    <w:next w:val="Normal"/>
    <w:uiPriority w:val="99"/>
    <w:unhideWhenUsed/>
    <w:rsid w:val="00866CC0"/>
    <w:pPr>
      <w:ind w:left="480" w:hanging="480"/>
    </w:pPr>
  </w:style>
  <w:style w:type="character" w:customStyle="1" w:styleId="Heading5Char">
    <w:name w:val="Heading 5 Char"/>
    <w:basedOn w:val="DefaultParagraphFont"/>
    <w:link w:val="Heading5"/>
    <w:uiPriority w:val="9"/>
    <w:rsid w:val="00324502"/>
    <w:rPr>
      <w:rFonts w:ascii="Times New Roman" w:eastAsiaTheme="majorEastAsia" w:hAnsi="Times New Roman" w:cstheme="majorBidi"/>
      <w:b/>
      <w:sz w:val="20"/>
      <w:lang w:eastAsia="zh-CN"/>
    </w:rPr>
  </w:style>
  <w:style w:type="character" w:customStyle="1" w:styleId="Heading6Char">
    <w:name w:val="Heading 6 Char"/>
    <w:basedOn w:val="DefaultParagraphFont"/>
    <w:link w:val="Heading6"/>
    <w:uiPriority w:val="9"/>
    <w:rsid w:val="00324502"/>
    <w:rPr>
      <w:rFonts w:ascii="Times New Roman" w:eastAsiaTheme="majorEastAsia" w:hAnsi="Times New Roman" w:cstheme="majorBidi"/>
      <w:b/>
      <w:iCs/>
      <w:sz w:val="20"/>
      <w:lang w:eastAsia="zh-CN"/>
    </w:rPr>
  </w:style>
  <w:style w:type="character" w:customStyle="1" w:styleId="date-display-single">
    <w:name w:val="date-display-single"/>
    <w:basedOn w:val="DefaultParagraphFont"/>
    <w:rsid w:val="005244E9"/>
  </w:style>
  <w:style w:type="character" w:styleId="Emphasis">
    <w:name w:val="Emphasis"/>
    <w:basedOn w:val="DefaultParagraphFont"/>
    <w:uiPriority w:val="20"/>
    <w:qFormat/>
    <w:rsid w:val="00B91A3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276663">
      <w:bodyDiv w:val="1"/>
      <w:marLeft w:val="0"/>
      <w:marRight w:val="0"/>
      <w:marTop w:val="0"/>
      <w:marBottom w:val="0"/>
      <w:divBdr>
        <w:top w:val="none" w:sz="0" w:space="0" w:color="auto"/>
        <w:left w:val="none" w:sz="0" w:space="0" w:color="auto"/>
        <w:bottom w:val="none" w:sz="0" w:space="0" w:color="auto"/>
        <w:right w:val="none" w:sz="0" w:space="0" w:color="auto"/>
      </w:divBdr>
    </w:div>
    <w:div w:id="138151720">
      <w:bodyDiv w:val="1"/>
      <w:marLeft w:val="0"/>
      <w:marRight w:val="0"/>
      <w:marTop w:val="0"/>
      <w:marBottom w:val="0"/>
      <w:divBdr>
        <w:top w:val="none" w:sz="0" w:space="0" w:color="auto"/>
        <w:left w:val="none" w:sz="0" w:space="0" w:color="auto"/>
        <w:bottom w:val="none" w:sz="0" w:space="0" w:color="auto"/>
        <w:right w:val="none" w:sz="0" w:space="0" w:color="auto"/>
      </w:divBdr>
    </w:div>
    <w:div w:id="192890978">
      <w:bodyDiv w:val="1"/>
      <w:marLeft w:val="0"/>
      <w:marRight w:val="0"/>
      <w:marTop w:val="0"/>
      <w:marBottom w:val="0"/>
      <w:divBdr>
        <w:top w:val="none" w:sz="0" w:space="0" w:color="auto"/>
        <w:left w:val="none" w:sz="0" w:space="0" w:color="auto"/>
        <w:bottom w:val="none" w:sz="0" w:space="0" w:color="auto"/>
        <w:right w:val="none" w:sz="0" w:space="0" w:color="auto"/>
      </w:divBdr>
      <w:divsChild>
        <w:div w:id="119349424">
          <w:marLeft w:val="0"/>
          <w:marRight w:val="0"/>
          <w:marTop w:val="0"/>
          <w:marBottom w:val="0"/>
          <w:divBdr>
            <w:top w:val="none" w:sz="0" w:space="0" w:color="auto"/>
            <w:left w:val="none" w:sz="0" w:space="0" w:color="auto"/>
            <w:bottom w:val="none" w:sz="0" w:space="0" w:color="auto"/>
            <w:right w:val="none" w:sz="0" w:space="0" w:color="auto"/>
          </w:divBdr>
          <w:divsChild>
            <w:div w:id="78602977">
              <w:marLeft w:val="0"/>
              <w:marRight w:val="0"/>
              <w:marTop w:val="0"/>
              <w:marBottom w:val="0"/>
              <w:divBdr>
                <w:top w:val="none" w:sz="0" w:space="0" w:color="auto"/>
                <w:left w:val="none" w:sz="0" w:space="0" w:color="auto"/>
                <w:bottom w:val="none" w:sz="0" w:space="0" w:color="auto"/>
                <w:right w:val="none" w:sz="0" w:space="0" w:color="auto"/>
              </w:divBdr>
              <w:divsChild>
                <w:div w:id="184813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8735984">
      <w:bodyDiv w:val="1"/>
      <w:marLeft w:val="0"/>
      <w:marRight w:val="0"/>
      <w:marTop w:val="0"/>
      <w:marBottom w:val="0"/>
      <w:divBdr>
        <w:top w:val="none" w:sz="0" w:space="0" w:color="auto"/>
        <w:left w:val="none" w:sz="0" w:space="0" w:color="auto"/>
        <w:bottom w:val="none" w:sz="0" w:space="0" w:color="auto"/>
        <w:right w:val="none" w:sz="0" w:space="0" w:color="auto"/>
      </w:divBdr>
      <w:divsChild>
        <w:div w:id="244460080">
          <w:marLeft w:val="0"/>
          <w:marRight w:val="0"/>
          <w:marTop w:val="0"/>
          <w:marBottom w:val="0"/>
          <w:divBdr>
            <w:top w:val="none" w:sz="0" w:space="0" w:color="auto"/>
            <w:left w:val="none" w:sz="0" w:space="0" w:color="auto"/>
            <w:bottom w:val="none" w:sz="0" w:space="0" w:color="auto"/>
            <w:right w:val="none" w:sz="0" w:space="0" w:color="auto"/>
          </w:divBdr>
          <w:divsChild>
            <w:div w:id="524559693">
              <w:marLeft w:val="0"/>
              <w:marRight w:val="0"/>
              <w:marTop w:val="0"/>
              <w:marBottom w:val="0"/>
              <w:divBdr>
                <w:top w:val="none" w:sz="0" w:space="0" w:color="auto"/>
                <w:left w:val="none" w:sz="0" w:space="0" w:color="auto"/>
                <w:bottom w:val="none" w:sz="0" w:space="0" w:color="auto"/>
                <w:right w:val="none" w:sz="0" w:space="0" w:color="auto"/>
              </w:divBdr>
              <w:divsChild>
                <w:div w:id="1984890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7183348">
      <w:bodyDiv w:val="1"/>
      <w:marLeft w:val="0"/>
      <w:marRight w:val="0"/>
      <w:marTop w:val="0"/>
      <w:marBottom w:val="0"/>
      <w:divBdr>
        <w:top w:val="none" w:sz="0" w:space="0" w:color="auto"/>
        <w:left w:val="none" w:sz="0" w:space="0" w:color="auto"/>
        <w:bottom w:val="none" w:sz="0" w:space="0" w:color="auto"/>
        <w:right w:val="none" w:sz="0" w:space="0" w:color="auto"/>
      </w:divBdr>
    </w:div>
    <w:div w:id="306740379">
      <w:bodyDiv w:val="1"/>
      <w:marLeft w:val="0"/>
      <w:marRight w:val="0"/>
      <w:marTop w:val="0"/>
      <w:marBottom w:val="0"/>
      <w:divBdr>
        <w:top w:val="none" w:sz="0" w:space="0" w:color="auto"/>
        <w:left w:val="none" w:sz="0" w:space="0" w:color="auto"/>
        <w:bottom w:val="none" w:sz="0" w:space="0" w:color="auto"/>
        <w:right w:val="none" w:sz="0" w:space="0" w:color="auto"/>
      </w:divBdr>
    </w:div>
    <w:div w:id="331690059">
      <w:bodyDiv w:val="1"/>
      <w:marLeft w:val="0"/>
      <w:marRight w:val="0"/>
      <w:marTop w:val="0"/>
      <w:marBottom w:val="0"/>
      <w:divBdr>
        <w:top w:val="none" w:sz="0" w:space="0" w:color="auto"/>
        <w:left w:val="none" w:sz="0" w:space="0" w:color="auto"/>
        <w:bottom w:val="none" w:sz="0" w:space="0" w:color="auto"/>
        <w:right w:val="none" w:sz="0" w:space="0" w:color="auto"/>
      </w:divBdr>
    </w:div>
    <w:div w:id="510026033">
      <w:bodyDiv w:val="1"/>
      <w:marLeft w:val="0"/>
      <w:marRight w:val="0"/>
      <w:marTop w:val="0"/>
      <w:marBottom w:val="0"/>
      <w:divBdr>
        <w:top w:val="none" w:sz="0" w:space="0" w:color="auto"/>
        <w:left w:val="none" w:sz="0" w:space="0" w:color="auto"/>
        <w:bottom w:val="none" w:sz="0" w:space="0" w:color="auto"/>
        <w:right w:val="none" w:sz="0" w:space="0" w:color="auto"/>
      </w:divBdr>
    </w:div>
    <w:div w:id="514728868">
      <w:bodyDiv w:val="1"/>
      <w:marLeft w:val="0"/>
      <w:marRight w:val="0"/>
      <w:marTop w:val="0"/>
      <w:marBottom w:val="0"/>
      <w:divBdr>
        <w:top w:val="none" w:sz="0" w:space="0" w:color="auto"/>
        <w:left w:val="none" w:sz="0" w:space="0" w:color="auto"/>
        <w:bottom w:val="none" w:sz="0" w:space="0" w:color="auto"/>
        <w:right w:val="none" w:sz="0" w:space="0" w:color="auto"/>
      </w:divBdr>
    </w:div>
    <w:div w:id="611132720">
      <w:bodyDiv w:val="1"/>
      <w:marLeft w:val="0"/>
      <w:marRight w:val="0"/>
      <w:marTop w:val="0"/>
      <w:marBottom w:val="0"/>
      <w:divBdr>
        <w:top w:val="none" w:sz="0" w:space="0" w:color="auto"/>
        <w:left w:val="none" w:sz="0" w:space="0" w:color="auto"/>
        <w:bottom w:val="none" w:sz="0" w:space="0" w:color="auto"/>
        <w:right w:val="none" w:sz="0" w:space="0" w:color="auto"/>
      </w:divBdr>
    </w:div>
    <w:div w:id="705909193">
      <w:bodyDiv w:val="1"/>
      <w:marLeft w:val="0"/>
      <w:marRight w:val="0"/>
      <w:marTop w:val="0"/>
      <w:marBottom w:val="0"/>
      <w:divBdr>
        <w:top w:val="none" w:sz="0" w:space="0" w:color="auto"/>
        <w:left w:val="none" w:sz="0" w:space="0" w:color="auto"/>
        <w:bottom w:val="none" w:sz="0" w:space="0" w:color="auto"/>
        <w:right w:val="none" w:sz="0" w:space="0" w:color="auto"/>
      </w:divBdr>
    </w:div>
    <w:div w:id="773209917">
      <w:bodyDiv w:val="1"/>
      <w:marLeft w:val="0"/>
      <w:marRight w:val="0"/>
      <w:marTop w:val="0"/>
      <w:marBottom w:val="0"/>
      <w:divBdr>
        <w:top w:val="none" w:sz="0" w:space="0" w:color="auto"/>
        <w:left w:val="none" w:sz="0" w:space="0" w:color="auto"/>
        <w:bottom w:val="none" w:sz="0" w:space="0" w:color="auto"/>
        <w:right w:val="none" w:sz="0" w:space="0" w:color="auto"/>
      </w:divBdr>
    </w:div>
    <w:div w:id="859587170">
      <w:bodyDiv w:val="1"/>
      <w:marLeft w:val="0"/>
      <w:marRight w:val="0"/>
      <w:marTop w:val="0"/>
      <w:marBottom w:val="0"/>
      <w:divBdr>
        <w:top w:val="none" w:sz="0" w:space="0" w:color="auto"/>
        <w:left w:val="none" w:sz="0" w:space="0" w:color="auto"/>
        <w:bottom w:val="none" w:sz="0" w:space="0" w:color="auto"/>
        <w:right w:val="none" w:sz="0" w:space="0" w:color="auto"/>
      </w:divBdr>
    </w:div>
    <w:div w:id="908348377">
      <w:bodyDiv w:val="1"/>
      <w:marLeft w:val="0"/>
      <w:marRight w:val="0"/>
      <w:marTop w:val="0"/>
      <w:marBottom w:val="0"/>
      <w:divBdr>
        <w:top w:val="none" w:sz="0" w:space="0" w:color="auto"/>
        <w:left w:val="none" w:sz="0" w:space="0" w:color="auto"/>
        <w:bottom w:val="none" w:sz="0" w:space="0" w:color="auto"/>
        <w:right w:val="none" w:sz="0" w:space="0" w:color="auto"/>
      </w:divBdr>
      <w:divsChild>
        <w:div w:id="1927299898">
          <w:marLeft w:val="0"/>
          <w:marRight w:val="0"/>
          <w:marTop w:val="0"/>
          <w:marBottom w:val="0"/>
          <w:divBdr>
            <w:top w:val="none" w:sz="0" w:space="0" w:color="auto"/>
            <w:left w:val="none" w:sz="0" w:space="0" w:color="auto"/>
            <w:bottom w:val="none" w:sz="0" w:space="0" w:color="auto"/>
            <w:right w:val="none" w:sz="0" w:space="0" w:color="auto"/>
          </w:divBdr>
          <w:divsChild>
            <w:div w:id="1465539013">
              <w:marLeft w:val="0"/>
              <w:marRight w:val="0"/>
              <w:marTop w:val="0"/>
              <w:marBottom w:val="0"/>
              <w:divBdr>
                <w:top w:val="none" w:sz="0" w:space="0" w:color="auto"/>
                <w:left w:val="none" w:sz="0" w:space="0" w:color="auto"/>
                <w:bottom w:val="none" w:sz="0" w:space="0" w:color="auto"/>
                <w:right w:val="none" w:sz="0" w:space="0" w:color="auto"/>
              </w:divBdr>
              <w:divsChild>
                <w:div w:id="726999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480036">
      <w:bodyDiv w:val="1"/>
      <w:marLeft w:val="0"/>
      <w:marRight w:val="0"/>
      <w:marTop w:val="0"/>
      <w:marBottom w:val="0"/>
      <w:divBdr>
        <w:top w:val="none" w:sz="0" w:space="0" w:color="auto"/>
        <w:left w:val="none" w:sz="0" w:space="0" w:color="auto"/>
        <w:bottom w:val="none" w:sz="0" w:space="0" w:color="auto"/>
        <w:right w:val="none" w:sz="0" w:space="0" w:color="auto"/>
      </w:divBdr>
      <w:divsChild>
        <w:div w:id="1812867786">
          <w:marLeft w:val="0"/>
          <w:marRight w:val="0"/>
          <w:marTop w:val="0"/>
          <w:marBottom w:val="0"/>
          <w:divBdr>
            <w:top w:val="none" w:sz="0" w:space="0" w:color="auto"/>
            <w:left w:val="none" w:sz="0" w:space="0" w:color="auto"/>
            <w:bottom w:val="none" w:sz="0" w:space="0" w:color="auto"/>
            <w:right w:val="none" w:sz="0" w:space="0" w:color="auto"/>
          </w:divBdr>
        </w:div>
        <w:div w:id="584918897">
          <w:marLeft w:val="0"/>
          <w:marRight w:val="0"/>
          <w:marTop w:val="0"/>
          <w:marBottom w:val="0"/>
          <w:divBdr>
            <w:top w:val="none" w:sz="0" w:space="0" w:color="auto"/>
            <w:left w:val="none" w:sz="0" w:space="0" w:color="auto"/>
            <w:bottom w:val="none" w:sz="0" w:space="0" w:color="auto"/>
            <w:right w:val="none" w:sz="0" w:space="0" w:color="auto"/>
          </w:divBdr>
        </w:div>
      </w:divsChild>
    </w:div>
    <w:div w:id="954553840">
      <w:bodyDiv w:val="1"/>
      <w:marLeft w:val="0"/>
      <w:marRight w:val="0"/>
      <w:marTop w:val="0"/>
      <w:marBottom w:val="0"/>
      <w:divBdr>
        <w:top w:val="none" w:sz="0" w:space="0" w:color="auto"/>
        <w:left w:val="none" w:sz="0" w:space="0" w:color="auto"/>
        <w:bottom w:val="none" w:sz="0" w:space="0" w:color="auto"/>
        <w:right w:val="none" w:sz="0" w:space="0" w:color="auto"/>
      </w:divBdr>
    </w:div>
    <w:div w:id="1032539266">
      <w:bodyDiv w:val="1"/>
      <w:marLeft w:val="0"/>
      <w:marRight w:val="0"/>
      <w:marTop w:val="0"/>
      <w:marBottom w:val="0"/>
      <w:divBdr>
        <w:top w:val="none" w:sz="0" w:space="0" w:color="auto"/>
        <w:left w:val="none" w:sz="0" w:space="0" w:color="auto"/>
        <w:bottom w:val="none" w:sz="0" w:space="0" w:color="auto"/>
        <w:right w:val="none" w:sz="0" w:space="0" w:color="auto"/>
      </w:divBdr>
    </w:div>
    <w:div w:id="1120951957">
      <w:bodyDiv w:val="1"/>
      <w:marLeft w:val="0"/>
      <w:marRight w:val="0"/>
      <w:marTop w:val="0"/>
      <w:marBottom w:val="0"/>
      <w:divBdr>
        <w:top w:val="none" w:sz="0" w:space="0" w:color="auto"/>
        <w:left w:val="none" w:sz="0" w:space="0" w:color="auto"/>
        <w:bottom w:val="none" w:sz="0" w:space="0" w:color="auto"/>
        <w:right w:val="none" w:sz="0" w:space="0" w:color="auto"/>
      </w:divBdr>
    </w:div>
    <w:div w:id="1131903441">
      <w:bodyDiv w:val="1"/>
      <w:marLeft w:val="0"/>
      <w:marRight w:val="0"/>
      <w:marTop w:val="0"/>
      <w:marBottom w:val="0"/>
      <w:divBdr>
        <w:top w:val="none" w:sz="0" w:space="0" w:color="auto"/>
        <w:left w:val="none" w:sz="0" w:space="0" w:color="auto"/>
        <w:bottom w:val="none" w:sz="0" w:space="0" w:color="auto"/>
        <w:right w:val="none" w:sz="0" w:space="0" w:color="auto"/>
      </w:divBdr>
    </w:div>
    <w:div w:id="1149706680">
      <w:bodyDiv w:val="1"/>
      <w:marLeft w:val="0"/>
      <w:marRight w:val="0"/>
      <w:marTop w:val="0"/>
      <w:marBottom w:val="0"/>
      <w:divBdr>
        <w:top w:val="none" w:sz="0" w:space="0" w:color="auto"/>
        <w:left w:val="none" w:sz="0" w:space="0" w:color="auto"/>
        <w:bottom w:val="none" w:sz="0" w:space="0" w:color="auto"/>
        <w:right w:val="none" w:sz="0" w:space="0" w:color="auto"/>
      </w:divBdr>
      <w:divsChild>
        <w:div w:id="927352992">
          <w:marLeft w:val="0"/>
          <w:marRight w:val="0"/>
          <w:marTop w:val="0"/>
          <w:marBottom w:val="0"/>
          <w:divBdr>
            <w:top w:val="none" w:sz="0" w:space="0" w:color="auto"/>
            <w:left w:val="none" w:sz="0" w:space="0" w:color="auto"/>
            <w:bottom w:val="none" w:sz="0" w:space="0" w:color="auto"/>
            <w:right w:val="none" w:sz="0" w:space="0" w:color="auto"/>
          </w:divBdr>
          <w:divsChild>
            <w:div w:id="576287763">
              <w:marLeft w:val="0"/>
              <w:marRight w:val="0"/>
              <w:marTop w:val="0"/>
              <w:marBottom w:val="0"/>
              <w:divBdr>
                <w:top w:val="none" w:sz="0" w:space="0" w:color="auto"/>
                <w:left w:val="none" w:sz="0" w:space="0" w:color="auto"/>
                <w:bottom w:val="none" w:sz="0" w:space="0" w:color="auto"/>
                <w:right w:val="none" w:sz="0" w:space="0" w:color="auto"/>
              </w:divBdr>
              <w:divsChild>
                <w:div w:id="505366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2716412">
      <w:bodyDiv w:val="1"/>
      <w:marLeft w:val="0"/>
      <w:marRight w:val="0"/>
      <w:marTop w:val="0"/>
      <w:marBottom w:val="0"/>
      <w:divBdr>
        <w:top w:val="none" w:sz="0" w:space="0" w:color="auto"/>
        <w:left w:val="none" w:sz="0" w:space="0" w:color="auto"/>
        <w:bottom w:val="none" w:sz="0" w:space="0" w:color="auto"/>
        <w:right w:val="none" w:sz="0" w:space="0" w:color="auto"/>
      </w:divBdr>
    </w:div>
    <w:div w:id="1245529617">
      <w:bodyDiv w:val="1"/>
      <w:marLeft w:val="0"/>
      <w:marRight w:val="0"/>
      <w:marTop w:val="0"/>
      <w:marBottom w:val="0"/>
      <w:divBdr>
        <w:top w:val="none" w:sz="0" w:space="0" w:color="auto"/>
        <w:left w:val="none" w:sz="0" w:space="0" w:color="auto"/>
        <w:bottom w:val="none" w:sz="0" w:space="0" w:color="auto"/>
        <w:right w:val="none" w:sz="0" w:space="0" w:color="auto"/>
      </w:divBdr>
    </w:div>
    <w:div w:id="1260332041">
      <w:bodyDiv w:val="1"/>
      <w:marLeft w:val="0"/>
      <w:marRight w:val="0"/>
      <w:marTop w:val="0"/>
      <w:marBottom w:val="0"/>
      <w:divBdr>
        <w:top w:val="none" w:sz="0" w:space="0" w:color="auto"/>
        <w:left w:val="none" w:sz="0" w:space="0" w:color="auto"/>
        <w:bottom w:val="none" w:sz="0" w:space="0" w:color="auto"/>
        <w:right w:val="none" w:sz="0" w:space="0" w:color="auto"/>
      </w:divBdr>
    </w:div>
    <w:div w:id="1411080689">
      <w:bodyDiv w:val="1"/>
      <w:marLeft w:val="0"/>
      <w:marRight w:val="0"/>
      <w:marTop w:val="0"/>
      <w:marBottom w:val="0"/>
      <w:divBdr>
        <w:top w:val="none" w:sz="0" w:space="0" w:color="auto"/>
        <w:left w:val="none" w:sz="0" w:space="0" w:color="auto"/>
        <w:bottom w:val="none" w:sz="0" w:space="0" w:color="auto"/>
        <w:right w:val="none" w:sz="0" w:space="0" w:color="auto"/>
      </w:divBdr>
    </w:div>
    <w:div w:id="1456290008">
      <w:bodyDiv w:val="1"/>
      <w:marLeft w:val="0"/>
      <w:marRight w:val="0"/>
      <w:marTop w:val="0"/>
      <w:marBottom w:val="0"/>
      <w:divBdr>
        <w:top w:val="none" w:sz="0" w:space="0" w:color="auto"/>
        <w:left w:val="none" w:sz="0" w:space="0" w:color="auto"/>
        <w:bottom w:val="none" w:sz="0" w:space="0" w:color="auto"/>
        <w:right w:val="none" w:sz="0" w:space="0" w:color="auto"/>
      </w:divBdr>
    </w:div>
    <w:div w:id="1705595856">
      <w:bodyDiv w:val="1"/>
      <w:marLeft w:val="0"/>
      <w:marRight w:val="0"/>
      <w:marTop w:val="0"/>
      <w:marBottom w:val="0"/>
      <w:divBdr>
        <w:top w:val="none" w:sz="0" w:space="0" w:color="auto"/>
        <w:left w:val="none" w:sz="0" w:space="0" w:color="auto"/>
        <w:bottom w:val="none" w:sz="0" w:space="0" w:color="auto"/>
        <w:right w:val="none" w:sz="0" w:space="0" w:color="auto"/>
      </w:divBdr>
    </w:div>
    <w:div w:id="1741637649">
      <w:bodyDiv w:val="1"/>
      <w:marLeft w:val="0"/>
      <w:marRight w:val="0"/>
      <w:marTop w:val="0"/>
      <w:marBottom w:val="0"/>
      <w:divBdr>
        <w:top w:val="none" w:sz="0" w:space="0" w:color="auto"/>
        <w:left w:val="none" w:sz="0" w:space="0" w:color="auto"/>
        <w:bottom w:val="none" w:sz="0" w:space="0" w:color="auto"/>
        <w:right w:val="none" w:sz="0" w:space="0" w:color="auto"/>
      </w:divBdr>
    </w:div>
    <w:div w:id="1780829796">
      <w:bodyDiv w:val="1"/>
      <w:marLeft w:val="0"/>
      <w:marRight w:val="0"/>
      <w:marTop w:val="0"/>
      <w:marBottom w:val="0"/>
      <w:divBdr>
        <w:top w:val="none" w:sz="0" w:space="0" w:color="auto"/>
        <w:left w:val="none" w:sz="0" w:space="0" w:color="auto"/>
        <w:bottom w:val="none" w:sz="0" w:space="0" w:color="auto"/>
        <w:right w:val="none" w:sz="0" w:space="0" w:color="auto"/>
      </w:divBdr>
    </w:div>
    <w:div w:id="1967396399">
      <w:bodyDiv w:val="1"/>
      <w:marLeft w:val="0"/>
      <w:marRight w:val="0"/>
      <w:marTop w:val="0"/>
      <w:marBottom w:val="0"/>
      <w:divBdr>
        <w:top w:val="none" w:sz="0" w:space="0" w:color="auto"/>
        <w:left w:val="none" w:sz="0" w:space="0" w:color="auto"/>
        <w:bottom w:val="none" w:sz="0" w:space="0" w:color="auto"/>
        <w:right w:val="none" w:sz="0" w:space="0" w:color="auto"/>
      </w:divBdr>
      <w:divsChild>
        <w:div w:id="554238849">
          <w:marLeft w:val="0"/>
          <w:marRight w:val="0"/>
          <w:marTop w:val="0"/>
          <w:marBottom w:val="0"/>
          <w:divBdr>
            <w:top w:val="none" w:sz="0" w:space="0" w:color="auto"/>
            <w:left w:val="none" w:sz="0" w:space="0" w:color="auto"/>
            <w:bottom w:val="none" w:sz="0" w:space="0" w:color="auto"/>
            <w:right w:val="none" w:sz="0" w:space="0" w:color="auto"/>
          </w:divBdr>
          <w:divsChild>
            <w:div w:id="39979430">
              <w:marLeft w:val="0"/>
              <w:marRight w:val="0"/>
              <w:marTop w:val="0"/>
              <w:marBottom w:val="0"/>
              <w:divBdr>
                <w:top w:val="none" w:sz="0" w:space="0" w:color="auto"/>
                <w:left w:val="none" w:sz="0" w:space="0" w:color="auto"/>
                <w:bottom w:val="none" w:sz="0" w:space="0" w:color="auto"/>
                <w:right w:val="none" w:sz="0" w:space="0" w:color="auto"/>
              </w:divBdr>
              <w:divsChild>
                <w:div w:id="1414008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627957">
      <w:bodyDiv w:val="1"/>
      <w:marLeft w:val="0"/>
      <w:marRight w:val="0"/>
      <w:marTop w:val="0"/>
      <w:marBottom w:val="0"/>
      <w:divBdr>
        <w:top w:val="none" w:sz="0" w:space="0" w:color="auto"/>
        <w:left w:val="none" w:sz="0" w:space="0" w:color="auto"/>
        <w:bottom w:val="none" w:sz="0" w:space="0" w:color="auto"/>
        <w:right w:val="none" w:sz="0" w:space="0" w:color="auto"/>
      </w:divBdr>
    </w:div>
    <w:div w:id="2128693633">
      <w:bodyDiv w:val="1"/>
      <w:marLeft w:val="0"/>
      <w:marRight w:val="0"/>
      <w:marTop w:val="0"/>
      <w:marBottom w:val="0"/>
      <w:divBdr>
        <w:top w:val="none" w:sz="0" w:space="0" w:color="auto"/>
        <w:left w:val="none" w:sz="0" w:space="0" w:color="auto"/>
        <w:bottom w:val="none" w:sz="0" w:space="0" w:color="auto"/>
        <w:right w:val="none" w:sz="0" w:space="0" w:color="auto"/>
      </w:divBdr>
      <w:divsChild>
        <w:div w:id="1493641342">
          <w:marLeft w:val="0"/>
          <w:marRight w:val="0"/>
          <w:marTop w:val="0"/>
          <w:marBottom w:val="0"/>
          <w:divBdr>
            <w:top w:val="none" w:sz="0" w:space="0" w:color="auto"/>
            <w:left w:val="none" w:sz="0" w:space="0" w:color="auto"/>
            <w:bottom w:val="none" w:sz="0" w:space="0" w:color="auto"/>
            <w:right w:val="none" w:sz="0" w:space="0" w:color="auto"/>
          </w:divBdr>
          <w:divsChild>
            <w:div w:id="2090082168">
              <w:marLeft w:val="0"/>
              <w:marRight w:val="0"/>
              <w:marTop w:val="0"/>
              <w:marBottom w:val="0"/>
              <w:divBdr>
                <w:top w:val="none" w:sz="0" w:space="0" w:color="auto"/>
                <w:left w:val="none" w:sz="0" w:space="0" w:color="auto"/>
                <w:bottom w:val="none" w:sz="0" w:space="0" w:color="auto"/>
                <w:right w:val="none" w:sz="0" w:space="0" w:color="auto"/>
              </w:divBdr>
              <w:divsChild>
                <w:div w:id="605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jpg"/><Relationship Id="rId24" Type="http://schemas.openxmlformats.org/officeDocument/2006/relationships/image" Target="media/image12.jp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hyperlink" Target="https://upload.wikimedia.org/wikipedia/commons/5/52/Black_Sea_map.png" TargetMode="External"/><Relationship Id="rId28" Type="http://schemas.openxmlformats.org/officeDocument/2006/relationships/image" Target="media/image15.png"/><Relationship Id="rId29" Type="http://schemas.openxmlformats.org/officeDocument/2006/relationships/image" Target="media/image16.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hyperlink" Target="https://cites.org/sites/default/files/eng/com/sc/67/E-SC67-18-R1.pdf" TargetMode="External"/><Relationship Id="rId31" Type="http://schemas.openxmlformats.org/officeDocument/2006/relationships/image" Target="media/image17.png"/><Relationship Id="rId32" Type="http://schemas.openxmlformats.org/officeDocument/2006/relationships/image" Target="media/image18.png"/><Relationship Id="rId9" Type="http://schemas.openxmlformats.org/officeDocument/2006/relationships/footer" Target="footer1.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hyperlink" Target="https://biosecproject.org" TargetMode="External"/><Relationship Id="rId34" Type="http://schemas.openxmlformats.org/officeDocument/2006/relationships/hyperlink" Target="mailto:r.v.duffy@sheffield.ac.uk" TargetMode="External"/><Relationship Id="rId35" Type="http://schemas.openxmlformats.org/officeDocument/2006/relationships/hyperlink" Target="mailto:biosec@sheffield.ac.uk" TargetMode="External"/><Relationship Id="rId36" Type="http://schemas.openxmlformats.org/officeDocument/2006/relationships/hyperlink" Target="mailto:l.martinez@sheffield.ac.uk" TargetMode="External"/><Relationship Id="rId10" Type="http://schemas.openxmlformats.org/officeDocument/2006/relationships/footer" Target="footer2.xml"/><Relationship Id="rId11" Type="http://schemas.openxmlformats.org/officeDocument/2006/relationships/image" Target="media/image1.jpg"/><Relationship Id="rId12" Type="http://schemas.openxmlformats.org/officeDocument/2006/relationships/footer" Target="footer3.xml"/><Relationship Id="rId13" Type="http://schemas.openxmlformats.org/officeDocument/2006/relationships/image" Target="media/image2.jpg"/><Relationship Id="rId14" Type="http://schemas.openxmlformats.org/officeDocument/2006/relationships/footer" Target="footer4.xml"/><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37" Type="http://schemas.openxmlformats.org/officeDocument/2006/relationships/hyperlink" Target="mailto:h.g.dickinson@sheffield.ac.uk" TargetMode="External"/><Relationship Id="rId38" Type="http://schemas.openxmlformats.org/officeDocument/2006/relationships/hyperlink" Target="mailto:r.v.duffy@sheffield.ac.uk" TargetMode="External"/><Relationship Id="rId39" Type="http://schemas.openxmlformats.org/officeDocument/2006/relationships/hyperlink" Target="mailto:biosec@sheffield.ac.uk" TargetMode="External"/><Relationship Id="rId40" Type="http://schemas.openxmlformats.org/officeDocument/2006/relationships/hyperlink" Target="https://balkaninsight.com/author/marcel-gasc-n-barber/" TargetMode="External"/><Relationship Id="rId41" Type="http://schemas.openxmlformats.org/officeDocument/2006/relationships/footer" Target="footer5.xml"/><Relationship Id="rId42" Type="http://schemas.openxmlformats.org/officeDocument/2006/relationships/fontTable" Target="fontTable.xml"/><Relationship Id="rId43" Type="http://schemas.openxmlformats.org/officeDocument/2006/relationships/theme" Target="theme/theme1.xml"/></Relationships>
</file>

<file path=word/_rels/footnotes.xml.rels><?xml version="1.0" encoding="UTF-8" standalone="yes"?>
<Relationships xmlns="http://schemas.openxmlformats.org/package/2006/relationships"><Relationship Id="rId10" Type="http://schemas.openxmlformats.org/officeDocument/2006/relationships/hyperlink" Target="https://www.cites.org/sites/default/files/document/E-Res-14-07-R15.pdf" TargetMode="External"/><Relationship Id="rId11" Type="http://schemas.openxmlformats.org/officeDocument/2006/relationships/hyperlink" Target="https://www.justice.gov/enrd/caviar-prosecutions" TargetMode="External"/><Relationship Id="rId12" Type="http://schemas.openxmlformats.org/officeDocument/2006/relationships/hyperlink" Target="https://d2ouvy59p0dg6k.cloudfront.net/downloads/caviar_brochure_eng.pdf" TargetMode="External"/><Relationship Id="rId13" Type="http://schemas.openxmlformats.org/officeDocument/2006/relationships/hyperlink" Target="https://www.euractiv.com/section/justice-home-affairs/news/bulgaria-romania-targeted-for-illegal-caviar-trade/" TargetMode="External"/><Relationship Id="rId14" Type="http://schemas.openxmlformats.org/officeDocument/2006/relationships/hyperlink" Target="https://oxpeckers.org/2019/10/caviar-crime-and-corruption/" TargetMode="External"/><Relationship Id="rId15" Type="http://schemas.openxmlformats.org/officeDocument/2006/relationships/hyperlink" Target="http://www.unodc.org/unodc/en/data-%20and-analysis/wildlife.html" TargetMode="External"/><Relationship Id="rId16" Type="http://schemas.openxmlformats.org/officeDocument/2006/relationships/hyperlink" Target="https://ec.europa.eu/environment/cites/pdf/caviar_labelling.pdf" TargetMode="External"/><Relationship Id="rId17" Type="http://schemas.openxmlformats.org/officeDocument/2006/relationships/hyperlink" Target="http://news.bbc.co.uk/1/hi/business/3726428.stm" TargetMode="External"/><Relationship Id="rId18" Type="http://schemas.openxmlformats.org/officeDocument/2006/relationships/hyperlink" Target="http://www.ictsd.org/bridges-news/biores/news/beluga-caviar-exports-to-resume-following-spat-over-quotas" TargetMode="External"/><Relationship Id="rId19" Type="http://schemas.openxmlformats.org/officeDocument/2006/relationships/hyperlink" Target="https://www.unodc.org/documents/data-and-analysis/wildlife/World_Wildlife_Crime_Report_2016_final.pdf" TargetMode="External"/><Relationship Id="rId60" Type="http://schemas.openxmlformats.org/officeDocument/2006/relationships/hyperlink" Target="https://link.springer.com/article/10.1007/s12117-016-9264-5" TargetMode="External"/><Relationship Id="rId61" Type="http://schemas.openxmlformats.org/officeDocument/2006/relationships/hyperlink" Target="https://www.traffic.org/site/assets/files/11818/corruption-and-caviar-final.pdf" TargetMode="External"/><Relationship Id="rId62" Type="http://schemas.openxmlformats.org/officeDocument/2006/relationships/hyperlink" Target="https://www.traffic.org/site/assets/files/11818/corruption-and-caviar-final.pdf" TargetMode="External"/><Relationship Id="rId63" Type="http://schemas.openxmlformats.org/officeDocument/2006/relationships/hyperlink" Target="https://www.traffic.org/site/assets/files/11818/corruption-and-caviar-final.pdf" TargetMode="External"/><Relationship Id="rId64" Type="http://schemas.openxmlformats.org/officeDocument/2006/relationships/hyperlink" Target="https://www.youtube.com/watch?v=xYAJVgTjZAE" TargetMode="External"/><Relationship Id="rId65" Type="http://schemas.openxmlformats.org/officeDocument/2006/relationships/hyperlink" Target="https://www.ft.com/content/da6634ae-313d-11da-ac1b-00000e2511c8" TargetMode="External"/><Relationship Id="rId66" Type="http://schemas.openxmlformats.org/officeDocument/2006/relationships/hyperlink" Target="https://www.independent.co.uk/environment/america-to-introduce-ban-on-caviar-5347743.html" TargetMode="External"/><Relationship Id="rId67" Type="http://schemas.openxmlformats.org/officeDocument/2006/relationships/hyperlink" Target="http://www.sturgeoninternational.com/o-konferencji" TargetMode="External"/><Relationship Id="rId68" Type="http://schemas.openxmlformats.org/officeDocument/2006/relationships/hyperlink" Target="https://circabc.europa.eu/sd/a/1769f2ab-d17e-4189-b804-30c1fbb31b7c/Day%201%20Pres%206%20Aquaculture_WS_CEFAS_Sturgeons_Reinartz.pdf" TargetMode="External"/><Relationship Id="rId69" Type="http://schemas.openxmlformats.org/officeDocument/2006/relationships/hyperlink" Target="https://www.seafoodsource.com/news/aquaculture/can-aquaculture-save-sturgeon" TargetMode="External"/><Relationship Id="rId120" Type="http://schemas.openxmlformats.org/officeDocument/2006/relationships/hyperlink" Target="https://www.icpdr.org/main/sites/default/files/nodes/documents/om-20_-_3.4_icpdr_sturgeon_strategy_endorsed_version_final.pdf" TargetMode="External"/><Relationship Id="rId121" Type="http://schemas.openxmlformats.org/officeDocument/2006/relationships/hyperlink" Target="http://danube.panda.org/wwf/web/search/details.jsp?pid=77" TargetMode="External"/><Relationship Id="rId122" Type="http://schemas.openxmlformats.org/officeDocument/2006/relationships/hyperlink" Target="https://www.icpdr.org/main/issues/dams-structures" TargetMode="External"/><Relationship Id="rId123" Type="http://schemas.openxmlformats.org/officeDocument/2006/relationships/hyperlink" Target="https://d3bzkjkd62gi12.cloudfront.net/downloads/hydropower_pressure_on_european_rivers_the_story_in_numbers_web.pdf" TargetMode="External"/><Relationship Id="rId124" Type="http://schemas.openxmlformats.org/officeDocument/2006/relationships/hyperlink" Target="https://d3bzkjkd62gi12.cloudfront.net/downloads/hydropower_pressure_on_european_rivers_the_story_in_numbers_web.pdf" TargetMode="External"/><Relationship Id="rId125" Type="http://schemas.openxmlformats.org/officeDocument/2006/relationships/hyperlink" Target="https://www.worldwildlife.org/blogs/sustainability-works/posts/finding-a-balance-for-hydropower-and-biodiversity" TargetMode="External"/><Relationship Id="rId126" Type="http://schemas.openxmlformats.org/officeDocument/2006/relationships/hyperlink" Target="https://www.icpdr.org/main/sites/default/files/nodes/documents/om-20_-_3.4_icpdr_sturgeon_strategy_endorsed_version_final.pdf" TargetMode="External"/><Relationship Id="rId127" Type="http://schemas.openxmlformats.org/officeDocument/2006/relationships/hyperlink" Target="https://danube-region.eu/about/" TargetMode="External"/><Relationship Id="rId128" Type="http://schemas.openxmlformats.org/officeDocument/2006/relationships/hyperlink" Target="https://biosecproject.org" TargetMode="External"/><Relationship Id="rId129" Type="http://schemas.openxmlformats.org/officeDocument/2006/relationships/hyperlink" Target="https://wwf.panda.org/knowledge_hub/where_we_work/black_sea_basin/danube_carpathian/?361398/ua-and-bg-sturgeon-poachers" TargetMode="External"/><Relationship Id="rId40" Type="http://schemas.openxmlformats.org/officeDocument/2006/relationships/hyperlink" Target="https://oxpeckers.org/2019/10/caviar-crime-and-corruption/" TargetMode="External"/><Relationship Id="rId41" Type="http://schemas.openxmlformats.org/officeDocument/2006/relationships/hyperlink" Target="https://balkaninsight.com/2020/05/20/decimated-danube-sturgeon-revival-efforts-neglect-roots-of-poaching/" TargetMode="External"/><Relationship Id="rId42" Type="http://schemas.openxmlformats.org/officeDocument/2006/relationships/hyperlink" Target="https://balkaninsight.com/2020/05/20/decimated-danube-sturgeon-revival-efforts-neglect-roots-of-poaching/" TargetMode="External"/><Relationship Id="rId90" Type="http://schemas.openxmlformats.org/officeDocument/2006/relationships/hyperlink" Target="https://wwf.panda.org/?314210/The-photo-shooting-season-on-illegal-sturgeon-fishing-is-open-in-Ukraine" TargetMode="External"/><Relationship Id="rId91" Type="http://schemas.openxmlformats.org/officeDocument/2006/relationships/hyperlink" Target="https://wwf.panda.org/?314210/The-photo-shooting-season-on-illegal-sturgeon-fishing-is-open-in-Ukraine" TargetMode="External"/><Relationship Id="rId92" Type="http://schemas.openxmlformats.org/officeDocument/2006/relationships/hyperlink" Target="http://www.wwfmmi.org/boat/?uNewsID=358253" TargetMode="External"/><Relationship Id="rId93" Type="http://schemas.openxmlformats.org/officeDocument/2006/relationships/hyperlink" Target="https://balkaninsight.com/2020/05/20/decimated-danube-sturgeon-revival-efforts-neglect-roots-of-poaching/" TargetMode="External"/><Relationship Id="rId94" Type="http://schemas.openxmlformats.org/officeDocument/2006/relationships/hyperlink" Target="https://oxpeckers.org/2019/10/caviar-crime-and-corruption/" TargetMode="External"/><Relationship Id="rId95" Type="http://schemas.openxmlformats.org/officeDocument/2006/relationships/hyperlink" Target="https://www.latimes.com/world-nation/story/2019-08-21/craving-for-caviar-is-driving-the-danube-rivers-sturgeon-to-extinction" TargetMode="External"/><Relationship Id="rId96" Type="http://schemas.openxmlformats.org/officeDocument/2006/relationships/hyperlink" Target="https://oxpeckers.org/2019/10/caviar-crime-and-corruption/" TargetMode="External"/><Relationship Id="rId101" Type="http://schemas.openxmlformats.org/officeDocument/2006/relationships/hyperlink" Target="https://www.cms.int" TargetMode="External"/><Relationship Id="rId102" Type="http://schemas.openxmlformats.org/officeDocument/2006/relationships/hyperlink" Target="https://www.coe.int/en/web/bern-convention" TargetMode="External"/><Relationship Id="rId103" Type="http://schemas.openxmlformats.org/officeDocument/2006/relationships/hyperlink" Target="https://ec.europa.eu/environment/cites/legislation_en.htm" TargetMode="External"/><Relationship Id="rId104" Type="http://schemas.openxmlformats.org/officeDocument/2006/relationships/hyperlink" Target="http://d2ouvy59p0dg6k.cloudfront.net/downloads/14_2011_conservation_use_of_sturgeon_l_danube_and_black_sea_rogin_norway.pdf" TargetMode="External"/><Relationship Id="rId105" Type="http://schemas.openxmlformats.org/officeDocument/2006/relationships/hyperlink" Target="http://wwf.panda.org/?269190/" TargetMode="External"/><Relationship Id="rId106" Type="http://schemas.openxmlformats.org/officeDocument/2006/relationships/hyperlink" Target="http://www.interreg-danube.eu/approved-projects/measures" TargetMode="External"/><Relationship Id="rId107" Type="http://schemas.openxmlformats.org/officeDocument/2006/relationships/hyperlink" Target="https://ec.europa.eu/regional_policy/en/funding/special-support-instruments/jaspers/" TargetMode="External"/><Relationship Id="rId108" Type="http://schemas.openxmlformats.org/officeDocument/2006/relationships/hyperlink" Target="https://www.eurosite.org/brussels/commission-pressures-romania-to-halt-illegal-logging/" TargetMode="External"/><Relationship Id="rId109" Type="http://schemas.openxmlformats.org/officeDocument/2006/relationships/hyperlink" Target="https://biosecproject.org/2020/05/19/blog-criminalisation-crisis-narratives-and-the-commission-the-fight-against-deforestation-in-europe/" TargetMode="External"/><Relationship Id="rId97" Type="http://schemas.openxmlformats.org/officeDocument/2006/relationships/hyperlink" Target="https://www.theguardian.com/world/2020/jan/08/violence-escalates-as-romania-cracks-down-on-illegal-timber-trade" TargetMode="External"/><Relationship Id="rId98" Type="http://schemas.openxmlformats.org/officeDocument/2006/relationships/hyperlink" Target="https://www.icpdr.org/main/publications/home-living-fossils-protecting-sturgeons-habitats" TargetMode="External"/><Relationship Id="rId99" Type="http://schemas.openxmlformats.org/officeDocument/2006/relationships/hyperlink" Target="https://ec.europa.eu/environment/nature/legislation/habitatsdirective/index_en.htm" TargetMode="External"/><Relationship Id="rId43" Type="http://schemas.openxmlformats.org/officeDocument/2006/relationships/hyperlink" Target="https://balkaninsight.com/2020/05/20/decimated-danube-sturgeon-revival-efforts-neglect-roots-of-poaching/" TargetMode="External"/><Relationship Id="rId44" Type="http://schemas.openxmlformats.org/officeDocument/2006/relationships/hyperlink" Target="https://wedocs.unep.org/bitstream/handle/20.500.11822/22225/Combating_WildlifeCrime_Danube.pdf?sequence=1&amp;isAllowed=y" TargetMode="External"/><Relationship Id="rId45" Type="http://schemas.openxmlformats.org/officeDocument/2006/relationships/hyperlink" Target="https://oxpeckers.org/2019/10/caviar-crime-and-corruption/" TargetMode="External"/><Relationship Id="rId46" Type="http://schemas.openxmlformats.org/officeDocument/2006/relationships/hyperlink" Target="https://www.unodc.org/documents/data-and-analysis/wildlife/World_Wildlife_Crime_Report_2016_final.pdf" TargetMode="External"/><Relationship Id="rId47" Type="http://schemas.openxmlformats.org/officeDocument/2006/relationships/hyperlink" Target="https://balkaninsight.com/2020/05/20/decimated-danube-sturgeon-revival-efforts-neglect-roots-of-poaching/" TargetMode="External"/><Relationship Id="rId48" Type="http://schemas.openxmlformats.org/officeDocument/2006/relationships/hyperlink" Target="https://rm.coe.int/pan-european-action-plan-for-sturgeons/16808e84f3" TargetMode="External"/><Relationship Id="rId49" Type="http://schemas.openxmlformats.org/officeDocument/2006/relationships/hyperlink" Target="https://www.unodc.org/documents/data-and-analysis/wildlife/World_Wildlife_Crime_Report_2016_final.pdf" TargetMode="External"/><Relationship Id="rId100" Type="http://schemas.openxmlformats.org/officeDocument/2006/relationships/hyperlink" Target="https://ec.europa.eu/environment/water/water-framework/index_en.html" TargetMode="External"/><Relationship Id="rId20" Type="http://schemas.openxmlformats.org/officeDocument/2006/relationships/hyperlink" Target="https://cites.org/eng/cms/index.php/component/cp/country/GB" TargetMode="External"/><Relationship Id="rId21" Type="http://schemas.openxmlformats.org/officeDocument/2006/relationships/hyperlink" Target="https://www.unodc.org/documents/data-and-analysis/wildlife/World_Wildlife_Crime_Report_2016_final.pdf" TargetMode="External"/><Relationship Id="rId22" Type="http://schemas.openxmlformats.org/officeDocument/2006/relationships/hyperlink" Target="https://www.unodc.org/documents/data-and-analysis/wildlife/World_Wildlife_Crime_Report_2016_final.pdf" TargetMode="External"/><Relationship Id="rId70" Type="http://schemas.openxmlformats.org/officeDocument/2006/relationships/hyperlink" Target="https://wwf.panda.org/wwf_news/?250975/Eight-sturgeon-aquaculture-farms-commit-to-protect-sturgeons" TargetMode="External"/><Relationship Id="rId71" Type="http://schemas.openxmlformats.org/officeDocument/2006/relationships/hyperlink" Target="https://d2ouvy59p0dg6k.cloudfront.net/downloads/illegal_caviar_trade_in_bulgaria_and_romania__1_.pdf" TargetMode="External"/><Relationship Id="rId72" Type="http://schemas.openxmlformats.org/officeDocument/2006/relationships/hyperlink" Target="https://www.traffic.org/site/assets/files/11818/corruption-and-caviar-final.pdf" TargetMode="External"/><Relationship Id="rId73" Type="http://schemas.openxmlformats.org/officeDocument/2006/relationships/hyperlink" Target="https://dariqus.com/" TargetMode="External"/><Relationship Id="rId74" Type="http://schemas.openxmlformats.org/officeDocument/2006/relationships/hyperlink" Target="https://balkaninsight.com/2020/05/20/decimated-danube-sturgeon-revival-efforts-neglect-roots-of-poaching/" TargetMode="External"/><Relationship Id="rId75" Type="http://schemas.openxmlformats.org/officeDocument/2006/relationships/hyperlink" Target="https://link.springer.com/article/10.1007/s12117-016-9264-5" TargetMode="External"/><Relationship Id="rId76" Type="http://schemas.openxmlformats.org/officeDocument/2006/relationships/hyperlink" Target="https://ec.europa.eu/environment/cites/pdf/WAP_EN_WEB.PDF" TargetMode="External"/><Relationship Id="rId77" Type="http://schemas.openxmlformats.org/officeDocument/2006/relationships/hyperlink" Target="https://op.europa.eu/en/publication-detail/-/publication/53ed0515-de76-11e9-9c4e-01aa75ed71a1/language-en/format-PDF/source-search" TargetMode="External"/><Relationship Id="rId78" Type="http://schemas.openxmlformats.org/officeDocument/2006/relationships/hyperlink" Target="https://ec.europa.eu/environment/cites/pdf/Achievements_WAP_overview.pdf" TargetMode="External"/><Relationship Id="rId79" Type="http://schemas.openxmlformats.org/officeDocument/2006/relationships/hyperlink" Target="https://www.consilium.europa.eu/media/37340/20185274_qc0418775enn_pdf.pdf" TargetMode="External"/><Relationship Id="rId23" Type="http://schemas.openxmlformats.org/officeDocument/2006/relationships/hyperlink" Target="https://www.unodc.org/documents/data-and-analysis/wildlife/World_Wildlife_Crime_Report_2016_final.pdf" TargetMode="External"/><Relationship Id="rId24" Type="http://schemas.openxmlformats.org/officeDocument/2006/relationships/hyperlink" Target="https://ec.europa.eu/environment/cites/pdf/reports/2016_overview_significant_seizures.pdf" TargetMode="External"/><Relationship Id="rId25" Type="http://schemas.openxmlformats.org/officeDocument/2006/relationships/hyperlink" Target="https://ec.europa.eu/environment/cites/pdf/reports/Overview%20of%20seizures%20in%20the%20EU%202017_FINAL%20(March%202019).pdf" TargetMode="External"/><Relationship Id="rId26" Type="http://schemas.openxmlformats.org/officeDocument/2006/relationships/hyperlink" Target="https://ec.europa.eu/environment/cites/pdf/reports/Overview%20of%20seizures%20in%20the%20EU%202017_FINAL%20(March%202019).pdf" TargetMode="External"/><Relationship Id="rId27" Type="http://schemas.openxmlformats.org/officeDocument/2006/relationships/hyperlink" Target="https://www.eu-twix.org/" TargetMode="External"/><Relationship Id="rId28" Type="http://schemas.openxmlformats.org/officeDocument/2006/relationships/hyperlink" Target="https://ec.europa.eu/environment/cites/pdf/reports/2016_overview_significant_seizures.pdf" TargetMode="External"/><Relationship Id="rId29" Type="http://schemas.openxmlformats.org/officeDocument/2006/relationships/hyperlink" Target="https://www.unodc.org/documents/data-and-analysis/wildlife/World_Wildlife_Crime_Report_2016_final.pdf" TargetMode="External"/><Relationship Id="rId130" Type="http://schemas.openxmlformats.org/officeDocument/2006/relationships/hyperlink" Target="https://wwf.panda.org/?363930/26-sturgeon-freed" TargetMode="External"/><Relationship Id="rId1" Type="http://schemas.openxmlformats.org/officeDocument/2006/relationships/hyperlink" Target="https://ec.europa.eu/environment/cites/pdf/WAP_EN_WEB.PDF" TargetMode="External"/><Relationship Id="rId2" Type="http://schemas.openxmlformats.org/officeDocument/2006/relationships/hyperlink" Target="https://www.icpdr.org/main/activities-projects/sturgeons-danube-basin" TargetMode="External"/><Relationship Id="rId3" Type="http://schemas.openxmlformats.org/officeDocument/2006/relationships/hyperlink" Target="https://rm.coe.int/pan-european-action-plan-for-sturgeons/16808e84f3" TargetMode="External"/><Relationship Id="rId4" Type="http://schemas.openxmlformats.org/officeDocument/2006/relationships/hyperlink" Target="https://www.iucnredlist.org" TargetMode="External"/><Relationship Id="rId5" Type="http://schemas.openxmlformats.org/officeDocument/2006/relationships/hyperlink" Target="https://www.traffic.org/site/assets/files/9467/black-gold-the-caviar-trade-in-western-europe.pdf" TargetMode="External"/><Relationship Id="rId6" Type="http://schemas.openxmlformats.org/officeDocument/2006/relationships/hyperlink" Target="https://www.seafoodexpo.com/global/expo-highlights/" TargetMode="External"/><Relationship Id="rId7" Type="http://schemas.openxmlformats.org/officeDocument/2006/relationships/hyperlink" Target="https://www.cites.org/eng/app/index.php" TargetMode="External"/><Relationship Id="rId8" Type="http://schemas.openxmlformats.org/officeDocument/2006/relationships/hyperlink" Target="https://wedocs.unep.org/bitstream/handle/20.500.11822/22225/Combating_WildlifeCrime_Danube.pdf?sequence" TargetMode="External"/><Relationship Id="rId9" Type="http://schemas.openxmlformats.org/officeDocument/2006/relationships/hyperlink" Target="https://www.cites.org/eng/res/index.php" TargetMode="External"/><Relationship Id="rId50" Type="http://schemas.openxmlformats.org/officeDocument/2006/relationships/hyperlink" Target="http://www.sturgeon.ugal.ro/index.php/en/?fbclid=IwAR1RfsvP9WdaKDQAPma8ZgRO8PwAkEM0LzLriZcASiV8YytNSJ9PeywY2v0" TargetMode="External"/><Relationship Id="rId51" Type="http://schemas.openxmlformats.org/officeDocument/2006/relationships/hyperlink" Target="https://www.ft.com/content/88463cae-2f22-11e9-8744-e7016697f225" TargetMode="External"/><Relationship Id="rId52" Type="http://schemas.openxmlformats.org/officeDocument/2006/relationships/hyperlink" Target="https://www.traffic.org/site/assets/files/2593/illegal_caviar_trade_bulgaria_romania_report.pdf" TargetMode="External"/><Relationship Id="rId53" Type="http://schemas.openxmlformats.org/officeDocument/2006/relationships/hyperlink" Target="https://c402277.ssl.cf1.rackcdn.com/publications/1166/files/original/global-caviar-market.pdf?1531850427" TargetMode="External"/><Relationship Id="rId54" Type="http://schemas.openxmlformats.org/officeDocument/2006/relationships/hyperlink" Target="https://www.nationalgeographic.co.uk/animals/2019/11/exclusive-inside-controversial-south-african-lion-farm" TargetMode="External"/><Relationship Id="rId55" Type="http://schemas.openxmlformats.org/officeDocument/2006/relationships/hyperlink" Target="https://biosecproject.org/2020/05/19/blog-criminalisation-crisis-narratives-and-the-commission-the-fight-against-deforestation-in-europe/" TargetMode="External"/><Relationship Id="rId56" Type="http://schemas.openxmlformats.org/officeDocument/2006/relationships/hyperlink" Target="https://link.springer.com/article/10.1007/s12117-016-9264-5" TargetMode="External"/><Relationship Id="rId57" Type="http://schemas.openxmlformats.org/officeDocument/2006/relationships/hyperlink" Target="https://d2ouvy59p0dg6k.cloudfront.net/downloads/illegal_caviar_trade_in_bulgaria_and_romania__1_.pdf" TargetMode="External"/><Relationship Id="rId58" Type="http://schemas.openxmlformats.org/officeDocument/2006/relationships/hyperlink" Target="https://www.ft.com/content/88463cae-2f22-11e9-8744-e7016697f225" TargetMode="External"/><Relationship Id="rId59" Type="http://schemas.openxmlformats.org/officeDocument/2006/relationships/hyperlink" Target="https://link.springer.com/article/10.1007/s12117-016-9264-5" TargetMode="External"/><Relationship Id="rId110" Type="http://schemas.openxmlformats.org/officeDocument/2006/relationships/hyperlink" Target="https://www.unian.info/politics/10560027-nato-calls-on-russia-to-withdraw-from-crimea-cease-its-support-to-militants-in-eastern-ukraine.html" TargetMode="External"/><Relationship Id="rId111" Type="http://schemas.openxmlformats.org/officeDocument/2006/relationships/hyperlink" Target="https://www.abc.net.au/news/2016-04-19/world-largest-caviar-factory-in-abu-dhabi/7336760" TargetMode="External"/><Relationship Id="rId112" Type="http://schemas.openxmlformats.org/officeDocument/2006/relationships/hyperlink" Target="http://time.com/5070817/china-caviar-beluga-sturgeon-farmed-kaluga/" TargetMode="External"/><Relationship Id="rId113" Type="http://schemas.openxmlformats.org/officeDocument/2006/relationships/hyperlink" Target="https://www.sisinternational.com/the-russian-caviar-market/" TargetMode="External"/><Relationship Id="rId114" Type="http://schemas.openxmlformats.org/officeDocument/2006/relationships/hyperlink" Target="https://thefishsite.com/articles/is-the-aquaculture-of-invasive-and-non-native-species-worth-the-risk" TargetMode="External"/><Relationship Id="rId115" Type="http://schemas.openxmlformats.org/officeDocument/2006/relationships/hyperlink" Target="https://www.theguardian.com/world/2019/jul/30/boar-wars-how-wild-hogs-are-trashing-european-cities" TargetMode="External"/><Relationship Id="rId116" Type="http://schemas.openxmlformats.org/officeDocument/2006/relationships/hyperlink" Target="https://www.telegraph.co.uk/news/uknews/1543766/Russian-sturgeon-invading-British-waters.html" TargetMode="External"/><Relationship Id="rId117" Type="http://schemas.openxmlformats.org/officeDocument/2006/relationships/hyperlink" Target="https://www.icpdr.org/main/danube-basin/countries-danube-river-basin" TargetMode="External"/><Relationship Id="rId118" Type="http://schemas.openxmlformats.org/officeDocument/2006/relationships/hyperlink" Target="https://www.icpdr.org/main/issues/dams-structures" TargetMode="External"/><Relationship Id="rId119" Type="http://schemas.openxmlformats.org/officeDocument/2006/relationships/hyperlink" Target="https://www.icpdr.org/main/issues/dams-structures" TargetMode="External"/><Relationship Id="rId30" Type="http://schemas.openxmlformats.org/officeDocument/2006/relationships/hyperlink" Target="https://balkaninsight.com/2020/05/20/decimated-danube-sturgeon-revival-efforts-neglect-roots-of-poaching/" TargetMode="External"/><Relationship Id="rId31" Type="http://schemas.openxmlformats.org/officeDocument/2006/relationships/hyperlink" Target="https://www.unodc.org/documents/data-and-analysis/wildlife/World_Wildlife_Crime_Report_2016_final.pdf" TargetMode="External"/><Relationship Id="rId32" Type="http://schemas.openxmlformats.org/officeDocument/2006/relationships/hyperlink" Target="https://balkaninsight.com/2020/05/20/decimated-danube-sturgeon-revival-efforts-neglect-roots-of-poaching/" TargetMode="External"/><Relationship Id="rId33" Type="http://schemas.openxmlformats.org/officeDocument/2006/relationships/hyperlink" Target="https://balkaninsight.com/2020/05/20/decimated-danube-sturgeon-revival-efforts-neglect-roots-of-poaching/" TargetMode="External"/><Relationship Id="rId34" Type="http://schemas.openxmlformats.org/officeDocument/2006/relationships/hyperlink" Target="https://www.danubedeltalife.social/en/" TargetMode="External"/><Relationship Id="rId35" Type="http://schemas.openxmlformats.org/officeDocument/2006/relationships/hyperlink" Target="https://balkaninsight.com/2020/05/20/decimated-danube-sturgeon-revival-efforts-neglect-roots-of-poaching/" TargetMode="External"/><Relationship Id="rId36" Type="http://schemas.openxmlformats.org/officeDocument/2006/relationships/hyperlink" Target="https://balkaninsight.com/2020/05/20/decimated-danube-sturgeon-revival-efforts-neglect-roots-of-poaching/" TargetMode="External"/><Relationship Id="rId37" Type="http://schemas.openxmlformats.org/officeDocument/2006/relationships/hyperlink" Target="https://d2ouvy59p0dg6k.cloudfront.net/downloads/illegal_caviar_trade_in_bulgaria_and_romania__1_.pdf" TargetMode="External"/><Relationship Id="rId38" Type="http://schemas.openxmlformats.org/officeDocument/2006/relationships/hyperlink" Target="https://balkaninsight.com/2020/05/20/decimated-danube-sturgeon-revival-efforts-neglect-roots-of-poaching/" TargetMode="External"/><Relationship Id="rId39" Type="http://schemas.openxmlformats.org/officeDocument/2006/relationships/hyperlink" Target="https://balkaninsight.com/2020/05/20/decimated-danube-sturgeon-revival-efforts-neglect-roots-of-poaching/" TargetMode="External"/><Relationship Id="rId80" Type="http://schemas.openxmlformats.org/officeDocument/2006/relationships/hyperlink" Target="https://link.springer.com/article/10.1007/s12117-016-9264-5" TargetMode="External"/><Relationship Id="rId81" Type="http://schemas.openxmlformats.org/officeDocument/2006/relationships/hyperlink" Target="https://wedocs.unep.org/bitstream/handle/20.500.11822/22225/Combating_WildlifeCrime_Danube.pdf?sequence=1&amp;isAllowed=y" TargetMode="External"/><Relationship Id="rId82" Type="http://schemas.openxmlformats.org/officeDocument/2006/relationships/hyperlink" Target="https://op.europa.eu/en/publication-detail/-/publication/53ed0515-de76-11e9-9c4e-01aa75ed71a1/language-en/format-PDF/source-search" TargetMode="External"/><Relationship Id="rId83" Type="http://schemas.openxmlformats.org/officeDocument/2006/relationships/hyperlink" Target="https://ec.europa.eu/easme/en/life" TargetMode="External"/><Relationship Id="rId84" Type="http://schemas.openxmlformats.org/officeDocument/2006/relationships/hyperlink" Target="http://ec.europa.eu/environment/life/project/Projects/index.cfm?fuseaction=search.dspPage&amp;n_proj_id=5818&amp;docType=pdf" TargetMode="External"/><Relationship Id="rId85" Type="http://schemas.openxmlformats.org/officeDocument/2006/relationships/hyperlink" Target="https://danube-sturgeons.org/wp-content/uploads/2017/10/WWF-Global-Sturgeon-Strategy-2017.pdf" TargetMode="External"/><Relationship Id="rId86" Type="http://schemas.openxmlformats.org/officeDocument/2006/relationships/hyperlink" Target="https://danube-region.eu/about/" TargetMode="External"/><Relationship Id="rId87" Type="http://schemas.openxmlformats.org/officeDocument/2006/relationships/hyperlink" Target="https://danube-sturgeons.org/wp-content/uploads/2017/07/sturgeon2020-final.pdf" TargetMode="External"/><Relationship Id="rId88" Type="http://schemas.openxmlformats.org/officeDocument/2006/relationships/hyperlink" Target="https://www.traffic.org/site/assets/files/11818/corruption-and-caviar-final.pdf" TargetMode="External"/><Relationship Id="rId89" Type="http://schemas.openxmlformats.org/officeDocument/2006/relationships/hyperlink" Target="http://www.wwfmmi.org/boat/?uNewsID=35825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B5F5D9-4E02-EE42-BB72-F96F9BD57B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233</Pages>
  <Words>191375</Words>
  <Characters>1090841</Characters>
  <Application>Microsoft Macintosh Word</Application>
  <DocSecurity>0</DocSecurity>
  <Lines>9090</Lines>
  <Paragraphs>2559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1279657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Teresa Lappe-Osthege</dc:creator>
  <cp:keywords/>
  <dc:description/>
  <cp:lastModifiedBy>politics Politics Department</cp:lastModifiedBy>
  <cp:revision>2</cp:revision>
  <cp:lastPrinted>2020-06-01T19:15:00Z</cp:lastPrinted>
  <dcterms:created xsi:type="dcterms:W3CDTF">2020-06-08T07:33:00Z</dcterms:created>
  <dcterms:modified xsi:type="dcterms:W3CDTF">2020-06-08T07:33:00Z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13c7ee54-1bd5-3667-b786-4e1d37344c97</vt:lpwstr>
  </property>
  <property fmtid="{D5CDD505-2E9C-101B-9397-08002B2CF9AE}" pid="24" name="Mendeley Citation Style_1">
    <vt:lpwstr>http://www.zotero.org/styles/harvard-cite-them-right</vt:lpwstr>
  </property>
</Properties>
</file>